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AFA22">
      <w:pPr>
        <w:jc w:val="center"/>
        <w:rPr>
          <w:rFonts w:hint="eastAsia" w:ascii="宋体" w:hAnsi="宋体"/>
          <w:color w:val="auto"/>
          <w:sz w:val="36"/>
          <w:szCs w:val="36"/>
          <w:highlight w:val="none"/>
        </w:rPr>
      </w:pPr>
      <w:bookmarkStart w:id="0" w:name="_Toc352691660"/>
      <w:bookmarkEnd w:id="0"/>
      <w:bookmarkStart w:id="1" w:name="_Toc16568"/>
      <w:bookmarkEnd w:id="1"/>
      <w:bookmarkStart w:id="2" w:name="_Toc16824"/>
      <w:bookmarkEnd w:id="2"/>
      <w:bookmarkStart w:id="3" w:name="_Toc369531695"/>
      <w:bookmarkEnd w:id="3"/>
      <w:bookmarkStart w:id="4" w:name="_Toc369531696"/>
      <w:bookmarkEnd w:id="4"/>
      <w:bookmarkStart w:id="5" w:name="_Toc352691659"/>
      <w:bookmarkEnd w:id="5"/>
    </w:p>
    <w:p w14:paraId="1DA9E488">
      <w:pPr>
        <w:spacing w:line="300" w:lineRule="auto"/>
        <w:jc w:val="center"/>
        <w:rPr>
          <w:rFonts w:hint="eastAsia" w:ascii="宋体" w:hAnsi="宋体"/>
          <w:color w:val="auto"/>
          <w:sz w:val="52"/>
          <w:szCs w:val="36"/>
          <w:highlight w:val="none"/>
        </w:rPr>
      </w:pPr>
    </w:p>
    <w:p w14:paraId="71BFF17D">
      <w:pPr>
        <w:spacing w:line="300" w:lineRule="auto"/>
        <w:jc w:val="center"/>
        <w:rPr>
          <w:rFonts w:hint="eastAsia" w:ascii="宋体" w:hAnsi="宋体"/>
          <w:color w:val="auto"/>
          <w:sz w:val="52"/>
          <w:szCs w:val="36"/>
          <w:highlight w:val="none"/>
        </w:rPr>
      </w:pPr>
    </w:p>
    <w:p w14:paraId="0B9C42E3">
      <w:pPr>
        <w:widowControl/>
        <w:spacing w:line="300" w:lineRule="auto"/>
        <w:ind w:left="964" w:hanging="964" w:hangingChars="200"/>
        <w:jc w:val="center"/>
        <w:rPr>
          <w:rFonts w:hint="eastAsia" w:ascii="宋体" w:hAnsi="宋体"/>
          <w:b/>
          <w:bCs/>
          <w:color w:val="auto"/>
          <w:sz w:val="48"/>
          <w:szCs w:val="32"/>
          <w:highlight w:val="none"/>
        </w:rPr>
      </w:pPr>
      <w:r>
        <w:rPr>
          <w:rFonts w:hint="eastAsia" w:ascii="宋体" w:hAnsi="宋体"/>
          <w:b/>
          <w:bCs/>
          <w:color w:val="auto"/>
          <w:sz w:val="48"/>
          <w:szCs w:val="32"/>
          <w:highlight w:val="none"/>
        </w:rPr>
        <w:t>东莞市轨道交通1号线运营期地铁控制保护区综合管理系统项目</w:t>
      </w:r>
    </w:p>
    <w:p w14:paraId="7BF316C5">
      <w:pPr>
        <w:rPr>
          <w:rFonts w:hint="eastAsia" w:ascii="宋体" w:hAnsi="宋体"/>
          <w:color w:val="auto"/>
          <w:sz w:val="36"/>
          <w:szCs w:val="36"/>
          <w:highlight w:val="none"/>
        </w:rPr>
      </w:pPr>
    </w:p>
    <w:p w14:paraId="0A66B78E">
      <w:pPr>
        <w:ind w:firstLine="2340" w:firstLineChars="650"/>
        <w:rPr>
          <w:rFonts w:hint="eastAsia" w:ascii="宋体" w:hAnsi="宋体"/>
          <w:color w:val="auto"/>
          <w:sz w:val="36"/>
          <w:szCs w:val="36"/>
          <w:highlight w:val="none"/>
        </w:rPr>
      </w:pPr>
      <w:r>
        <w:rPr>
          <w:rFonts w:hint="eastAsia" w:ascii="宋体" w:hAnsi="宋体"/>
          <w:color w:val="auto"/>
          <w:sz w:val="36"/>
          <w:szCs w:val="36"/>
          <w:highlight w:val="none"/>
        </w:rPr>
        <w:t>（项目编号：</w:t>
      </w:r>
      <w:r>
        <w:rPr>
          <w:rFonts w:ascii="宋体" w:hAnsi="宋体"/>
          <w:color w:val="auto"/>
          <w:sz w:val="36"/>
          <w:szCs w:val="36"/>
          <w:highlight w:val="none"/>
        </w:rPr>
        <w:t xml:space="preserve"> </w:t>
      </w:r>
      <w:r>
        <w:rPr>
          <w:rFonts w:hint="eastAsia" w:ascii="宋体" w:hAnsi="宋体"/>
          <w:color w:val="auto"/>
          <w:sz w:val="36"/>
          <w:szCs w:val="36"/>
          <w:highlight w:val="none"/>
        </w:rPr>
        <w:t xml:space="preserve">             </w:t>
      </w:r>
      <w:r>
        <w:rPr>
          <w:rFonts w:ascii="宋体" w:hAnsi="宋体"/>
          <w:color w:val="auto"/>
          <w:sz w:val="36"/>
          <w:szCs w:val="36"/>
          <w:highlight w:val="none"/>
        </w:rPr>
        <w:t xml:space="preserve"> </w:t>
      </w:r>
      <w:r>
        <w:rPr>
          <w:rFonts w:hint="eastAsia" w:ascii="宋体" w:hAnsi="宋体"/>
          <w:color w:val="auto"/>
          <w:sz w:val="36"/>
          <w:szCs w:val="36"/>
          <w:highlight w:val="none"/>
        </w:rPr>
        <w:t>）</w:t>
      </w:r>
    </w:p>
    <w:p w14:paraId="7F8B9ED7">
      <w:pPr>
        <w:rPr>
          <w:rStyle w:val="24"/>
          <w:rFonts w:hint="eastAsia" w:ascii="宋体" w:hAnsi="宋体"/>
          <w:b/>
          <w:i w:val="0"/>
          <w:color w:val="auto"/>
          <w:sz w:val="84"/>
          <w:szCs w:val="20"/>
          <w:highlight w:val="none"/>
        </w:rPr>
      </w:pPr>
    </w:p>
    <w:p w14:paraId="39402D78">
      <w:pPr>
        <w:rPr>
          <w:rStyle w:val="24"/>
          <w:rFonts w:hint="eastAsia" w:ascii="宋体" w:hAnsi="宋体"/>
          <w:b/>
          <w:i w:val="0"/>
          <w:color w:val="auto"/>
          <w:sz w:val="84"/>
          <w:szCs w:val="20"/>
          <w:highlight w:val="none"/>
        </w:rPr>
      </w:pPr>
    </w:p>
    <w:p w14:paraId="1D3995D3">
      <w:pPr>
        <w:jc w:val="center"/>
        <w:rPr>
          <w:rFonts w:hint="eastAsia" w:ascii="宋体" w:hAnsi="宋体"/>
          <w:i/>
          <w:color w:val="auto"/>
          <w:highlight w:val="none"/>
        </w:rPr>
      </w:pPr>
      <w:r>
        <w:rPr>
          <w:rStyle w:val="24"/>
          <w:rFonts w:hint="eastAsia" w:ascii="宋体" w:hAnsi="宋体"/>
          <w:b/>
          <w:i w:val="0"/>
          <w:color w:val="auto"/>
          <w:sz w:val="84"/>
          <w:highlight w:val="none"/>
        </w:rPr>
        <w:t>招标文件</w:t>
      </w:r>
    </w:p>
    <w:p w14:paraId="274A5947">
      <w:pPr>
        <w:rPr>
          <w:rFonts w:hint="eastAsia" w:ascii="宋体" w:hAnsi="宋体"/>
          <w:b/>
          <w:color w:val="auto"/>
          <w:sz w:val="32"/>
          <w:highlight w:val="none"/>
        </w:rPr>
      </w:pPr>
    </w:p>
    <w:p w14:paraId="6305DD10">
      <w:pPr>
        <w:rPr>
          <w:rFonts w:hint="eastAsia" w:ascii="宋体" w:hAnsi="宋体"/>
          <w:b/>
          <w:color w:val="auto"/>
          <w:sz w:val="32"/>
          <w:highlight w:val="none"/>
        </w:rPr>
      </w:pPr>
    </w:p>
    <w:p w14:paraId="5A579B8F">
      <w:pPr>
        <w:ind w:firstLine="3213" w:firstLineChars="1000"/>
        <w:rPr>
          <w:rFonts w:hint="eastAsia" w:ascii="宋体" w:hAnsi="宋体"/>
          <w:b/>
          <w:color w:val="auto"/>
          <w:sz w:val="32"/>
          <w:highlight w:val="none"/>
        </w:rPr>
      </w:pPr>
    </w:p>
    <w:p w14:paraId="77E9450F">
      <w:pPr>
        <w:ind w:firstLine="3036" w:firstLineChars="945"/>
        <w:rPr>
          <w:rFonts w:hint="eastAsia" w:ascii="宋体" w:hAnsi="宋体"/>
          <w:b/>
          <w:color w:val="auto"/>
          <w:sz w:val="32"/>
          <w:highlight w:val="none"/>
        </w:rPr>
      </w:pPr>
    </w:p>
    <w:p w14:paraId="5BB8D4C1">
      <w:pPr>
        <w:rPr>
          <w:rFonts w:hint="eastAsia" w:ascii="宋体" w:hAnsi="宋体"/>
          <w:b/>
          <w:color w:val="auto"/>
          <w:sz w:val="32"/>
          <w:highlight w:val="none"/>
        </w:rPr>
      </w:pPr>
    </w:p>
    <w:p w14:paraId="57C03D5B">
      <w:pPr>
        <w:jc w:val="center"/>
        <w:rPr>
          <w:rFonts w:hint="eastAsia" w:ascii="宋体" w:hAnsi="宋体"/>
          <w:b/>
          <w:color w:val="auto"/>
          <w:sz w:val="32"/>
          <w:highlight w:val="none"/>
        </w:rPr>
      </w:pPr>
    </w:p>
    <w:p w14:paraId="77A2D3E0">
      <w:pPr>
        <w:jc w:val="center"/>
        <w:rPr>
          <w:rFonts w:hint="eastAsia" w:ascii="宋体" w:hAnsi="宋体"/>
          <w:b/>
          <w:color w:val="auto"/>
          <w:sz w:val="32"/>
          <w:highlight w:val="none"/>
        </w:rPr>
      </w:pPr>
    </w:p>
    <w:p w14:paraId="5264CE7B">
      <w:pPr>
        <w:jc w:val="center"/>
        <w:rPr>
          <w:rFonts w:hint="eastAsia" w:ascii="宋体" w:hAnsi="宋体"/>
          <w:color w:val="auto"/>
          <w:sz w:val="32"/>
          <w:szCs w:val="32"/>
          <w:highlight w:val="none"/>
        </w:rPr>
      </w:pPr>
      <w:r>
        <w:rPr>
          <w:rFonts w:hint="eastAsia" w:ascii="宋体" w:hAnsi="宋体"/>
          <w:color w:val="auto"/>
          <w:sz w:val="32"/>
          <w:szCs w:val="32"/>
          <w:highlight w:val="none"/>
        </w:rPr>
        <w:t>招标人：东莞市轨道一号线建设发展有限公司</w:t>
      </w:r>
    </w:p>
    <w:p w14:paraId="50D19ED5">
      <w:pPr>
        <w:jc w:val="center"/>
        <w:rPr>
          <w:rFonts w:hint="eastAsia" w:ascii="宋体" w:hAnsi="宋体"/>
          <w:color w:val="auto"/>
          <w:sz w:val="32"/>
          <w:szCs w:val="32"/>
          <w:highlight w:val="none"/>
        </w:rPr>
      </w:pPr>
    </w:p>
    <w:p w14:paraId="7F26FDA1">
      <w:pPr>
        <w:snapToGrid w:val="0"/>
        <w:spacing w:line="360" w:lineRule="auto"/>
        <w:ind w:firstLine="960" w:firstLineChars="300"/>
        <w:rPr>
          <w:rFonts w:hint="eastAsia" w:ascii="宋体" w:hAnsi="宋体"/>
          <w:b/>
          <w:color w:val="auto"/>
          <w:sz w:val="31"/>
          <w:szCs w:val="18"/>
          <w:highlight w:val="none"/>
          <w:u w:val="single"/>
        </w:rPr>
      </w:pPr>
      <w:r>
        <w:rPr>
          <w:rFonts w:hint="eastAsia" w:ascii="宋体" w:hAnsi="宋体"/>
          <w:color w:val="auto"/>
          <w:sz w:val="32"/>
          <w:szCs w:val="32"/>
          <w:highlight w:val="none"/>
        </w:rPr>
        <w:t>招标代理机构：广东华工工程建设监理有限公司</w:t>
      </w:r>
    </w:p>
    <w:p w14:paraId="432CC47C">
      <w:pPr>
        <w:jc w:val="center"/>
        <w:rPr>
          <w:rFonts w:hint="eastAsia" w:ascii="宋体" w:hAnsi="宋体"/>
          <w:color w:val="auto"/>
          <w:sz w:val="32"/>
          <w:szCs w:val="32"/>
          <w:highlight w:val="none"/>
        </w:rPr>
      </w:pPr>
    </w:p>
    <w:p w14:paraId="357BD1CF">
      <w:pPr>
        <w:jc w:val="center"/>
        <w:rPr>
          <w:rFonts w:hint="eastAsia" w:ascii="宋体" w:hAnsi="宋体"/>
          <w:color w:val="auto"/>
          <w:sz w:val="36"/>
          <w:szCs w:val="32"/>
          <w:highlight w:val="none"/>
        </w:rPr>
      </w:pPr>
    </w:p>
    <w:p w14:paraId="7CBE129A">
      <w:pPr>
        <w:jc w:val="center"/>
        <w:rPr>
          <w:rFonts w:hint="eastAsia" w:ascii="宋体" w:hAnsi="宋体"/>
          <w:color w:val="auto"/>
          <w:sz w:val="32"/>
          <w:szCs w:val="32"/>
          <w:highlight w:val="none"/>
        </w:rPr>
      </w:pPr>
      <w:r>
        <w:rPr>
          <w:rFonts w:hint="eastAsia" w:ascii="宋体" w:hAnsi="宋体"/>
          <w:color w:val="auto"/>
          <w:sz w:val="32"/>
          <w:szCs w:val="32"/>
          <w:highlight w:val="none"/>
        </w:rPr>
        <w:t>2025年</w:t>
      </w:r>
      <w:r>
        <w:rPr>
          <w:rFonts w:ascii="宋体" w:hAnsi="宋体"/>
          <w:color w:val="auto"/>
          <w:sz w:val="32"/>
          <w:szCs w:val="32"/>
          <w:highlight w:val="none"/>
        </w:rPr>
        <w:t xml:space="preserve">  </w:t>
      </w:r>
      <w:r>
        <w:rPr>
          <w:rFonts w:hint="eastAsia" w:ascii="宋体" w:hAnsi="宋体"/>
          <w:color w:val="auto"/>
          <w:sz w:val="32"/>
          <w:szCs w:val="32"/>
          <w:highlight w:val="none"/>
        </w:rPr>
        <w:t>月</w:t>
      </w:r>
    </w:p>
    <w:p w14:paraId="65A80270">
      <w:pPr>
        <w:snapToGrid w:val="0"/>
        <w:spacing w:line="360" w:lineRule="auto"/>
        <w:rPr>
          <w:rFonts w:hint="eastAsia" w:ascii="宋体" w:hAnsi="宋体"/>
          <w:b/>
          <w:color w:val="auto"/>
          <w:sz w:val="28"/>
          <w:highlight w:val="none"/>
        </w:rPr>
        <w:sectPr>
          <w:headerReference r:id="rId3" w:type="first"/>
          <w:footerReference r:id="rId4" w:type="default"/>
          <w:pgSz w:w="11907" w:h="16840"/>
          <w:pgMar w:top="936" w:right="1134" w:bottom="567" w:left="1134" w:header="680" w:footer="680" w:gutter="0"/>
          <w:pgNumType w:start="0"/>
          <w:cols w:space="720" w:num="1"/>
          <w:titlePg/>
        </w:sectPr>
      </w:pPr>
    </w:p>
    <w:p w14:paraId="02D48A8B">
      <w:pPr>
        <w:jc w:val="center"/>
        <w:rPr>
          <w:rFonts w:hint="eastAsia" w:ascii="宋体" w:hAnsi="宋体"/>
          <w:b/>
          <w:color w:val="auto"/>
          <w:sz w:val="30"/>
          <w:szCs w:val="30"/>
          <w:highlight w:val="none"/>
        </w:rPr>
      </w:pPr>
      <w:r>
        <w:rPr>
          <w:rFonts w:ascii="宋体" w:hAnsi="宋体"/>
          <w:b/>
          <w:color w:val="auto"/>
          <w:sz w:val="30"/>
          <w:szCs w:val="30"/>
          <w:highlight w:val="none"/>
        </w:rPr>
        <w:t>目</w:t>
      </w:r>
      <w:r>
        <w:rPr>
          <w:rFonts w:hint="eastAsia" w:ascii="宋体" w:hAnsi="宋体"/>
          <w:b/>
          <w:color w:val="auto"/>
          <w:sz w:val="30"/>
          <w:szCs w:val="30"/>
          <w:highlight w:val="none"/>
        </w:rPr>
        <w:t xml:space="preserve"> </w:t>
      </w:r>
      <w:r>
        <w:rPr>
          <w:rFonts w:ascii="宋体" w:hAnsi="宋体"/>
          <w:b/>
          <w:color w:val="auto"/>
          <w:sz w:val="30"/>
          <w:szCs w:val="30"/>
          <w:highlight w:val="none"/>
        </w:rPr>
        <w:t xml:space="preserve"> 录</w:t>
      </w:r>
    </w:p>
    <w:p w14:paraId="0753FC62">
      <w:pPr>
        <w:spacing w:line="360" w:lineRule="auto"/>
        <w:jc w:val="left"/>
        <w:rPr>
          <w:rFonts w:hint="eastAsia" w:ascii="宋体" w:hAnsi="宋体"/>
          <w:b/>
          <w:color w:val="auto"/>
          <w:sz w:val="30"/>
          <w:szCs w:val="30"/>
          <w:highlight w:val="none"/>
        </w:rPr>
      </w:pPr>
    </w:p>
    <w:p w14:paraId="07FB468C">
      <w:pPr>
        <w:pStyle w:val="16"/>
        <w:tabs>
          <w:tab w:val="right" w:leader="dot" w:pos="9240"/>
        </w:tabs>
        <w:spacing w:line="360" w:lineRule="auto"/>
        <w:rPr>
          <w:rFonts w:hint="eastAsia" w:ascii="宋体" w:hAnsi="宋体" w:cs="宋体"/>
          <w:color w:val="auto"/>
          <w:sz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TOC \o "1-2" \h \z \u </w:instrText>
      </w:r>
      <w:r>
        <w:rPr>
          <w:rFonts w:hint="eastAsia" w:ascii="宋体" w:hAnsi="宋体" w:cs="宋体"/>
          <w:b/>
          <w:color w:val="auto"/>
          <w:sz w:val="24"/>
          <w:highlight w:val="none"/>
        </w:rPr>
        <w:fldChar w:fldCharType="separate"/>
      </w:r>
      <w:r>
        <w:rPr>
          <w:color w:val="auto"/>
          <w:highlight w:val="none"/>
        </w:rPr>
        <w:fldChar w:fldCharType="begin"/>
      </w:r>
      <w:r>
        <w:rPr>
          <w:color w:val="auto"/>
          <w:highlight w:val="none"/>
        </w:rPr>
        <w:instrText xml:space="preserve"> HYPERLINK \l "_Toc24663" </w:instrText>
      </w:r>
      <w:r>
        <w:rPr>
          <w:color w:val="auto"/>
          <w:highlight w:val="none"/>
        </w:rPr>
        <w:fldChar w:fldCharType="separate"/>
      </w:r>
      <w:r>
        <w:rPr>
          <w:rFonts w:hint="eastAsia" w:ascii="宋体" w:hAnsi="宋体" w:cs="宋体"/>
          <w:color w:val="auto"/>
          <w:sz w:val="24"/>
          <w:highlight w:val="none"/>
        </w:rPr>
        <w:t>第一卷</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_Toc24663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3D7471A">
      <w:pPr>
        <w:pStyle w:val="17"/>
        <w:tabs>
          <w:tab w:val="right" w:leader="dot" w:pos="9240"/>
        </w:tabs>
        <w:spacing w:line="360" w:lineRule="auto"/>
        <w:ind w:left="42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"_Toc26423" </w:instrText>
      </w:r>
      <w:r>
        <w:rPr>
          <w:color w:val="auto"/>
          <w:highlight w:val="none"/>
        </w:rPr>
        <w:fldChar w:fldCharType="separate"/>
      </w:r>
      <w:r>
        <w:rPr>
          <w:rFonts w:hint="eastAsia" w:ascii="宋体" w:hAnsi="宋体" w:cs="宋体"/>
          <w:color w:val="auto"/>
          <w:sz w:val="24"/>
          <w:highlight w:val="none"/>
        </w:rPr>
        <w:t>第一章  招标公告</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_Toc26423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57E62A8">
      <w:pPr>
        <w:pStyle w:val="17"/>
        <w:tabs>
          <w:tab w:val="right" w:leader="dot" w:pos="9240"/>
        </w:tabs>
        <w:spacing w:line="360" w:lineRule="auto"/>
        <w:ind w:left="42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"_Toc5115" </w:instrText>
      </w:r>
      <w:r>
        <w:rPr>
          <w:color w:val="auto"/>
          <w:highlight w:val="none"/>
        </w:rPr>
        <w:fldChar w:fldCharType="separate"/>
      </w:r>
      <w:r>
        <w:rPr>
          <w:rFonts w:hint="eastAsia" w:ascii="宋体" w:hAnsi="宋体" w:cs="宋体"/>
          <w:color w:val="auto"/>
          <w:sz w:val="24"/>
          <w:highlight w:val="none"/>
        </w:rPr>
        <w:t>第二章  投标人须知</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_Toc5115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9683C8A">
      <w:pPr>
        <w:pStyle w:val="17"/>
        <w:tabs>
          <w:tab w:val="right" w:leader="dot" w:pos="9240"/>
        </w:tabs>
        <w:spacing w:line="360" w:lineRule="auto"/>
        <w:ind w:left="42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"_Toc26232" </w:instrText>
      </w:r>
      <w:r>
        <w:rPr>
          <w:color w:val="auto"/>
          <w:highlight w:val="none"/>
        </w:rPr>
        <w:fldChar w:fldCharType="separate"/>
      </w:r>
      <w:r>
        <w:rPr>
          <w:rFonts w:hint="eastAsia" w:ascii="宋体" w:hAnsi="宋体" w:cs="宋体"/>
          <w:color w:val="auto"/>
          <w:kern w:val="0"/>
          <w:sz w:val="24"/>
          <w:highlight w:val="none"/>
        </w:rPr>
        <w:t>1.总则</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_Toc26232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BC64986">
      <w:pPr>
        <w:pStyle w:val="17"/>
        <w:tabs>
          <w:tab w:val="right" w:leader="dot" w:pos="9240"/>
        </w:tabs>
        <w:spacing w:line="360" w:lineRule="auto"/>
        <w:ind w:left="42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"_Toc19926" </w:instrText>
      </w:r>
      <w:r>
        <w:rPr>
          <w:color w:val="auto"/>
          <w:highlight w:val="none"/>
        </w:rPr>
        <w:fldChar w:fldCharType="separate"/>
      </w:r>
      <w:r>
        <w:rPr>
          <w:rFonts w:hint="eastAsia" w:ascii="宋体" w:hAnsi="宋体" w:cs="宋体"/>
          <w:color w:val="auto"/>
          <w:kern w:val="0"/>
          <w:sz w:val="24"/>
          <w:highlight w:val="none"/>
        </w:rPr>
        <w:t>2.招标文件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_Toc19926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2BF7F9F">
      <w:pPr>
        <w:pStyle w:val="17"/>
        <w:tabs>
          <w:tab w:val="right" w:leader="dot" w:pos="9240"/>
        </w:tabs>
        <w:spacing w:line="360" w:lineRule="auto"/>
        <w:ind w:left="42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"_Toc32682" </w:instrText>
      </w:r>
      <w:r>
        <w:rPr>
          <w:color w:val="auto"/>
          <w:highlight w:val="none"/>
        </w:rPr>
        <w:fldChar w:fldCharType="separate"/>
      </w:r>
      <w:r>
        <w:rPr>
          <w:rFonts w:hint="eastAsia" w:ascii="宋体" w:hAnsi="宋体" w:cs="宋体"/>
          <w:color w:val="auto"/>
          <w:kern w:val="0"/>
          <w:sz w:val="24"/>
          <w:highlight w:val="none"/>
        </w:rPr>
        <w:t>3.投标文件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_Toc32682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D03C40A">
      <w:pPr>
        <w:pStyle w:val="17"/>
        <w:tabs>
          <w:tab w:val="right" w:leader="dot" w:pos="9240"/>
        </w:tabs>
        <w:spacing w:line="360" w:lineRule="auto"/>
        <w:ind w:left="42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"_Toc25877" </w:instrText>
      </w:r>
      <w:r>
        <w:rPr>
          <w:color w:val="auto"/>
          <w:highlight w:val="none"/>
        </w:rPr>
        <w:fldChar w:fldCharType="separate"/>
      </w:r>
      <w:r>
        <w:rPr>
          <w:rFonts w:hint="eastAsia" w:ascii="宋体" w:hAnsi="宋体" w:cs="宋体"/>
          <w:color w:val="auto"/>
          <w:kern w:val="0"/>
          <w:sz w:val="24"/>
          <w:highlight w:val="none"/>
        </w:rPr>
        <w:t>4.投标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_Toc25877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21A44E7">
      <w:pPr>
        <w:pStyle w:val="17"/>
        <w:tabs>
          <w:tab w:val="right" w:leader="dot" w:pos="9240"/>
        </w:tabs>
        <w:spacing w:line="360" w:lineRule="auto"/>
        <w:ind w:left="42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"_Toc27657" </w:instrText>
      </w:r>
      <w:r>
        <w:rPr>
          <w:color w:val="auto"/>
          <w:highlight w:val="none"/>
        </w:rPr>
        <w:fldChar w:fldCharType="separate"/>
      </w:r>
      <w:r>
        <w:rPr>
          <w:rFonts w:hint="eastAsia" w:ascii="宋体" w:hAnsi="宋体" w:cs="宋体"/>
          <w:color w:val="auto"/>
          <w:kern w:val="0"/>
          <w:sz w:val="24"/>
          <w:highlight w:val="none"/>
        </w:rPr>
        <w:t>5.开标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_Toc27657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7626022">
      <w:pPr>
        <w:pStyle w:val="17"/>
        <w:tabs>
          <w:tab w:val="right" w:leader="dot" w:pos="9240"/>
        </w:tabs>
        <w:spacing w:line="360" w:lineRule="auto"/>
        <w:ind w:left="42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"_Toc31168" </w:instrText>
      </w:r>
      <w:r>
        <w:rPr>
          <w:color w:val="auto"/>
          <w:highlight w:val="none"/>
        </w:rPr>
        <w:fldChar w:fldCharType="separate"/>
      </w:r>
      <w:r>
        <w:rPr>
          <w:rFonts w:hint="eastAsia" w:ascii="宋体" w:hAnsi="宋体" w:cs="宋体"/>
          <w:color w:val="auto"/>
          <w:kern w:val="0"/>
          <w:sz w:val="24"/>
          <w:highlight w:val="none"/>
        </w:rPr>
        <w:t>6.评标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_Toc31168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0DC44D0">
      <w:pPr>
        <w:pStyle w:val="17"/>
        <w:tabs>
          <w:tab w:val="right" w:leader="dot" w:pos="9240"/>
        </w:tabs>
        <w:spacing w:line="360" w:lineRule="auto"/>
        <w:ind w:left="42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"_Toc20561" </w:instrText>
      </w:r>
      <w:r>
        <w:rPr>
          <w:color w:val="auto"/>
          <w:highlight w:val="none"/>
        </w:rPr>
        <w:fldChar w:fldCharType="separate"/>
      </w:r>
      <w:r>
        <w:rPr>
          <w:rFonts w:hint="eastAsia" w:ascii="宋体" w:hAnsi="宋体" w:cs="宋体"/>
          <w:color w:val="auto"/>
          <w:kern w:val="0"/>
          <w:sz w:val="24"/>
          <w:highlight w:val="none"/>
        </w:rPr>
        <w:t>7.合同授予</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_Toc20561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27F9158">
      <w:pPr>
        <w:pStyle w:val="17"/>
        <w:tabs>
          <w:tab w:val="right" w:leader="dot" w:pos="9240"/>
        </w:tabs>
        <w:spacing w:line="360" w:lineRule="auto"/>
        <w:ind w:left="42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"_Toc22315" </w:instrText>
      </w:r>
      <w:r>
        <w:rPr>
          <w:color w:val="auto"/>
          <w:highlight w:val="none"/>
        </w:rPr>
        <w:fldChar w:fldCharType="separate"/>
      </w:r>
      <w:r>
        <w:rPr>
          <w:rFonts w:hint="eastAsia" w:ascii="宋体" w:hAnsi="宋体" w:cs="宋体"/>
          <w:color w:val="auto"/>
          <w:kern w:val="0"/>
          <w:sz w:val="24"/>
          <w:highlight w:val="none"/>
        </w:rPr>
        <w:t>8.纪律和监督</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_Toc22315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30555AD">
      <w:pPr>
        <w:pStyle w:val="17"/>
        <w:tabs>
          <w:tab w:val="right" w:leader="dot" w:pos="9240"/>
        </w:tabs>
        <w:spacing w:line="360" w:lineRule="auto"/>
        <w:ind w:left="42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"_Toc17899" </w:instrText>
      </w:r>
      <w:r>
        <w:rPr>
          <w:color w:val="auto"/>
          <w:highlight w:val="none"/>
        </w:rPr>
        <w:fldChar w:fldCharType="separate"/>
      </w:r>
      <w:r>
        <w:rPr>
          <w:rFonts w:hint="eastAsia" w:ascii="宋体" w:hAnsi="宋体" w:cs="宋体"/>
          <w:color w:val="auto"/>
          <w:kern w:val="0"/>
          <w:sz w:val="24"/>
          <w:highlight w:val="none"/>
        </w:rPr>
        <w:t>9.是否采用电子招标投标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_Toc17899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03DC454">
      <w:pPr>
        <w:pStyle w:val="17"/>
        <w:tabs>
          <w:tab w:val="right" w:leader="dot" w:pos="9240"/>
        </w:tabs>
        <w:spacing w:line="360" w:lineRule="auto"/>
        <w:ind w:left="42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"_Toc18167" </w:instrText>
      </w:r>
      <w:r>
        <w:rPr>
          <w:color w:val="auto"/>
          <w:highlight w:val="none"/>
        </w:rPr>
        <w:fldChar w:fldCharType="separate"/>
      </w:r>
      <w:r>
        <w:rPr>
          <w:rFonts w:hint="eastAsia" w:ascii="宋体" w:hAnsi="宋体" w:cs="宋体"/>
          <w:color w:val="auto"/>
          <w:kern w:val="0"/>
          <w:sz w:val="24"/>
          <w:highlight w:val="none"/>
        </w:rPr>
        <w:t>10.需要补充的其他内容</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_Toc18167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8B496A5">
      <w:pPr>
        <w:pStyle w:val="17"/>
        <w:tabs>
          <w:tab w:val="right" w:leader="dot" w:pos="9240"/>
        </w:tabs>
        <w:spacing w:line="360" w:lineRule="auto"/>
        <w:ind w:left="42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"_Toc5726" </w:instrText>
      </w:r>
      <w:r>
        <w:rPr>
          <w:color w:val="auto"/>
          <w:highlight w:val="none"/>
        </w:rPr>
        <w:fldChar w:fldCharType="separate"/>
      </w:r>
      <w:r>
        <w:rPr>
          <w:rFonts w:hint="eastAsia" w:ascii="宋体" w:hAnsi="宋体" w:cs="宋体"/>
          <w:color w:val="auto"/>
          <w:sz w:val="24"/>
          <w:highlight w:val="none"/>
        </w:rPr>
        <w:t>第三章  评标办法（综合评估法）</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_Toc5726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9B28311">
      <w:pPr>
        <w:pStyle w:val="17"/>
        <w:tabs>
          <w:tab w:val="right" w:leader="dot" w:pos="9240"/>
        </w:tabs>
        <w:spacing w:line="360" w:lineRule="auto"/>
        <w:ind w:left="42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"_Toc16692" </w:instrText>
      </w:r>
      <w:r>
        <w:rPr>
          <w:color w:val="auto"/>
          <w:highlight w:val="none"/>
        </w:rPr>
        <w:fldChar w:fldCharType="separate"/>
      </w:r>
      <w:r>
        <w:rPr>
          <w:rFonts w:hint="eastAsia" w:ascii="宋体" w:hAnsi="宋体" w:cs="宋体"/>
          <w:color w:val="auto"/>
          <w:kern w:val="0"/>
          <w:sz w:val="24"/>
          <w:highlight w:val="none"/>
        </w:rPr>
        <w:t>1.评标方法</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_Toc16692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21A904C">
      <w:pPr>
        <w:pStyle w:val="17"/>
        <w:tabs>
          <w:tab w:val="right" w:leader="dot" w:pos="9240"/>
        </w:tabs>
        <w:spacing w:line="360" w:lineRule="auto"/>
        <w:ind w:left="42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"_Toc898" </w:instrText>
      </w:r>
      <w:r>
        <w:rPr>
          <w:color w:val="auto"/>
          <w:highlight w:val="none"/>
        </w:rPr>
        <w:fldChar w:fldCharType="separate"/>
      </w:r>
      <w:r>
        <w:rPr>
          <w:rFonts w:hint="eastAsia" w:ascii="宋体" w:hAnsi="宋体" w:cs="宋体"/>
          <w:color w:val="auto"/>
          <w:kern w:val="0"/>
          <w:sz w:val="24"/>
          <w:highlight w:val="none"/>
        </w:rPr>
        <w:t>2.评审标准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_Toc898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E88C5FB">
      <w:pPr>
        <w:pStyle w:val="17"/>
        <w:tabs>
          <w:tab w:val="right" w:leader="dot" w:pos="9240"/>
        </w:tabs>
        <w:spacing w:line="360" w:lineRule="auto"/>
        <w:ind w:left="42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"_Toc2649" </w:instrText>
      </w:r>
      <w:r>
        <w:rPr>
          <w:color w:val="auto"/>
          <w:highlight w:val="none"/>
        </w:rPr>
        <w:fldChar w:fldCharType="separate"/>
      </w:r>
      <w:r>
        <w:rPr>
          <w:rFonts w:hint="eastAsia" w:ascii="宋体" w:hAnsi="宋体" w:cs="宋体"/>
          <w:color w:val="auto"/>
          <w:kern w:val="0"/>
          <w:sz w:val="24"/>
          <w:highlight w:val="none"/>
        </w:rPr>
        <w:t>3.评标程序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_Toc2649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0C8730B">
      <w:pPr>
        <w:pStyle w:val="17"/>
        <w:tabs>
          <w:tab w:val="right" w:leader="dot" w:pos="9240"/>
        </w:tabs>
        <w:spacing w:line="360" w:lineRule="auto"/>
        <w:ind w:left="42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"_Toc2562" </w:instrText>
      </w:r>
      <w:r>
        <w:rPr>
          <w:color w:val="auto"/>
          <w:highlight w:val="none"/>
        </w:rPr>
        <w:fldChar w:fldCharType="separate"/>
      </w:r>
      <w:r>
        <w:rPr>
          <w:rFonts w:hint="eastAsia" w:ascii="宋体" w:hAnsi="宋体" w:cs="宋体"/>
          <w:color w:val="auto"/>
          <w:sz w:val="24"/>
          <w:highlight w:val="none"/>
        </w:rPr>
        <w:t>第四章  合同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_Toc2562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EFFA262">
      <w:pPr>
        <w:pStyle w:val="16"/>
        <w:tabs>
          <w:tab w:val="right" w:leader="dot" w:pos="9240"/>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"_Toc30124" </w:instrText>
      </w:r>
      <w:r>
        <w:rPr>
          <w:color w:val="auto"/>
          <w:highlight w:val="none"/>
        </w:rPr>
        <w:fldChar w:fldCharType="separate"/>
      </w:r>
      <w:r>
        <w:rPr>
          <w:rFonts w:hint="eastAsia" w:ascii="宋体" w:hAnsi="宋体" w:cs="宋体"/>
          <w:color w:val="auto"/>
          <w:sz w:val="24"/>
          <w:highlight w:val="none"/>
        </w:rPr>
        <w:t>第二卷</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_Toc30124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D26A348">
      <w:pPr>
        <w:pStyle w:val="17"/>
        <w:tabs>
          <w:tab w:val="right" w:leader="dot" w:pos="9240"/>
        </w:tabs>
        <w:spacing w:line="360" w:lineRule="auto"/>
        <w:ind w:left="42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"_Toc23304" </w:instrText>
      </w:r>
      <w:r>
        <w:rPr>
          <w:color w:val="auto"/>
          <w:highlight w:val="none"/>
        </w:rPr>
        <w:fldChar w:fldCharType="separate"/>
      </w:r>
      <w:r>
        <w:rPr>
          <w:rFonts w:hint="eastAsia" w:ascii="宋体" w:hAnsi="宋体" w:cs="宋体"/>
          <w:color w:val="auto"/>
          <w:sz w:val="24"/>
          <w:highlight w:val="none"/>
        </w:rPr>
        <w:t>第五章 用户需求书</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_Toc23304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746FE8F">
      <w:pPr>
        <w:pStyle w:val="16"/>
        <w:tabs>
          <w:tab w:val="right" w:leader="dot" w:pos="9240"/>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"_Toc5672" </w:instrText>
      </w:r>
      <w:r>
        <w:rPr>
          <w:color w:val="auto"/>
          <w:highlight w:val="none"/>
        </w:rPr>
        <w:fldChar w:fldCharType="separate"/>
      </w:r>
      <w:r>
        <w:rPr>
          <w:rFonts w:hint="eastAsia" w:ascii="宋体" w:hAnsi="宋体" w:cs="宋体"/>
          <w:color w:val="auto"/>
          <w:sz w:val="24"/>
          <w:highlight w:val="none"/>
        </w:rPr>
        <w:t>第三卷</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_Toc5672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124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7B4378B">
      <w:pPr>
        <w:pStyle w:val="17"/>
        <w:tabs>
          <w:tab w:val="right" w:leader="dot" w:pos="9240"/>
        </w:tabs>
        <w:spacing w:line="360" w:lineRule="auto"/>
        <w:ind w:left="42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"_Toc21991" </w:instrText>
      </w:r>
      <w:r>
        <w:rPr>
          <w:color w:val="auto"/>
          <w:highlight w:val="none"/>
        </w:rPr>
        <w:fldChar w:fldCharType="separate"/>
      </w:r>
      <w:r>
        <w:rPr>
          <w:rFonts w:hint="eastAsia" w:ascii="宋体" w:hAnsi="宋体" w:cs="宋体"/>
          <w:color w:val="auto"/>
          <w:sz w:val="24"/>
          <w:highlight w:val="none"/>
        </w:rPr>
        <w:t>第六章  投标文件格式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_Toc21991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124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F6A2854">
      <w:pPr>
        <w:spacing w:line="360" w:lineRule="auto"/>
        <w:jc w:val="left"/>
        <w:rPr>
          <w:rFonts w:hint="eastAsia" w:ascii="宋体" w:hAnsi="宋体" w:cs="宋体"/>
          <w:color w:val="auto"/>
          <w:sz w:val="24"/>
          <w:highlight w:val="none"/>
        </w:rPr>
        <w:sectPr>
          <w:footerReference r:id="rId5" w:type="default"/>
          <w:pgSz w:w="11907" w:h="16840"/>
          <w:pgMar w:top="1191" w:right="1134" w:bottom="1191" w:left="1134" w:header="737" w:footer="850" w:gutter="0"/>
          <w:pgNumType w:start="1"/>
          <w:cols w:space="720" w:num="1"/>
          <w:docGrid w:linePitch="312" w:charSpace="0"/>
        </w:sectPr>
      </w:pPr>
      <w:r>
        <w:rPr>
          <w:rFonts w:hint="eastAsia" w:ascii="宋体" w:hAnsi="宋体" w:cs="宋体"/>
          <w:color w:val="auto"/>
          <w:sz w:val="24"/>
          <w:highlight w:val="none"/>
        </w:rPr>
        <w:fldChar w:fldCharType="end"/>
      </w:r>
    </w:p>
    <w:p w14:paraId="6644701E">
      <w:pPr>
        <w:spacing w:line="360" w:lineRule="auto"/>
        <w:jc w:val="left"/>
        <w:rPr>
          <w:rFonts w:hint="eastAsia" w:ascii="宋体" w:hAnsi="宋体"/>
          <w:color w:val="auto"/>
          <w:highlight w:val="none"/>
        </w:rPr>
      </w:pPr>
    </w:p>
    <w:p w14:paraId="6B2E79B0">
      <w:pPr>
        <w:rPr>
          <w:rFonts w:hint="eastAsia" w:ascii="宋体" w:hAnsi="宋体"/>
          <w:color w:val="auto"/>
          <w:highlight w:val="none"/>
        </w:rPr>
      </w:pPr>
    </w:p>
    <w:p w14:paraId="39193ED0">
      <w:pPr>
        <w:rPr>
          <w:rFonts w:hint="eastAsia" w:ascii="宋体" w:hAnsi="宋体"/>
          <w:color w:val="auto"/>
          <w:highlight w:val="none"/>
        </w:rPr>
      </w:pPr>
    </w:p>
    <w:p w14:paraId="0CF27A64">
      <w:pPr>
        <w:rPr>
          <w:rFonts w:hint="eastAsia" w:ascii="宋体" w:hAnsi="宋体"/>
          <w:color w:val="auto"/>
          <w:highlight w:val="none"/>
        </w:rPr>
      </w:pPr>
    </w:p>
    <w:p w14:paraId="188509BE">
      <w:pPr>
        <w:rPr>
          <w:rFonts w:hint="eastAsia" w:ascii="宋体" w:hAnsi="宋体"/>
          <w:color w:val="auto"/>
          <w:highlight w:val="none"/>
        </w:rPr>
      </w:pPr>
    </w:p>
    <w:p w14:paraId="1102D364">
      <w:pPr>
        <w:rPr>
          <w:rFonts w:hint="eastAsia" w:ascii="宋体" w:hAnsi="宋体"/>
          <w:color w:val="auto"/>
          <w:highlight w:val="none"/>
        </w:rPr>
      </w:pPr>
    </w:p>
    <w:p w14:paraId="18147A5D">
      <w:pPr>
        <w:rPr>
          <w:rFonts w:hint="eastAsia" w:ascii="宋体" w:hAnsi="宋体"/>
          <w:color w:val="auto"/>
          <w:highlight w:val="none"/>
        </w:rPr>
      </w:pPr>
    </w:p>
    <w:p w14:paraId="41CAD80D">
      <w:pPr>
        <w:rPr>
          <w:rFonts w:hint="eastAsia" w:ascii="宋体" w:hAnsi="宋体"/>
          <w:color w:val="auto"/>
          <w:highlight w:val="none"/>
        </w:rPr>
      </w:pPr>
    </w:p>
    <w:p w14:paraId="7904EC32">
      <w:pPr>
        <w:rPr>
          <w:rFonts w:hint="eastAsia" w:ascii="宋体" w:hAnsi="宋体"/>
          <w:color w:val="auto"/>
          <w:highlight w:val="none"/>
        </w:rPr>
      </w:pPr>
    </w:p>
    <w:p w14:paraId="3808DF33">
      <w:pPr>
        <w:rPr>
          <w:rFonts w:hint="eastAsia" w:ascii="宋体" w:hAnsi="宋体"/>
          <w:color w:val="auto"/>
          <w:highlight w:val="none"/>
        </w:rPr>
      </w:pPr>
    </w:p>
    <w:p w14:paraId="15D596CC">
      <w:pPr>
        <w:rPr>
          <w:rFonts w:hint="eastAsia" w:ascii="宋体" w:hAnsi="宋体"/>
          <w:color w:val="auto"/>
          <w:highlight w:val="none"/>
        </w:rPr>
      </w:pPr>
    </w:p>
    <w:p w14:paraId="6AB95E35">
      <w:pPr>
        <w:rPr>
          <w:rFonts w:hint="eastAsia" w:ascii="宋体" w:hAnsi="宋体"/>
          <w:color w:val="auto"/>
          <w:highlight w:val="none"/>
        </w:rPr>
      </w:pPr>
    </w:p>
    <w:p w14:paraId="782B8B32">
      <w:pPr>
        <w:rPr>
          <w:rFonts w:hint="eastAsia" w:ascii="宋体" w:hAnsi="宋体"/>
          <w:color w:val="auto"/>
          <w:highlight w:val="none"/>
        </w:rPr>
      </w:pPr>
    </w:p>
    <w:p w14:paraId="4280CF96">
      <w:pPr>
        <w:rPr>
          <w:rFonts w:hint="eastAsia" w:ascii="宋体" w:hAnsi="宋体"/>
          <w:color w:val="auto"/>
          <w:highlight w:val="none"/>
        </w:rPr>
      </w:pPr>
    </w:p>
    <w:p w14:paraId="173005A9">
      <w:pPr>
        <w:rPr>
          <w:rFonts w:hint="eastAsia" w:ascii="宋体" w:hAnsi="宋体"/>
          <w:color w:val="auto"/>
          <w:highlight w:val="none"/>
        </w:rPr>
      </w:pPr>
    </w:p>
    <w:p w14:paraId="7769E19A">
      <w:pPr>
        <w:rPr>
          <w:rFonts w:hint="eastAsia" w:ascii="宋体" w:hAnsi="宋体"/>
          <w:color w:val="auto"/>
          <w:highlight w:val="none"/>
        </w:rPr>
      </w:pPr>
    </w:p>
    <w:p w14:paraId="3F9FDFF8">
      <w:pPr>
        <w:rPr>
          <w:rFonts w:hint="eastAsia" w:ascii="宋体" w:hAnsi="宋体"/>
          <w:color w:val="auto"/>
          <w:highlight w:val="none"/>
        </w:rPr>
      </w:pPr>
    </w:p>
    <w:p w14:paraId="6F6622D7">
      <w:pPr>
        <w:rPr>
          <w:rFonts w:hint="eastAsia" w:ascii="宋体" w:hAnsi="宋体"/>
          <w:color w:val="auto"/>
          <w:highlight w:val="none"/>
        </w:rPr>
      </w:pPr>
    </w:p>
    <w:p w14:paraId="761B62CC">
      <w:pPr>
        <w:pStyle w:val="2"/>
        <w:spacing w:before="100" w:after="100" w:line="240" w:lineRule="auto"/>
        <w:jc w:val="center"/>
        <w:rPr>
          <w:rFonts w:hint="eastAsia" w:ascii="宋体" w:hAnsi="宋体"/>
          <w:color w:val="auto"/>
          <w:highlight w:val="none"/>
        </w:rPr>
      </w:pPr>
      <w:bookmarkStart w:id="6" w:name="_Toc13358"/>
      <w:bookmarkStart w:id="7" w:name="_Toc20705"/>
      <w:bookmarkStart w:id="8" w:name="_Toc7858"/>
      <w:bookmarkStart w:id="9" w:name="_Toc14467"/>
      <w:bookmarkStart w:id="10" w:name="_Toc15574"/>
      <w:bookmarkStart w:id="11" w:name="_Toc422"/>
      <w:bookmarkStart w:id="12" w:name="_Toc3832"/>
      <w:bookmarkStart w:id="13" w:name="_Toc9590354"/>
      <w:bookmarkStart w:id="14" w:name="_Toc24663"/>
      <w:r>
        <w:rPr>
          <w:rFonts w:hint="eastAsia" w:ascii="宋体" w:hAnsi="宋体"/>
          <w:color w:val="auto"/>
          <w:highlight w:val="none"/>
        </w:rPr>
        <w:t>第一卷</w:t>
      </w:r>
      <w:bookmarkEnd w:id="6"/>
      <w:bookmarkEnd w:id="7"/>
      <w:bookmarkEnd w:id="8"/>
      <w:bookmarkEnd w:id="9"/>
      <w:bookmarkEnd w:id="10"/>
      <w:bookmarkEnd w:id="11"/>
      <w:bookmarkEnd w:id="12"/>
      <w:bookmarkEnd w:id="13"/>
      <w:bookmarkEnd w:id="14"/>
    </w:p>
    <w:p w14:paraId="4BB153B9">
      <w:pPr>
        <w:pStyle w:val="3"/>
        <w:jc w:val="center"/>
        <w:rPr>
          <w:rFonts w:hint="eastAsia" w:ascii="宋体" w:hAnsi="宋体" w:eastAsia="宋体"/>
          <w:color w:val="auto"/>
          <w:highlight w:val="none"/>
        </w:rPr>
        <w:sectPr>
          <w:footerReference r:id="rId6" w:type="default"/>
          <w:pgSz w:w="11906" w:h="16838"/>
          <w:pgMar w:top="1440" w:right="1274" w:bottom="1440" w:left="1418" w:header="851" w:footer="992" w:gutter="0"/>
          <w:pgNumType w:start="2"/>
          <w:cols w:space="720" w:num="1"/>
          <w:docGrid w:type="lines" w:linePitch="312" w:charSpace="0"/>
        </w:sectPr>
      </w:pPr>
      <w:bookmarkStart w:id="15" w:name="_Toc9590355"/>
    </w:p>
    <w:p w14:paraId="1D74214E">
      <w:pPr>
        <w:pStyle w:val="3"/>
        <w:spacing w:before="120" w:after="120"/>
        <w:jc w:val="center"/>
        <w:rPr>
          <w:rFonts w:hint="eastAsia" w:ascii="宋体" w:hAnsi="宋体" w:eastAsia="宋体"/>
          <w:i/>
          <w:color w:val="auto"/>
          <w:szCs w:val="44"/>
          <w:highlight w:val="none"/>
        </w:rPr>
      </w:pPr>
      <w:bookmarkStart w:id="16" w:name="_Toc6700"/>
      <w:bookmarkStart w:id="17" w:name="_Toc14238"/>
      <w:bookmarkStart w:id="18" w:name="_Toc22771"/>
      <w:bookmarkStart w:id="19" w:name="_Toc9521"/>
      <w:bookmarkStart w:id="20" w:name="_Toc22375"/>
      <w:bookmarkStart w:id="21" w:name="_Toc26423"/>
      <w:bookmarkStart w:id="22" w:name="_Toc12289"/>
      <w:bookmarkStart w:id="23" w:name="_Toc22441"/>
      <w:r>
        <w:rPr>
          <w:rFonts w:hint="eastAsia" w:ascii="宋体" w:hAnsi="宋体" w:eastAsia="宋体"/>
          <w:color w:val="auto"/>
          <w:highlight w:val="none"/>
        </w:rPr>
        <w:t xml:space="preserve">第一章 </w:t>
      </w:r>
      <w:r>
        <w:rPr>
          <w:rFonts w:ascii="宋体" w:hAnsi="宋体" w:eastAsia="宋体"/>
          <w:color w:val="auto"/>
          <w:highlight w:val="none"/>
        </w:rPr>
        <w:t xml:space="preserve"> </w:t>
      </w:r>
      <w:r>
        <w:rPr>
          <w:rFonts w:hint="eastAsia" w:ascii="宋体" w:hAnsi="宋体" w:eastAsia="宋体"/>
          <w:color w:val="auto"/>
          <w:highlight w:val="none"/>
        </w:rPr>
        <w:t>招标公告</w:t>
      </w:r>
      <w:bookmarkEnd w:id="15"/>
      <w:bookmarkEnd w:id="16"/>
      <w:bookmarkEnd w:id="17"/>
      <w:bookmarkEnd w:id="18"/>
      <w:bookmarkEnd w:id="19"/>
      <w:bookmarkEnd w:id="20"/>
      <w:bookmarkEnd w:id="21"/>
      <w:bookmarkEnd w:id="22"/>
      <w:bookmarkEnd w:id="23"/>
    </w:p>
    <w:p w14:paraId="0DECE3A1">
      <w:pPr>
        <w:spacing w:line="360" w:lineRule="auto"/>
        <w:ind w:left="2570" w:hanging="2570" w:hangingChars="800"/>
        <w:jc w:val="center"/>
        <w:rPr>
          <w:rFonts w:hint="eastAsia" w:ascii="宋体" w:hAnsi="宋体"/>
          <w:b/>
          <w:color w:val="auto"/>
          <w:sz w:val="32"/>
          <w:szCs w:val="32"/>
          <w:highlight w:val="none"/>
        </w:rPr>
      </w:pPr>
      <w:r>
        <w:rPr>
          <w:rFonts w:hint="eastAsia" w:ascii="宋体" w:hAnsi="宋体"/>
          <w:b/>
          <w:color w:val="auto"/>
          <w:sz w:val="32"/>
          <w:szCs w:val="32"/>
          <w:highlight w:val="none"/>
        </w:rPr>
        <w:t>东莞市轨道交通1号线运营期地铁控制保护区综合管理系统项目</w:t>
      </w:r>
    </w:p>
    <w:p w14:paraId="2005EA33">
      <w:pPr>
        <w:spacing w:line="360" w:lineRule="auto"/>
        <w:ind w:left="2570" w:hanging="2570" w:hangingChars="800"/>
        <w:jc w:val="center"/>
        <w:rPr>
          <w:rFonts w:hint="eastAsia" w:ascii="宋体" w:hAnsi="宋体"/>
          <w:b/>
          <w:color w:val="auto"/>
          <w:sz w:val="32"/>
          <w:szCs w:val="32"/>
          <w:highlight w:val="none"/>
        </w:rPr>
      </w:pPr>
      <w:r>
        <w:rPr>
          <w:rFonts w:hint="eastAsia" w:ascii="宋体" w:hAnsi="宋体"/>
          <w:b/>
          <w:color w:val="auto"/>
          <w:sz w:val="32"/>
          <w:szCs w:val="32"/>
          <w:highlight w:val="none"/>
        </w:rPr>
        <w:t>招标公告</w:t>
      </w:r>
    </w:p>
    <w:p w14:paraId="442B20FC">
      <w:pPr>
        <w:spacing w:line="360" w:lineRule="auto"/>
        <w:rPr>
          <w:rFonts w:hint="eastAsia" w:ascii="宋体" w:hAnsi="宋体"/>
          <w:b/>
          <w:color w:val="auto"/>
          <w:sz w:val="24"/>
          <w:highlight w:val="none"/>
        </w:rPr>
      </w:pPr>
      <w:r>
        <w:rPr>
          <w:rFonts w:hint="eastAsia" w:ascii="宋体" w:hAnsi="宋体"/>
          <w:b/>
          <w:color w:val="auto"/>
          <w:sz w:val="24"/>
          <w:highlight w:val="none"/>
        </w:rPr>
        <w:t>1.  招标条件</w:t>
      </w:r>
    </w:p>
    <w:p w14:paraId="41982536">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本项目</w:t>
      </w:r>
      <w:r>
        <w:rPr>
          <w:rFonts w:hint="eastAsia" w:ascii="宋体" w:hAnsi="宋体"/>
          <w:color w:val="auto"/>
          <w:sz w:val="24"/>
          <w:highlight w:val="none"/>
          <w:u w:val="single"/>
        </w:rPr>
        <w:t>东莞市城市轨道交通1号线一期工程</w:t>
      </w:r>
      <w:r>
        <w:rPr>
          <w:rFonts w:hint="eastAsia" w:ascii="宋体" w:hAnsi="宋体"/>
          <w:color w:val="auto"/>
          <w:sz w:val="24"/>
          <w:highlight w:val="none"/>
        </w:rPr>
        <w:t>已由</w:t>
      </w:r>
      <w:r>
        <w:rPr>
          <w:rFonts w:hint="eastAsia" w:ascii="宋体" w:hAnsi="宋体"/>
          <w:color w:val="auto"/>
          <w:sz w:val="24"/>
          <w:highlight w:val="none"/>
          <w:u w:val="single"/>
        </w:rPr>
        <w:t>广东省发展和改革委员会粤发改交通函</w:t>
      </w:r>
      <w:r>
        <w:rPr>
          <w:rFonts w:hint="eastAsia" w:ascii="宋体" w:hAnsi="宋体" w:cs="宋体"/>
          <w:color w:val="auto"/>
          <w:sz w:val="24"/>
          <w:highlight w:val="none"/>
          <w:u w:val="single"/>
        </w:rPr>
        <w:t>〔</w:t>
      </w:r>
      <w:r>
        <w:rPr>
          <w:rFonts w:hint="eastAsia" w:ascii="宋体" w:hAnsi="宋体"/>
          <w:color w:val="auto"/>
          <w:sz w:val="24"/>
          <w:highlight w:val="none"/>
          <w:u w:val="single"/>
        </w:rPr>
        <w:t>2016</w:t>
      </w:r>
      <w:r>
        <w:rPr>
          <w:rFonts w:hint="eastAsia" w:ascii="宋体" w:hAnsi="宋体" w:cs="宋体"/>
          <w:color w:val="auto"/>
          <w:sz w:val="24"/>
          <w:highlight w:val="none"/>
          <w:u w:val="single"/>
        </w:rPr>
        <w:t>〕</w:t>
      </w:r>
      <w:r>
        <w:rPr>
          <w:rFonts w:hint="eastAsia" w:ascii="宋体" w:hAnsi="宋体"/>
          <w:color w:val="auto"/>
          <w:sz w:val="24"/>
          <w:highlight w:val="none"/>
          <w:u w:val="single"/>
        </w:rPr>
        <w:t>926号、</w:t>
      </w:r>
      <w:r>
        <w:rPr>
          <w:rFonts w:hint="eastAsia" w:ascii="宋体" w:hAnsi="宋体" w:cs="宋体"/>
          <w:color w:val="auto"/>
          <w:sz w:val="24"/>
          <w:highlight w:val="none"/>
          <w:u w:val="single"/>
        </w:rPr>
        <w:t>〔</w:t>
      </w:r>
      <w:r>
        <w:rPr>
          <w:rFonts w:hint="eastAsia" w:ascii="宋体" w:hAnsi="宋体"/>
          <w:color w:val="auto"/>
          <w:sz w:val="24"/>
          <w:highlight w:val="none"/>
          <w:u w:val="single"/>
        </w:rPr>
        <w:t>2020</w:t>
      </w:r>
      <w:r>
        <w:rPr>
          <w:rFonts w:hint="eastAsia" w:ascii="宋体" w:hAnsi="宋体" w:cs="宋体"/>
          <w:color w:val="auto"/>
          <w:sz w:val="24"/>
          <w:highlight w:val="none"/>
          <w:u w:val="single"/>
        </w:rPr>
        <w:t>〕</w:t>
      </w:r>
      <w:r>
        <w:rPr>
          <w:rFonts w:hint="eastAsia" w:ascii="宋体" w:hAnsi="宋体"/>
          <w:color w:val="auto"/>
          <w:sz w:val="24"/>
          <w:highlight w:val="none"/>
          <w:u w:val="single"/>
        </w:rPr>
        <w:t>127号文</w:t>
      </w:r>
      <w:r>
        <w:rPr>
          <w:rFonts w:hint="eastAsia" w:ascii="宋体" w:hAnsi="宋体"/>
          <w:color w:val="auto"/>
          <w:sz w:val="24"/>
          <w:highlight w:val="none"/>
        </w:rPr>
        <w:t>批准建设，项目业主为</w:t>
      </w:r>
      <w:r>
        <w:rPr>
          <w:rFonts w:hint="eastAsia" w:ascii="宋体" w:hAnsi="宋体"/>
          <w:color w:val="auto"/>
          <w:sz w:val="24"/>
          <w:highlight w:val="none"/>
          <w:u w:val="single"/>
        </w:rPr>
        <w:t>东莞市轨道一号线建设发展有限公司</w:t>
      </w:r>
      <w:r>
        <w:rPr>
          <w:rFonts w:hint="eastAsia" w:ascii="宋体" w:hAnsi="宋体"/>
          <w:color w:val="auto"/>
          <w:sz w:val="24"/>
          <w:highlight w:val="none"/>
        </w:rPr>
        <w:t>，招标项目</w:t>
      </w:r>
      <w:r>
        <w:rPr>
          <w:rFonts w:hint="eastAsia" w:ascii="宋体" w:hAnsi="宋体"/>
          <w:color w:val="auto"/>
          <w:sz w:val="24"/>
          <w:highlight w:val="none"/>
          <w:u w:val="single"/>
        </w:rPr>
        <w:t>资金来自资本金+融资资金（资金来源）</w:t>
      </w:r>
      <w:r>
        <w:rPr>
          <w:rFonts w:hint="eastAsia" w:ascii="宋体" w:hAnsi="宋体"/>
          <w:color w:val="auto"/>
          <w:sz w:val="24"/>
          <w:highlight w:val="none"/>
        </w:rPr>
        <w:t>，出资比例为</w:t>
      </w:r>
      <w:r>
        <w:rPr>
          <w:rFonts w:hint="eastAsia" w:ascii="宋体" w:hAnsi="宋体"/>
          <w:color w:val="auto"/>
          <w:sz w:val="24"/>
          <w:highlight w:val="none"/>
          <w:u w:val="single"/>
        </w:rPr>
        <w:t>资本金40%，融资资金60%</w:t>
      </w:r>
      <w:r>
        <w:rPr>
          <w:rFonts w:hint="eastAsia" w:ascii="宋体" w:hAnsi="宋体"/>
          <w:color w:val="auto"/>
          <w:sz w:val="24"/>
          <w:highlight w:val="none"/>
        </w:rPr>
        <w:t>。现对</w:t>
      </w:r>
      <w:r>
        <w:rPr>
          <w:rFonts w:hint="eastAsia" w:ascii="宋体" w:hAnsi="宋体"/>
          <w:color w:val="auto"/>
          <w:sz w:val="24"/>
          <w:highlight w:val="none"/>
          <w:u w:val="single"/>
        </w:rPr>
        <w:t>东莞市轨道交通1号线运营期地铁控制保护区综合管理系统项目</w:t>
      </w:r>
      <w:r>
        <w:rPr>
          <w:rFonts w:hint="eastAsia" w:ascii="宋体" w:hAnsi="宋体"/>
          <w:color w:val="auto"/>
          <w:sz w:val="24"/>
          <w:highlight w:val="none"/>
        </w:rPr>
        <w:t>进行公开招标。</w:t>
      </w:r>
    </w:p>
    <w:p w14:paraId="253A6FF2">
      <w:pPr>
        <w:spacing w:line="360" w:lineRule="auto"/>
        <w:rPr>
          <w:rFonts w:hint="eastAsia" w:ascii="宋体" w:hAnsi="宋体"/>
          <w:b/>
          <w:color w:val="auto"/>
          <w:sz w:val="24"/>
          <w:highlight w:val="none"/>
        </w:rPr>
      </w:pPr>
      <w:r>
        <w:rPr>
          <w:rFonts w:hint="eastAsia" w:ascii="宋体" w:hAnsi="宋体"/>
          <w:b/>
          <w:color w:val="auto"/>
          <w:sz w:val="24"/>
          <w:highlight w:val="none"/>
        </w:rPr>
        <w:t>2.  项目概况与招标范围</w:t>
      </w:r>
    </w:p>
    <w:p w14:paraId="4E65AD2D">
      <w:pPr>
        <w:keepNext w:val="0"/>
        <w:keepLines w:val="0"/>
        <w:pageBreakBefore w:val="0"/>
        <w:widowControl w:val="0"/>
        <w:kinsoku/>
        <w:wordWrap/>
        <w:overflowPunct/>
        <w:topLinePunct w:val="0"/>
        <w:autoSpaceDE/>
        <w:autoSpaceDN/>
        <w:bidi w:val="0"/>
        <w:adjustRightInd/>
        <w:snapToGrid/>
        <w:spacing w:line="348" w:lineRule="auto"/>
        <w:ind w:left="0" w:hanging="420" w:hangingChars="175"/>
        <w:textAlignment w:val="auto"/>
        <w:rPr>
          <w:rFonts w:hint="eastAsia" w:ascii="宋体" w:hAnsi="宋体"/>
          <w:color w:val="auto"/>
          <w:sz w:val="24"/>
          <w:highlight w:val="none"/>
        </w:rPr>
      </w:pPr>
      <w:r>
        <w:rPr>
          <w:rFonts w:hint="eastAsia" w:ascii="宋体" w:hAnsi="宋体"/>
          <w:color w:val="auto"/>
          <w:sz w:val="24"/>
          <w:highlight w:val="none"/>
        </w:rPr>
        <w:t>2.1工程建设地点：中国广东省东莞市</w:t>
      </w:r>
    </w:p>
    <w:p w14:paraId="6D8A8603">
      <w:pPr>
        <w:pStyle w:val="19"/>
        <w:keepNext w:val="0"/>
        <w:keepLines w:val="0"/>
        <w:pageBreakBefore w:val="0"/>
        <w:widowControl w:val="0"/>
        <w:kinsoku/>
        <w:wordWrap/>
        <w:overflowPunct/>
        <w:topLinePunct w:val="0"/>
        <w:autoSpaceDE/>
        <w:autoSpaceDN/>
        <w:bidi w:val="0"/>
        <w:adjustRightInd/>
        <w:snapToGrid/>
        <w:spacing w:line="348" w:lineRule="auto"/>
        <w:ind w:left="0" w:hanging="420" w:hangingChars="175"/>
        <w:textAlignment w:val="auto"/>
        <w:rPr>
          <w:rFonts w:hint="eastAsia" w:ascii="宋体" w:hAnsi="宋体"/>
          <w:color w:val="auto"/>
          <w:sz w:val="24"/>
          <w:highlight w:val="none"/>
        </w:rPr>
      </w:pPr>
      <w:r>
        <w:rPr>
          <w:rFonts w:hint="eastAsia" w:ascii="宋体" w:hAnsi="宋体"/>
          <w:color w:val="auto"/>
          <w:sz w:val="24"/>
          <w:highlight w:val="none"/>
        </w:rPr>
        <w:t>2.2工程建设规模：东莞市轨道交通1号线一期工程（东莞西站～梅塘站)长57.46km，其中高架段线路长度约7.71km，占一期工程13.41%；地下段线路长度约49.43km，占一期工程线路长度约86.03%；过渡段长度约0.32km，占一期约0.56%。设置车站25座，其中3座高架站,22座地下站，平均站间距2370m。最大站间距5053m，为牛山站～连平站区间；最小站间距851m，为中心广场站～市民中心站区间。在道滘镇（厚德站西侧）设车辆段1座，在黄江镇（梅塘站北侧）设停车场1座，控制中心使用2号线西平站旁边的线网控制中心，全线共设置4座主变电所，分别位于道滘车辆段、旗峰公园（与2号线共享）、松山湖和黄江停车场。</w:t>
      </w:r>
    </w:p>
    <w:p w14:paraId="26FAAC83">
      <w:pPr>
        <w:pStyle w:val="19"/>
        <w:keepNext w:val="0"/>
        <w:keepLines w:val="0"/>
        <w:pageBreakBefore w:val="0"/>
        <w:widowControl w:val="0"/>
        <w:kinsoku/>
        <w:wordWrap/>
        <w:overflowPunct/>
        <w:topLinePunct w:val="0"/>
        <w:autoSpaceDE/>
        <w:autoSpaceDN/>
        <w:bidi w:val="0"/>
        <w:adjustRightInd/>
        <w:snapToGrid/>
        <w:spacing w:after="0" w:line="348" w:lineRule="auto"/>
        <w:ind w:left="420" w:leftChars="0" w:hanging="420" w:hangingChars="175"/>
        <w:textAlignment w:val="auto"/>
        <w:rPr>
          <w:rFonts w:hint="eastAsia" w:ascii="宋体" w:hAnsi="宋体" w:cs="Arial"/>
          <w:bCs/>
          <w:color w:val="auto"/>
          <w:sz w:val="24"/>
          <w:highlight w:val="none"/>
        </w:rPr>
      </w:pPr>
      <w:r>
        <w:rPr>
          <w:rFonts w:hint="eastAsia" w:ascii="宋体" w:hAnsi="宋体"/>
          <w:color w:val="auto"/>
          <w:sz w:val="24"/>
          <w:highlight w:val="none"/>
        </w:rPr>
        <w:t>2.</w:t>
      </w:r>
      <w:r>
        <w:rPr>
          <w:rFonts w:ascii="宋体" w:hAnsi="宋体"/>
          <w:color w:val="auto"/>
          <w:sz w:val="24"/>
          <w:highlight w:val="none"/>
        </w:rPr>
        <w:t>3</w:t>
      </w:r>
      <w:r>
        <w:rPr>
          <w:rFonts w:hint="eastAsia" w:ascii="宋体" w:hAnsi="宋体" w:cs="仿宋_GB2312"/>
          <w:color w:val="auto"/>
          <w:sz w:val="24"/>
          <w:highlight w:val="none"/>
        </w:rPr>
        <w:t>工期（服务期限）要求</w:t>
      </w:r>
      <w:r>
        <w:rPr>
          <w:rFonts w:hint="eastAsia" w:ascii="宋体" w:hAnsi="宋体" w:cs="Arial"/>
          <w:bCs/>
          <w:color w:val="auto"/>
          <w:sz w:val="24"/>
          <w:highlight w:val="none"/>
        </w:rPr>
        <w:t>：</w:t>
      </w:r>
      <w:r>
        <w:rPr>
          <w:rFonts w:hint="eastAsia" w:ascii="宋体" w:hAnsi="宋体" w:cs="Arial"/>
          <w:bCs/>
          <w:color w:val="auto"/>
          <w:sz w:val="24"/>
          <w:szCs w:val="24"/>
          <w:highlight w:val="none"/>
        </w:rPr>
        <w:t>本项目要求在合同签订起1周内，</w:t>
      </w:r>
      <w:r>
        <w:rPr>
          <w:rFonts w:hint="eastAsia" w:ascii="宋体" w:hAnsi="宋体" w:cs="Arial"/>
          <w:bCs/>
          <w:color w:val="auto"/>
          <w:sz w:val="24"/>
          <w:szCs w:val="24"/>
          <w:highlight w:val="none"/>
          <w:lang w:val="en-US" w:eastAsia="zh-CN"/>
        </w:rPr>
        <w:t>投标人</w:t>
      </w:r>
      <w:r>
        <w:rPr>
          <w:rFonts w:hint="eastAsia" w:ascii="宋体" w:hAnsi="宋体" w:cs="Arial"/>
          <w:bCs/>
          <w:color w:val="auto"/>
          <w:sz w:val="24"/>
          <w:szCs w:val="24"/>
          <w:highlight w:val="none"/>
        </w:rPr>
        <w:t>提交工作实施方案</w:t>
      </w:r>
      <w:r>
        <w:rPr>
          <w:rFonts w:hint="eastAsia" w:ascii="宋体" w:hAnsi="宋体" w:cs="Arial"/>
          <w:bCs/>
          <w:color w:val="auto"/>
          <w:sz w:val="24"/>
          <w:highlight w:val="none"/>
        </w:rPr>
        <w:t>，并</w:t>
      </w:r>
      <w:r>
        <w:rPr>
          <w:rFonts w:hint="eastAsia" w:ascii="宋体" w:hAnsi="宋体" w:cs="Arial"/>
          <w:bCs/>
          <w:color w:val="auto"/>
          <w:sz w:val="24"/>
          <w:szCs w:val="24"/>
          <w:highlight w:val="none"/>
        </w:rPr>
        <w:t>要求在合同签订后，原则上</w:t>
      </w:r>
      <w:r>
        <w:rPr>
          <w:rFonts w:hint="eastAsia" w:ascii="宋体" w:hAnsi="宋体" w:cs="Arial"/>
          <w:bCs/>
          <w:color w:val="auto"/>
          <w:sz w:val="24"/>
          <w:szCs w:val="24"/>
          <w:highlight w:val="none"/>
          <w:lang w:val="en-US" w:eastAsia="zh-CN"/>
        </w:rPr>
        <w:t>投标人</w:t>
      </w:r>
      <w:r>
        <w:rPr>
          <w:rFonts w:hint="eastAsia" w:ascii="宋体" w:hAnsi="宋体" w:cs="Arial"/>
          <w:bCs/>
          <w:color w:val="auto"/>
          <w:sz w:val="24"/>
          <w:szCs w:val="24"/>
          <w:highlight w:val="none"/>
        </w:rPr>
        <w:t>应于6个月内完成“工作量清单”中的所有工作。如因1号线一期工程建设工期调整，导致无人机场无法完成建设，则完成时间相应进行调整，</w:t>
      </w:r>
      <w:r>
        <w:rPr>
          <w:rFonts w:hint="eastAsia" w:ascii="宋体" w:hAnsi="宋体" w:cs="Arial"/>
          <w:bCs/>
          <w:color w:val="auto"/>
          <w:sz w:val="24"/>
          <w:szCs w:val="24"/>
          <w:highlight w:val="none"/>
          <w:lang w:val="en-US" w:eastAsia="zh-CN"/>
        </w:rPr>
        <w:t>投标人</w:t>
      </w:r>
      <w:r>
        <w:rPr>
          <w:rFonts w:hint="eastAsia" w:ascii="宋体" w:hAnsi="宋体" w:cs="Arial"/>
          <w:bCs/>
          <w:color w:val="auto"/>
          <w:sz w:val="24"/>
          <w:szCs w:val="24"/>
          <w:highlight w:val="none"/>
        </w:rPr>
        <w:t>应按照</w:t>
      </w:r>
      <w:r>
        <w:rPr>
          <w:rFonts w:hint="eastAsia" w:ascii="宋体" w:hAnsi="宋体" w:cs="Arial"/>
          <w:bCs/>
          <w:color w:val="auto"/>
          <w:sz w:val="24"/>
          <w:szCs w:val="24"/>
          <w:highlight w:val="none"/>
          <w:lang w:val="en-US" w:eastAsia="zh-CN"/>
        </w:rPr>
        <w:t>招标人</w:t>
      </w:r>
      <w:r>
        <w:rPr>
          <w:rFonts w:hint="eastAsia" w:ascii="宋体" w:hAnsi="宋体" w:cs="Arial"/>
          <w:bCs/>
          <w:color w:val="auto"/>
          <w:sz w:val="24"/>
          <w:szCs w:val="24"/>
          <w:highlight w:val="none"/>
        </w:rPr>
        <w:t>要求在规定时限内完成</w:t>
      </w:r>
      <w:r>
        <w:rPr>
          <w:rFonts w:hint="eastAsia" w:ascii="宋体" w:hAnsi="宋体" w:cs="Arial"/>
          <w:bCs/>
          <w:color w:val="auto"/>
          <w:sz w:val="24"/>
          <w:highlight w:val="none"/>
        </w:rPr>
        <w:t>。招标人保留根据项目建设调整执行期的权利。</w:t>
      </w:r>
    </w:p>
    <w:p w14:paraId="06BD6E56">
      <w:pPr>
        <w:pStyle w:val="19"/>
        <w:keepNext w:val="0"/>
        <w:keepLines w:val="0"/>
        <w:pageBreakBefore w:val="0"/>
        <w:widowControl w:val="0"/>
        <w:kinsoku/>
        <w:wordWrap/>
        <w:overflowPunct/>
        <w:topLinePunct w:val="0"/>
        <w:autoSpaceDE/>
        <w:autoSpaceDN/>
        <w:bidi w:val="0"/>
        <w:adjustRightInd/>
        <w:snapToGrid/>
        <w:spacing w:after="0" w:line="348" w:lineRule="auto"/>
        <w:ind w:left="0" w:hanging="420" w:hangingChars="175"/>
        <w:textAlignment w:val="auto"/>
        <w:rPr>
          <w:rFonts w:hint="eastAsia" w:ascii="宋体" w:hAnsi="宋体" w:cs="Arial"/>
          <w:bCs/>
          <w:color w:val="auto"/>
          <w:sz w:val="24"/>
          <w:highlight w:val="none"/>
        </w:rPr>
      </w:pPr>
      <w:r>
        <w:rPr>
          <w:rFonts w:hint="eastAsia" w:ascii="宋体" w:hAnsi="宋体" w:cs="Arial"/>
          <w:bCs/>
          <w:color w:val="auto"/>
          <w:sz w:val="24"/>
          <w:highlight w:val="none"/>
        </w:rPr>
        <w:t>2.4 招标范围：东莞市轨道交通1号线运营期地铁控制保护区综合管理系统项目</w:t>
      </w:r>
      <w:r>
        <w:rPr>
          <w:rFonts w:hint="eastAsia" w:ascii="宋体" w:hAnsi="宋体" w:cs="Arial"/>
          <w:bCs/>
          <w:color w:val="auto"/>
          <w:sz w:val="24"/>
          <w:highlight w:val="none"/>
          <w:lang w:eastAsia="zh-CN"/>
        </w:rPr>
        <w:t>，</w:t>
      </w:r>
      <w:r>
        <w:rPr>
          <w:rFonts w:hint="eastAsia" w:ascii="宋体" w:hAnsi="宋体" w:eastAsia="宋体" w:cs="Arial"/>
          <w:bCs/>
          <w:color w:val="auto"/>
          <w:sz w:val="24"/>
          <w:szCs w:val="24"/>
          <w:highlight w:val="none"/>
          <w:lang w:val="en-US" w:eastAsia="zh-CN"/>
        </w:rPr>
        <w:t>本项目招标范围包括综合管理系统</w:t>
      </w:r>
      <w:r>
        <w:rPr>
          <w:rFonts w:hint="eastAsia" w:ascii="宋体" w:hAnsi="宋体" w:cs="Arial"/>
          <w:bCs/>
          <w:color w:val="auto"/>
          <w:sz w:val="24"/>
          <w:szCs w:val="24"/>
          <w:highlight w:val="none"/>
          <w:lang w:val="en-US" w:eastAsia="zh-CN"/>
        </w:rPr>
        <w:t>和</w:t>
      </w:r>
      <w:r>
        <w:rPr>
          <w:rFonts w:hint="eastAsia" w:ascii="宋体" w:hAnsi="宋体" w:eastAsia="宋体" w:cs="Arial"/>
          <w:bCs/>
          <w:color w:val="auto"/>
          <w:sz w:val="24"/>
          <w:szCs w:val="24"/>
          <w:highlight w:val="none"/>
          <w:lang w:val="en-US" w:eastAsia="zh-CN"/>
        </w:rPr>
        <w:t>无人机自动巡查管理系统建设、硬件采购和运维服务，其中综合管理系统和无人机自动巡查管理系统包含1号线一、二、三期和</w:t>
      </w:r>
      <w:r>
        <w:rPr>
          <w:rFonts w:hint="eastAsia" w:ascii="宋体" w:hAnsi="宋体" w:cs="Arial"/>
          <w:bCs/>
          <w:color w:val="auto"/>
          <w:sz w:val="24"/>
          <w:szCs w:val="24"/>
          <w:highlight w:val="none"/>
          <w:lang w:val="en-US" w:eastAsia="zh-CN"/>
        </w:rPr>
        <w:t>现有线网的控制保护区</w:t>
      </w:r>
      <w:r>
        <w:rPr>
          <w:rFonts w:hint="eastAsia" w:ascii="宋体" w:hAnsi="宋体" w:eastAsia="宋体" w:cs="Arial"/>
          <w:bCs/>
          <w:color w:val="auto"/>
          <w:sz w:val="24"/>
          <w:szCs w:val="24"/>
          <w:highlight w:val="none"/>
          <w:lang w:val="en-US" w:eastAsia="zh-CN"/>
        </w:rPr>
        <w:t>及预留</w:t>
      </w:r>
      <w:r>
        <w:rPr>
          <w:rFonts w:hint="eastAsia" w:ascii="宋体" w:hAnsi="宋体" w:cs="Arial"/>
          <w:bCs/>
          <w:color w:val="auto"/>
          <w:sz w:val="24"/>
          <w:szCs w:val="24"/>
          <w:highlight w:val="none"/>
          <w:lang w:val="en-US" w:eastAsia="zh-CN"/>
        </w:rPr>
        <w:t>远期建设线路</w:t>
      </w:r>
      <w:r>
        <w:rPr>
          <w:rFonts w:hint="eastAsia" w:ascii="宋体" w:hAnsi="宋体" w:eastAsia="宋体" w:cs="Arial"/>
          <w:bCs/>
          <w:color w:val="auto"/>
          <w:sz w:val="24"/>
          <w:szCs w:val="24"/>
          <w:highlight w:val="none"/>
          <w:lang w:val="en-US" w:eastAsia="zh-CN"/>
        </w:rPr>
        <w:t>的接入功能；硬件部分包含无人机场、无人机、巡查手持终端、系统服务器硬件等；运维服务包含3年无人机场和无人机维护、配件更换和系统维护等</w:t>
      </w:r>
      <w:r>
        <w:rPr>
          <w:rFonts w:hint="eastAsia" w:ascii="宋体" w:hAnsi="宋体" w:cs="Arial"/>
          <w:bCs/>
          <w:color w:val="auto"/>
          <w:sz w:val="24"/>
          <w:szCs w:val="24"/>
          <w:highlight w:val="none"/>
        </w:rPr>
        <w:t>，具体详见用户需求书</w:t>
      </w:r>
      <w:r>
        <w:rPr>
          <w:rFonts w:hint="eastAsia" w:ascii="宋体" w:hAnsi="宋体" w:cs="Arial"/>
          <w:bCs/>
          <w:color w:val="auto"/>
          <w:sz w:val="24"/>
          <w:highlight w:val="none"/>
        </w:rPr>
        <w:t>。</w:t>
      </w:r>
    </w:p>
    <w:p w14:paraId="3F1E39CC">
      <w:pPr>
        <w:spacing w:line="360" w:lineRule="auto"/>
        <w:rPr>
          <w:rFonts w:hint="eastAsia" w:ascii="宋体" w:hAnsi="宋体"/>
          <w:color w:val="auto"/>
          <w:sz w:val="24"/>
          <w:highlight w:val="none"/>
        </w:rPr>
      </w:pPr>
      <w:r>
        <w:rPr>
          <w:rFonts w:hint="eastAsia" w:ascii="宋体" w:hAnsi="宋体"/>
          <w:color w:val="auto"/>
          <w:sz w:val="24"/>
          <w:highlight w:val="none"/>
        </w:rPr>
        <w:t>2.5本招标工程共分</w:t>
      </w:r>
      <w:r>
        <w:rPr>
          <w:rFonts w:hint="eastAsia" w:ascii="宋体" w:hAnsi="宋体"/>
          <w:color w:val="auto"/>
          <w:sz w:val="24"/>
          <w:highlight w:val="none"/>
          <w:u w:val="single"/>
        </w:rPr>
        <w:t xml:space="preserve"> 1 </w:t>
      </w:r>
      <w:r>
        <w:rPr>
          <w:rFonts w:hint="eastAsia" w:ascii="宋体" w:hAnsi="宋体"/>
          <w:color w:val="auto"/>
          <w:sz w:val="24"/>
          <w:highlight w:val="none"/>
        </w:rPr>
        <w:t>个标段，招标内容、规模和招标控制价：</w:t>
      </w:r>
    </w:p>
    <w:tbl>
      <w:tblPr>
        <w:tblStyle w:val="21"/>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66"/>
        <w:gridCol w:w="4949"/>
        <w:gridCol w:w="1607"/>
      </w:tblGrid>
      <w:tr w14:paraId="77813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593" w:type="pct"/>
            <w:vAlign w:val="center"/>
          </w:tcPr>
          <w:p w14:paraId="1E41BFBC">
            <w:pPr>
              <w:pStyle w:val="26"/>
              <w:widowControl w:val="0"/>
              <w:spacing w:line="400" w:lineRule="exact"/>
              <w:jc w:val="center"/>
              <w:rPr>
                <w:rFonts w:hint="eastAsia" w:ascii="宋体" w:hAnsi="宋体" w:cs="仿宋_GB2312"/>
                <w:b/>
                <w:bCs/>
                <w:color w:val="auto"/>
                <w:sz w:val="24"/>
                <w:szCs w:val="24"/>
                <w:highlight w:val="none"/>
              </w:rPr>
            </w:pPr>
            <w:r>
              <w:rPr>
                <w:rFonts w:hint="eastAsia" w:ascii="宋体" w:hAnsi="宋体" w:cs="仿宋_GB2312"/>
                <w:b/>
                <w:bCs/>
                <w:color w:val="auto"/>
                <w:sz w:val="24"/>
                <w:szCs w:val="24"/>
                <w:highlight w:val="none"/>
              </w:rPr>
              <w:t>招标内容</w:t>
            </w:r>
          </w:p>
        </w:tc>
        <w:tc>
          <w:tcPr>
            <w:tcW w:w="2571" w:type="pct"/>
            <w:vAlign w:val="center"/>
          </w:tcPr>
          <w:p w14:paraId="639E67C5">
            <w:pPr>
              <w:pStyle w:val="26"/>
              <w:widowControl w:val="0"/>
              <w:spacing w:line="400" w:lineRule="exact"/>
              <w:jc w:val="center"/>
              <w:rPr>
                <w:rFonts w:hint="eastAsia" w:ascii="宋体" w:hAnsi="宋体" w:cs="仿宋_GB2312"/>
                <w:b/>
                <w:bCs/>
                <w:color w:val="auto"/>
                <w:sz w:val="24"/>
                <w:szCs w:val="24"/>
                <w:highlight w:val="none"/>
              </w:rPr>
            </w:pPr>
            <w:r>
              <w:rPr>
                <w:rFonts w:hint="eastAsia" w:ascii="宋体" w:hAnsi="宋体" w:cs="仿宋_GB2312"/>
                <w:b/>
                <w:bCs/>
                <w:color w:val="auto"/>
                <w:sz w:val="24"/>
                <w:szCs w:val="24"/>
                <w:highlight w:val="none"/>
              </w:rPr>
              <w:t>规模</w:t>
            </w:r>
          </w:p>
        </w:tc>
        <w:tc>
          <w:tcPr>
            <w:tcW w:w="835" w:type="pct"/>
            <w:vAlign w:val="center"/>
          </w:tcPr>
          <w:p w14:paraId="51486001">
            <w:pPr>
              <w:pStyle w:val="26"/>
              <w:widowControl w:val="0"/>
              <w:spacing w:line="400" w:lineRule="exact"/>
              <w:jc w:val="center"/>
              <w:rPr>
                <w:rFonts w:hint="eastAsia" w:ascii="宋体" w:hAnsi="宋体" w:cs="仿宋_GB2312"/>
                <w:b/>
                <w:bCs/>
                <w:color w:val="auto"/>
                <w:sz w:val="24"/>
                <w:szCs w:val="24"/>
                <w:highlight w:val="none"/>
              </w:rPr>
            </w:pPr>
            <w:r>
              <w:rPr>
                <w:rFonts w:hint="eastAsia" w:ascii="宋体" w:hAnsi="宋体" w:cs="仿宋_GB2312"/>
                <w:b/>
                <w:bCs/>
                <w:color w:val="auto"/>
                <w:sz w:val="24"/>
                <w:szCs w:val="24"/>
                <w:highlight w:val="none"/>
              </w:rPr>
              <w:t>招标控制价</w:t>
            </w:r>
          </w:p>
        </w:tc>
      </w:tr>
      <w:tr w14:paraId="7140F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 w:hRule="atLeast"/>
          <w:jc w:val="center"/>
        </w:trPr>
        <w:tc>
          <w:tcPr>
            <w:tcW w:w="1593" w:type="pct"/>
            <w:vAlign w:val="center"/>
          </w:tcPr>
          <w:p w14:paraId="377DEEA0">
            <w:pPr>
              <w:pStyle w:val="26"/>
              <w:spacing w:line="400" w:lineRule="exact"/>
              <w:rPr>
                <w:rFonts w:hint="eastAsia" w:ascii="宋体" w:hAnsi="宋体" w:cs="仿宋_GB2312"/>
                <w:color w:val="auto"/>
                <w:sz w:val="24"/>
                <w:szCs w:val="24"/>
                <w:highlight w:val="none"/>
              </w:rPr>
            </w:pPr>
            <w:r>
              <w:rPr>
                <w:rFonts w:hint="eastAsia" w:ascii="宋体" w:hAnsi="宋体"/>
                <w:color w:val="auto"/>
                <w:sz w:val="24"/>
                <w:highlight w:val="none"/>
              </w:rPr>
              <w:t>东莞市轨道交通1号线运营期地铁控制保护区综合管理系统</w:t>
            </w:r>
            <w:r>
              <w:rPr>
                <w:rFonts w:hint="eastAsia" w:ascii="宋体" w:hAnsi="宋体"/>
                <w:color w:val="auto"/>
                <w:sz w:val="24"/>
                <w:highlight w:val="none"/>
                <w:lang w:val="en-US" w:eastAsia="zh-CN"/>
              </w:rPr>
              <w:t>项目</w:t>
            </w:r>
            <w:r>
              <w:rPr>
                <w:rFonts w:hint="eastAsia" w:ascii="宋体" w:hAnsi="宋体" w:cs="仿宋_GB2312"/>
                <w:color w:val="auto"/>
                <w:sz w:val="24"/>
                <w:szCs w:val="24"/>
                <w:highlight w:val="none"/>
              </w:rPr>
              <w:t>。具体内容见《用户需求书》</w:t>
            </w:r>
          </w:p>
        </w:tc>
        <w:tc>
          <w:tcPr>
            <w:tcW w:w="2571" w:type="pct"/>
            <w:vAlign w:val="center"/>
          </w:tcPr>
          <w:p w14:paraId="624219CB">
            <w:pPr>
              <w:pStyle w:val="19"/>
              <w:spacing w:after="0"/>
              <w:ind w:firstLine="0" w:firstLineChars="0"/>
              <w:rPr>
                <w:rFonts w:hint="eastAsia" w:ascii="宋体" w:hAnsi="宋体" w:cs="仿宋_GB2312"/>
                <w:color w:val="auto"/>
                <w:sz w:val="24"/>
                <w:highlight w:val="none"/>
              </w:rPr>
            </w:pPr>
            <w:r>
              <w:rPr>
                <w:rFonts w:hint="eastAsia" w:ascii="宋体" w:hAnsi="宋体" w:cs="仿宋_GB2312"/>
                <w:color w:val="auto"/>
                <w:sz w:val="24"/>
                <w:highlight w:val="none"/>
              </w:rPr>
              <w:t>地铁控制保护区综合管理系统和无人机巡查系统的研发、部署、培训和维护，10座无人机场（每座含自动无人机一台）的采购、建设、运维服务，以及2台手动无人机、</w:t>
            </w:r>
            <w:r>
              <w:rPr>
                <w:rFonts w:hint="eastAsia" w:ascii="宋体" w:hAnsi="宋体" w:cs="仿宋_GB2312"/>
                <w:color w:val="auto"/>
                <w:sz w:val="24"/>
                <w:highlight w:val="none"/>
                <w:lang w:eastAsia="zh-CN"/>
              </w:rPr>
              <w:t>系统服务器</w:t>
            </w:r>
            <w:r>
              <w:rPr>
                <w:rFonts w:hint="eastAsia" w:ascii="宋体" w:hAnsi="宋体" w:cs="仿宋_GB2312"/>
                <w:color w:val="auto"/>
                <w:sz w:val="24"/>
                <w:highlight w:val="none"/>
              </w:rPr>
              <w:t>、6个手持终端的采购。</w:t>
            </w:r>
          </w:p>
        </w:tc>
        <w:tc>
          <w:tcPr>
            <w:tcW w:w="835" w:type="pct"/>
            <w:vAlign w:val="center"/>
          </w:tcPr>
          <w:p w14:paraId="4DDA0B09">
            <w:pPr>
              <w:pStyle w:val="26"/>
              <w:widowControl w:val="0"/>
              <w:spacing w:line="400" w:lineRule="exact"/>
              <w:jc w:val="left"/>
              <w:rPr>
                <w:rFonts w:hint="eastAsia" w:ascii="宋体" w:hAnsi="宋体" w:cs="仿宋_GB2312"/>
                <w:color w:val="auto"/>
                <w:sz w:val="24"/>
                <w:szCs w:val="24"/>
                <w:highlight w:val="none"/>
              </w:rPr>
            </w:pPr>
            <w:r>
              <w:rPr>
                <w:rFonts w:hint="eastAsia" w:ascii="宋体" w:hAnsi="宋体" w:cs="宋体"/>
                <w:color w:val="auto"/>
                <w:sz w:val="24"/>
                <w:highlight w:val="none"/>
              </w:rPr>
              <w:t>人民币547.</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万元</w:t>
            </w:r>
          </w:p>
        </w:tc>
      </w:tr>
    </w:tbl>
    <w:p w14:paraId="4EF22F25">
      <w:pPr>
        <w:spacing w:line="360" w:lineRule="auto"/>
        <w:rPr>
          <w:rFonts w:hint="eastAsia" w:ascii="宋体" w:hAnsi="宋体"/>
          <w:color w:val="auto"/>
          <w:sz w:val="24"/>
          <w:highlight w:val="none"/>
        </w:rPr>
      </w:pPr>
      <w:r>
        <w:rPr>
          <w:rFonts w:hint="eastAsia" w:ascii="宋体" w:hAnsi="宋体"/>
          <w:color w:val="auto"/>
          <w:sz w:val="24"/>
          <w:highlight w:val="none"/>
        </w:rPr>
        <w:t>2.6质量要求：</w:t>
      </w:r>
      <w:r>
        <w:rPr>
          <w:rFonts w:hint="eastAsia" w:ascii="宋体" w:hAnsi="宋体" w:cs="仿宋_GB2312"/>
          <w:color w:val="auto"/>
          <w:sz w:val="24"/>
          <w:highlight w:val="none"/>
        </w:rPr>
        <w:t>确保系统开发和无人机建设、调试和运营在1号线初期运营前完成。</w:t>
      </w:r>
    </w:p>
    <w:p w14:paraId="56785FA6">
      <w:pPr>
        <w:spacing w:line="360" w:lineRule="auto"/>
        <w:rPr>
          <w:rFonts w:hint="eastAsia" w:ascii="宋体" w:hAnsi="宋体"/>
          <w:b/>
          <w:color w:val="auto"/>
          <w:sz w:val="24"/>
          <w:highlight w:val="none"/>
        </w:rPr>
      </w:pPr>
      <w:r>
        <w:rPr>
          <w:rFonts w:hint="eastAsia" w:ascii="宋体" w:hAnsi="宋体"/>
          <w:b/>
          <w:color w:val="auto"/>
          <w:sz w:val="24"/>
          <w:highlight w:val="none"/>
        </w:rPr>
        <w:t>3.  投标人资格</w:t>
      </w:r>
    </w:p>
    <w:p w14:paraId="6B38E63F">
      <w:pPr>
        <w:snapToGrid w:val="0"/>
        <w:spacing w:line="360" w:lineRule="auto"/>
        <w:ind w:left="420" w:hanging="420" w:hangingChars="175"/>
        <w:rPr>
          <w:rFonts w:hint="eastAsia" w:ascii="仿宋" w:hAnsi="仿宋" w:eastAsia="仿宋"/>
          <w:bCs/>
          <w:color w:val="auto"/>
          <w:sz w:val="28"/>
          <w:szCs w:val="28"/>
          <w:highlight w:val="none"/>
        </w:rPr>
      </w:pPr>
      <w:r>
        <w:rPr>
          <w:rFonts w:hint="eastAsia" w:ascii="宋体" w:hAnsi="宋体"/>
          <w:color w:val="auto"/>
          <w:sz w:val="24"/>
          <w:highlight w:val="none"/>
        </w:rPr>
        <w:t>3.1</w:t>
      </w:r>
      <w:r>
        <w:rPr>
          <w:rFonts w:hint="eastAsia" w:ascii="宋体" w:hAnsi="宋体" w:cs="宋体"/>
          <w:bCs/>
          <w:color w:val="auto"/>
          <w:sz w:val="24"/>
          <w:highlight w:val="none"/>
        </w:rPr>
        <w:t>投标人</w:t>
      </w:r>
      <w:r>
        <w:rPr>
          <w:rFonts w:hint="eastAsia" w:ascii="宋体" w:hAnsi="宋体"/>
          <w:color w:val="auto"/>
          <w:sz w:val="24"/>
          <w:highlight w:val="none"/>
        </w:rPr>
        <w:t>(或联合体各方均)</w:t>
      </w:r>
      <w:r>
        <w:rPr>
          <w:rFonts w:hint="eastAsia" w:ascii="宋体" w:hAnsi="宋体" w:cs="宋体"/>
          <w:bCs/>
          <w:color w:val="auto"/>
          <w:sz w:val="24"/>
          <w:highlight w:val="none"/>
        </w:rPr>
        <w:t>必须是在中华人民共和国注册的独立法人。投标人持有有效的工商行政管理部门核发的法人营业执照或各级政府事业单位登记管理机关颁发的事业单位法人证书，按国家法律经营。</w:t>
      </w:r>
    </w:p>
    <w:p w14:paraId="38E9257A">
      <w:pPr>
        <w:spacing w:line="360" w:lineRule="auto"/>
        <w:ind w:left="420" w:hanging="420" w:hangingChars="175"/>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2投标人具有由中国民用航空局颁发且在有效期内的《</w:t>
      </w:r>
      <w:bookmarkStart w:id="24" w:name="OLE_LINK1"/>
      <w:r>
        <w:rPr>
          <w:rFonts w:hint="eastAsia" w:ascii="宋体" w:hAnsi="宋体"/>
          <w:color w:val="auto"/>
          <w:sz w:val="24"/>
          <w:highlight w:val="none"/>
        </w:rPr>
        <w:t>民用无人驾驶航空器运营合格证</w:t>
      </w:r>
      <w:bookmarkEnd w:id="24"/>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如投标人以联合体方式投标的，须由联合体中负责无人机飞行计划申报的一方提供</w:t>
      </w:r>
      <w:r>
        <w:rPr>
          <w:rFonts w:hint="eastAsia" w:ascii="宋体" w:hAnsi="宋体"/>
          <w:color w:val="auto"/>
          <w:sz w:val="24"/>
          <w:highlight w:val="none"/>
        </w:rPr>
        <w:t>《民用无人驾驶航空器运营合格证》</w:t>
      </w:r>
      <w:r>
        <w:rPr>
          <w:rFonts w:hint="eastAsia" w:ascii="宋体" w:hAnsi="宋体"/>
          <w:color w:val="auto"/>
          <w:sz w:val="24"/>
          <w:highlight w:val="none"/>
          <w:lang w:eastAsia="zh-CN"/>
        </w:rPr>
        <w:t>）</w:t>
      </w:r>
    </w:p>
    <w:p w14:paraId="62C63090">
      <w:pPr>
        <w:spacing w:line="360" w:lineRule="auto"/>
        <w:ind w:left="420" w:hanging="420" w:hangingChars="175"/>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3投标人已按照规定的格式和内容要求签署了《投标申请人声明》（格式详见本招标公告附件一）。</w:t>
      </w:r>
    </w:p>
    <w:p w14:paraId="5841FEBB">
      <w:pPr>
        <w:spacing w:line="360" w:lineRule="auto"/>
        <w:ind w:left="480" w:hanging="480" w:hanging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4本次招标</w:t>
      </w:r>
      <w:r>
        <w:rPr>
          <w:rFonts w:hint="eastAsia" w:ascii="宋体" w:hAnsi="宋体"/>
          <w:color w:val="auto"/>
          <w:sz w:val="24"/>
          <w:highlight w:val="none"/>
          <w:u w:val="single"/>
        </w:rPr>
        <w:t>接受</w:t>
      </w:r>
      <w:r>
        <w:rPr>
          <w:rFonts w:hint="eastAsia" w:ascii="宋体" w:hAnsi="宋体"/>
          <w:color w:val="auto"/>
          <w:sz w:val="24"/>
          <w:highlight w:val="none"/>
        </w:rPr>
        <w:t>联合体投标。</w:t>
      </w:r>
    </w:p>
    <w:p w14:paraId="69649269">
      <w:pPr>
        <w:spacing w:line="360" w:lineRule="auto"/>
        <w:ind w:left="480" w:hanging="480" w:hanging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4</w:t>
      </w:r>
      <w:r>
        <w:rPr>
          <w:rFonts w:hint="eastAsia" w:ascii="宋体" w:hAnsi="宋体"/>
          <w:color w:val="auto"/>
          <w:sz w:val="24"/>
          <w:highlight w:val="none"/>
        </w:rPr>
        <w:t>.1 联合体组成单位不超过2个。</w:t>
      </w:r>
    </w:p>
    <w:p w14:paraId="6C400667">
      <w:pPr>
        <w:spacing w:line="360" w:lineRule="auto"/>
        <w:ind w:left="720" w:hanging="720" w:hangingChars="3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4</w:t>
      </w:r>
      <w:r>
        <w:rPr>
          <w:rFonts w:hint="eastAsia" w:ascii="宋体" w:hAnsi="宋体"/>
          <w:color w:val="auto"/>
          <w:sz w:val="24"/>
          <w:highlight w:val="none"/>
        </w:rPr>
        <w:t>.2 如投标人组成联合体，必须在投标文件中提供联合体协议（格式详见本招标公告附件</w:t>
      </w:r>
      <w:r>
        <w:rPr>
          <w:rFonts w:hint="eastAsia" w:ascii="宋体" w:hAnsi="宋体"/>
          <w:color w:val="auto"/>
          <w:sz w:val="24"/>
          <w:highlight w:val="none"/>
          <w:lang w:val="en-US" w:eastAsia="zh-CN"/>
        </w:rPr>
        <w:t>二</w:t>
      </w:r>
      <w:r>
        <w:rPr>
          <w:rFonts w:hint="eastAsia" w:ascii="宋体" w:hAnsi="宋体"/>
          <w:color w:val="auto"/>
          <w:sz w:val="24"/>
          <w:highlight w:val="none"/>
        </w:rPr>
        <w:t>）。</w:t>
      </w:r>
    </w:p>
    <w:p w14:paraId="6A3DDB33">
      <w:pPr>
        <w:spacing w:line="360" w:lineRule="auto"/>
        <w:ind w:left="720" w:hanging="720" w:hangingChars="3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4</w:t>
      </w:r>
      <w:r>
        <w:rPr>
          <w:rFonts w:hint="eastAsia" w:ascii="宋体" w:hAnsi="宋体"/>
          <w:color w:val="auto"/>
          <w:sz w:val="24"/>
          <w:highlight w:val="none"/>
        </w:rPr>
        <w:t>.3 联合体牵头人应被授权作为联合体各方的代表，必须在投标文件中提供联合体成员的授权函（格式详见本招标公告附件</w:t>
      </w:r>
      <w:r>
        <w:rPr>
          <w:rFonts w:hint="eastAsia" w:ascii="宋体" w:hAnsi="宋体"/>
          <w:color w:val="auto"/>
          <w:sz w:val="24"/>
          <w:highlight w:val="none"/>
          <w:lang w:val="en-US" w:eastAsia="zh-CN"/>
        </w:rPr>
        <w:t>三</w:t>
      </w:r>
      <w:r>
        <w:rPr>
          <w:rFonts w:hint="eastAsia" w:ascii="宋体" w:hAnsi="宋体"/>
          <w:color w:val="auto"/>
          <w:sz w:val="24"/>
          <w:highlight w:val="none"/>
        </w:rPr>
        <w:t>）。</w:t>
      </w:r>
    </w:p>
    <w:p w14:paraId="5040AE6A">
      <w:pPr>
        <w:spacing w:line="360" w:lineRule="auto"/>
        <w:rPr>
          <w:rFonts w:hint="eastAsia" w:ascii="宋体" w:hAnsi="宋体"/>
          <w:b/>
          <w:color w:val="auto"/>
          <w:sz w:val="24"/>
          <w:highlight w:val="none"/>
        </w:rPr>
      </w:pPr>
      <w:r>
        <w:rPr>
          <w:rFonts w:hint="eastAsia" w:ascii="宋体" w:hAnsi="宋体"/>
          <w:b/>
          <w:color w:val="auto"/>
          <w:sz w:val="24"/>
          <w:highlight w:val="none"/>
        </w:rPr>
        <w:t>4.  招标文件的获取</w:t>
      </w:r>
    </w:p>
    <w:p w14:paraId="4631EF4A">
      <w:pPr>
        <w:spacing w:line="360" w:lineRule="auto"/>
        <w:ind w:left="566" w:hanging="566" w:hangingChars="236"/>
        <w:rPr>
          <w:rFonts w:hint="eastAsia" w:ascii="宋体" w:hAnsi="宋体"/>
          <w:color w:val="auto"/>
          <w:sz w:val="24"/>
          <w:highlight w:val="none"/>
        </w:rPr>
      </w:pPr>
      <w:r>
        <w:rPr>
          <w:rFonts w:hint="eastAsia" w:ascii="宋体" w:hAnsi="宋体"/>
          <w:color w:val="auto"/>
          <w:sz w:val="24"/>
          <w:highlight w:val="none"/>
        </w:rPr>
        <w:t>4.1凡有意参加投标者，请于</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分至</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分（北京时间，下同），登录</w:t>
      </w:r>
      <w:r>
        <w:rPr>
          <w:rFonts w:hint="eastAsia" w:ascii="宋体" w:hAnsi="宋体"/>
          <w:color w:val="auto"/>
          <w:sz w:val="24"/>
          <w:highlight w:val="none"/>
          <w:u w:val="single"/>
          <w:lang w:eastAsia="zh-CN"/>
        </w:rPr>
        <w:t>广州交易集团有限公司（广州公共资源交易中心）</w:t>
      </w:r>
      <w:r>
        <w:rPr>
          <w:rFonts w:hint="eastAsia" w:ascii="宋体" w:hAnsi="宋体"/>
          <w:color w:val="auto"/>
          <w:sz w:val="24"/>
          <w:highlight w:val="none"/>
          <w:u w:val="single"/>
        </w:rPr>
        <w:t>（http//www.gzggzy.cn）</w:t>
      </w:r>
      <w:r>
        <w:rPr>
          <w:rFonts w:hint="eastAsia" w:ascii="宋体" w:hAnsi="宋体"/>
          <w:color w:val="auto"/>
          <w:sz w:val="24"/>
          <w:highlight w:val="none"/>
        </w:rPr>
        <w:t>下载电子招标文件。</w:t>
      </w:r>
    </w:p>
    <w:p w14:paraId="74A595E5">
      <w:pPr>
        <w:spacing w:line="360" w:lineRule="auto"/>
        <w:ind w:left="566" w:hanging="566" w:hangingChars="236"/>
        <w:rPr>
          <w:rFonts w:hint="eastAsia" w:ascii="宋体" w:hAnsi="宋体"/>
          <w:color w:val="auto"/>
          <w:sz w:val="24"/>
          <w:highlight w:val="none"/>
        </w:rPr>
      </w:pPr>
      <w:r>
        <w:rPr>
          <w:rFonts w:ascii="宋体" w:hAnsi="宋体"/>
          <w:color w:val="auto"/>
          <w:sz w:val="24"/>
          <w:highlight w:val="none"/>
        </w:rPr>
        <w:t>4.2</w:t>
      </w:r>
      <w:r>
        <w:rPr>
          <w:rFonts w:hint="eastAsia" w:ascii="宋体" w:hAnsi="宋体"/>
          <w:color w:val="auto"/>
          <w:sz w:val="24"/>
          <w:highlight w:val="none"/>
        </w:rPr>
        <w:t>发布招标公告时间（含本日）：</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分至</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分 （详见</w:t>
      </w:r>
      <w:r>
        <w:rPr>
          <w:rFonts w:hint="eastAsia" w:ascii="宋体" w:hAnsi="宋体"/>
          <w:color w:val="auto"/>
          <w:sz w:val="24"/>
          <w:highlight w:val="none"/>
          <w:lang w:eastAsia="zh-CN"/>
        </w:rPr>
        <w:t>广州交易集团有限公司（广州公共资源交易中心）</w:t>
      </w:r>
      <w:r>
        <w:rPr>
          <w:rFonts w:hint="eastAsia" w:ascii="宋体" w:hAnsi="宋体"/>
          <w:color w:val="auto"/>
          <w:sz w:val="24"/>
          <w:highlight w:val="none"/>
        </w:rPr>
        <w:t>项目查询-日程安排）。</w:t>
      </w:r>
    </w:p>
    <w:p w14:paraId="04DCF19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注：发布招标公告的时间为招标公告发出之日起至递交投标文件截止时间止。</w:t>
      </w:r>
    </w:p>
    <w:p w14:paraId="67ACD210">
      <w:pPr>
        <w:spacing w:line="360" w:lineRule="auto"/>
        <w:ind w:left="566" w:hanging="566" w:hangingChars="236"/>
        <w:rPr>
          <w:rFonts w:hint="eastAsia" w:ascii="宋体" w:hAnsi="宋体"/>
          <w:color w:val="auto"/>
          <w:sz w:val="24"/>
          <w:highlight w:val="none"/>
        </w:rPr>
      </w:pPr>
      <w:r>
        <w:rPr>
          <w:rFonts w:ascii="宋体" w:hAnsi="宋体"/>
          <w:color w:val="auto"/>
          <w:sz w:val="24"/>
          <w:highlight w:val="none"/>
        </w:rPr>
        <w:t>4.3</w:t>
      </w:r>
      <w:r>
        <w:rPr>
          <w:rFonts w:hint="eastAsia" w:ascii="宋体" w:hAnsi="宋体"/>
          <w:color w:val="auto"/>
          <w:sz w:val="24"/>
          <w:highlight w:val="none"/>
        </w:rPr>
        <w:t>本项目采用资格后审方式。</w:t>
      </w:r>
    </w:p>
    <w:p w14:paraId="0802A25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注：1、电子招投标操作流程详见</w:t>
      </w:r>
      <w:r>
        <w:rPr>
          <w:rFonts w:hint="eastAsia" w:ascii="宋体" w:hAnsi="宋体"/>
          <w:color w:val="auto"/>
          <w:sz w:val="24"/>
          <w:highlight w:val="none"/>
          <w:lang w:eastAsia="zh-CN"/>
        </w:rPr>
        <w:t>广州交易集团有限公司（广州公共资源交易中心）</w:t>
      </w:r>
      <w:r>
        <w:rPr>
          <w:rFonts w:hint="eastAsia" w:ascii="宋体" w:hAnsi="宋体"/>
          <w:color w:val="auto"/>
          <w:sz w:val="24"/>
          <w:highlight w:val="none"/>
          <w:lang w:val="en-US" w:eastAsia="zh-CN"/>
        </w:rPr>
        <w:t>网</w:t>
      </w:r>
      <w:r>
        <w:rPr>
          <w:rFonts w:hint="eastAsia" w:ascii="宋体" w:hAnsi="宋体"/>
          <w:color w:val="auto"/>
          <w:sz w:val="24"/>
          <w:highlight w:val="none"/>
        </w:rPr>
        <w:t>站发布的最新版操作指引；</w:t>
      </w:r>
    </w:p>
    <w:p w14:paraId="34BB246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2、本公告发布之日起开始发布招标文件，并从发布招标文件之日起开始计算备标时间。</w:t>
      </w:r>
    </w:p>
    <w:p w14:paraId="66216511">
      <w:pPr>
        <w:spacing w:line="360" w:lineRule="auto"/>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4招标失败的情况</w:t>
      </w:r>
    </w:p>
    <w:p w14:paraId="0CEDB1E5">
      <w:pPr>
        <w:spacing w:line="360" w:lineRule="auto"/>
        <w:ind w:left="567" w:leftChars="270"/>
        <w:rPr>
          <w:rFonts w:hint="eastAsia" w:ascii="宋体" w:hAnsi="宋体"/>
          <w:color w:val="auto"/>
          <w:sz w:val="24"/>
          <w:highlight w:val="none"/>
        </w:rPr>
      </w:pPr>
      <w:r>
        <w:rPr>
          <w:rFonts w:hint="eastAsia" w:ascii="宋体" w:hAnsi="宋体"/>
          <w:color w:val="auto"/>
          <w:sz w:val="24"/>
          <w:highlight w:val="none"/>
        </w:rPr>
        <w:t>满足资格审查合格条件或通过初步评审的投标申请人不足</w:t>
      </w:r>
      <w:r>
        <w:rPr>
          <w:rFonts w:ascii="宋体" w:hAnsi="宋体"/>
          <w:color w:val="auto"/>
          <w:sz w:val="24"/>
          <w:highlight w:val="none"/>
        </w:rPr>
        <w:t>3</w:t>
      </w:r>
      <w:r>
        <w:rPr>
          <w:rFonts w:hint="eastAsia" w:ascii="宋体" w:hAnsi="宋体"/>
          <w:color w:val="auto"/>
          <w:sz w:val="24"/>
          <w:highlight w:val="none"/>
        </w:rPr>
        <w:t>名时为招标失败。招标人分析招标失败原因，修正招标方案，报有关管理部门核准后，重新组织招标。</w:t>
      </w:r>
    </w:p>
    <w:p w14:paraId="704C06E1">
      <w:pPr>
        <w:spacing w:line="360" w:lineRule="auto"/>
        <w:ind w:left="566" w:hanging="566" w:hangingChars="236"/>
        <w:rPr>
          <w:rFonts w:hint="eastAsia" w:ascii="宋体" w:hAnsi="宋体"/>
          <w:color w:val="auto"/>
          <w:sz w:val="24"/>
          <w:highlight w:val="none"/>
        </w:rPr>
      </w:pPr>
      <w:r>
        <w:rPr>
          <w:rFonts w:hint="eastAsia" w:ascii="宋体" w:hAnsi="宋体"/>
          <w:color w:val="auto"/>
          <w:sz w:val="24"/>
          <w:highlight w:val="none"/>
        </w:rPr>
        <w:t>4.5投标人通过广州公共资源交易平台递交电子投标文件。投标人应在递交投标文件截止时间前，登录广州公共资源交易平台网站办理网上投标登记手续。按照交易平台关于全流程电子化项目的相关指南进行操作。详见：</w:t>
      </w:r>
      <w:r>
        <w:rPr>
          <w:rFonts w:hint="eastAsia" w:ascii="宋体" w:hAnsi="宋体"/>
          <w:color w:val="auto"/>
          <w:sz w:val="24"/>
          <w:highlight w:val="none"/>
          <w:lang w:eastAsia="zh-CN"/>
        </w:rPr>
        <w:t>广州交易集团有限公司（广州公共资源交易中心）</w:t>
      </w:r>
      <w:r>
        <w:rPr>
          <w:rFonts w:hint="eastAsia" w:ascii="宋体" w:hAnsi="宋体"/>
          <w:color w:val="auto"/>
          <w:sz w:val="24"/>
          <w:highlight w:val="none"/>
        </w:rPr>
        <w:t>网站发布的《房屋建筑和市政基础设施工程全流程电子化项目专章》。</w:t>
      </w:r>
    </w:p>
    <w:p w14:paraId="0FEB50BE">
      <w:pPr>
        <w:spacing w:line="360" w:lineRule="auto"/>
        <w:rPr>
          <w:rFonts w:hint="eastAsia" w:ascii="宋体" w:hAnsi="宋体"/>
          <w:b/>
          <w:color w:val="auto"/>
          <w:sz w:val="24"/>
          <w:highlight w:val="none"/>
        </w:rPr>
      </w:pPr>
      <w:r>
        <w:rPr>
          <w:rFonts w:hint="eastAsia" w:ascii="宋体" w:hAnsi="宋体"/>
          <w:b/>
          <w:color w:val="auto"/>
          <w:sz w:val="24"/>
          <w:highlight w:val="none"/>
        </w:rPr>
        <w:t>5. 投标文件的递交</w:t>
      </w:r>
    </w:p>
    <w:p w14:paraId="15FD487A">
      <w:pPr>
        <w:spacing w:line="360" w:lineRule="auto"/>
        <w:rPr>
          <w:rFonts w:hint="eastAsia" w:ascii="宋体" w:hAnsi="宋体"/>
          <w:color w:val="auto"/>
          <w:sz w:val="24"/>
          <w:highlight w:val="none"/>
        </w:rPr>
      </w:pPr>
      <w:r>
        <w:rPr>
          <w:rFonts w:hint="eastAsia" w:ascii="宋体" w:hAnsi="宋体"/>
          <w:color w:val="auto"/>
          <w:sz w:val="24"/>
          <w:highlight w:val="none"/>
        </w:rPr>
        <w:t>5.1递交电子投标文件。</w:t>
      </w:r>
    </w:p>
    <w:p w14:paraId="309B12E6">
      <w:pPr>
        <w:spacing w:line="360" w:lineRule="auto"/>
        <w:ind w:left="479" w:leftChars="228"/>
        <w:rPr>
          <w:rFonts w:hint="eastAsia" w:ascii="宋体" w:hAnsi="宋体"/>
          <w:color w:val="auto"/>
          <w:sz w:val="24"/>
          <w:highlight w:val="none"/>
        </w:rPr>
      </w:pPr>
      <w:r>
        <w:rPr>
          <w:rFonts w:hint="eastAsia" w:ascii="宋体" w:hAnsi="宋体"/>
          <w:color w:val="auto"/>
          <w:sz w:val="24"/>
          <w:highlight w:val="none"/>
        </w:rPr>
        <w:t>投标文件递交的截止时间（投标截止时间，下同）为</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分（详见</w:t>
      </w:r>
      <w:r>
        <w:rPr>
          <w:rFonts w:hint="eastAsia" w:ascii="宋体" w:hAnsi="宋体"/>
          <w:color w:val="auto"/>
          <w:sz w:val="24"/>
          <w:highlight w:val="none"/>
          <w:lang w:eastAsia="zh-CN"/>
        </w:rPr>
        <w:t>广州交易集团有限公司（广州公共资源交易中心）</w:t>
      </w:r>
      <w:r>
        <w:rPr>
          <w:rFonts w:hint="eastAsia" w:ascii="宋体" w:hAnsi="宋体"/>
          <w:color w:val="auto"/>
          <w:sz w:val="24"/>
          <w:highlight w:val="none"/>
        </w:rPr>
        <w:t>项目查询-日程安排），</w:t>
      </w:r>
      <w:r>
        <w:rPr>
          <w:rFonts w:ascii="宋体" w:hAnsi="宋体"/>
          <w:color w:val="auto"/>
          <w:sz w:val="24"/>
          <w:highlight w:val="none"/>
        </w:rPr>
        <w:t>投标人应在截止时间前通过</w:t>
      </w:r>
      <w:r>
        <w:rPr>
          <w:rFonts w:hint="eastAsia" w:ascii="宋体" w:hAnsi="宋体"/>
          <w:color w:val="auto"/>
          <w:sz w:val="24"/>
          <w:highlight w:val="none"/>
          <w:u w:val="single"/>
          <w:lang w:eastAsia="zh-CN"/>
        </w:rPr>
        <w:t>广州交易集团有限公司（广州公共资源交易中心）</w:t>
      </w:r>
      <w:r>
        <w:rPr>
          <w:rFonts w:hint="eastAsia" w:ascii="宋体" w:hAnsi="宋体"/>
          <w:color w:val="auto"/>
          <w:sz w:val="24"/>
          <w:highlight w:val="none"/>
          <w:u w:val="single"/>
        </w:rPr>
        <w:t>数字交易平台（</w:t>
      </w:r>
      <w:r>
        <w:rPr>
          <w:rFonts w:ascii="宋体" w:hAnsi="宋体"/>
          <w:color w:val="auto"/>
          <w:sz w:val="24"/>
          <w:highlight w:val="none"/>
          <w:u w:val="single"/>
        </w:rPr>
        <w:t>http://www.gzggzy.cn</w:t>
      </w:r>
      <w:r>
        <w:rPr>
          <w:rFonts w:hint="eastAsia" w:ascii="宋体" w:hAnsi="宋体"/>
          <w:color w:val="auto"/>
          <w:sz w:val="24"/>
          <w:highlight w:val="none"/>
          <w:u w:val="single"/>
        </w:rPr>
        <w:t>）</w:t>
      </w:r>
      <w:r>
        <w:rPr>
          <w:rFonts w:hint="eastAsia" w:ascii="宋体" w:hAnsi="宋体"/>
          <w:color w:val="auto"/>
          <w:sz w:val="24"/>
          <w:highlight w:val="none"/>
        </w:rPr>
        <w:t>递交电子投标文件。</w:t>
      </w:r>
    </w:p>
    <w:p w14:paraId="432B3191">
      <w:pPr>
        <w:tabs>
          <w:tab w:val="left" w:pos="360"/>
        </w:tabs>
        <w:spacing w:line="360" w:lineRule="auto"/>
        <w:rPr>
          <w:rFonts w:hint="eastAsia" w:ascii="宋体" w:hAnsi="宋体"/>
          <w:color w:val="auto"/>
          <w:sz w:val="24"/>
          <w:highlight w:val="none"/>
        </w:rPr>
      </w:pPr>
      <w:r>
        <w:rPr>
          <w:rFonts w:hint="eastAsia" w:ascii="宋体" w:hAnsi="宋体"/>
          <w:color w:val="auto"/>
          <w:sz w:val="24"/>
          <w:highlight w:val="none"/>
        </w:rPr>
        <w:t>5.2提交投标文件光盘(备用)。</w:t>
      </w:r>
    </w:p>
    <w:p w14:paraId="40EF07D0">
      <w:pPr>
        <w:spacing w:line="360" w:lineRule="auto"/>
        <w:ind w:left="479" w:leftChars="228"/>
        <w:rPr>
          <w:rFonts w:hint="eastAsia" w:ascii="宋体" w:hAnsi="宋体"/>
          <w:color w:val="auto"/>
          <w:sz w:val="24"/>
          <w:highlight w:val="none"/>
        </w:rPr>
      </w:pPr>
      <w:r>
        <w:rPr>
          <w:rFonts w:hint="eastAsia" w:ascii="宋体" w:hAnsi="宋体"/>
          <w:color w:val="auto"/>
          <w:sz w:val="24"/>
          <w:highlight w:val="none"/>
        </w:rPr>
        <w:t>投标文件光盘（备用）递交时间：2025年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时</w:t>
      </w:r>
      <w:r>
        <w:rPr>
          <w:rFonts w:ascii="宋体" w:hAnsi="宋体"/>
          <w:color w:val="auto"/>
          <w:sz w:val="24"/>
          <w:highlight w:val="none"/>
        </w:rPr>
        <w:t xml:space="preserve"> </w:t>
      </w:r>
      <w:r>
        <w:rPr>
          <w:rFonts w:hint="eastAsia" w:ascii="宋体" w:hAnsi="宋体"/>
          <w:color w:val="auto"/>
          <w:sz w:val="24"/>
          <w:highlight w:val="none"/>
        </w:rPr>
        <w:t>分至2025年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时</w:t>
      </w:r>
      <w:r>
        <w:rPr>
          <w:rFonts w:ascii="宋体" w:hAnsi="宋体"/>
          <w:color w:val="auto"/>
          <w:sz w:val="24"/>
          <w:highlight w:val="none"/>
        </w:rPr>
        <w:t xml:space="preserve"> </w:t>
      </w:r>
      <w:r>
        <w:rPr>
          <w:rFonts w:hint="eastAsia" w:ascii="宋体" w:hAnsi="宋体"/>
          <w:color w:val="auto"/>
          <w:sz w:val="24"/>
          <w:highlight w:val="none"/>
        </w:rPr>
        <w:t>分，地点：广州市公共资源交易中心 第</w:t>
      </w:r>
      <w:r>
        <w:rPr>
          <w:rFonts w:ascii="宋体" w:hAnsi="宋体"/>
          <w:color w:val="auto"/>
          <w:sz w:val="24"/>
          <w:highlight w:val="none"/>
        </w:rPr>
        <w:t xml:space="preserve">  </w:t>
      </w:r>
      <w:r>
        <w:rPr>
          <w:rFonts w:hint="eastAsia" w:ascii="宋体" w:hAnsi="宋体"/>
          <w:color w:val="auto"/>
          <w:sz w:val="24"/>
          <w:highlight w:val="none"/>
        </w:rPr>
        <w:t>开标室  （详见</w:t>
      </w:r>
      <w:r>
        <w:rPr>
          <w:rFonts w:hint="eastAsia" w:ascii="宋体" w:hAnsi="宋体"/>
          <w:color w:val="auto"/>
          <w:sz w:val="24"/>
          <w:highlight w:val="none"/>
          <w:lang w:eastAsia="zh-CN"/>
        </w:rPr>
        <w:t>广州交易集团有限公司（广州公共资源交易中心）</w:t>
      </w:r>
      <w:r>
        <w:rPr>
          <w:rFonts w:hint="eastAsia" w:ascii="宋体" w:hAnsi="宋体"/>
          <w:color w:val="auto"/>
          <w:sz w:val="24"/>
          <w:highlight w:val="none"/>
        </w:rPr>
        <w:t>项目查询-日程安排）。</w:t>
      </w:r>
    </w:p>
    <w:p w14:paraId="3104BFE0">
      <w:pPr>
        <w:spacing w:line="360" w:lineRule="auto"/>
        <w:ind w:left="566" w:hanging="566" w:hangingChars="236"/>
        <w:rPr>
          <w:rFonts w:hint="eastAsia" w:ascii="宋体" w:hAnsi="宋体"/>
          <w:color w:val="auto"/>
          <w:sz w:val="24"/>
          <w:highlight w:val="none"/>
        </w:rPr>
      </w:pPr>
      <w:r>
        <w:rPr>
          <w:rFonts w:hint="eastAsia" w:ascii="宋体" w:hAnsi="宋体"/>
          <w:color w:val="auto"/>
          <w:sz w:val="24"/>
          <w:highlight w:val="none"/>
        </w:rPr>
        <w:t>5.3投标人完成电子投标上传后，电子招标投标交易平台即时向投标人发出递交回执通知。递交时间以递交回执通知载明的传输时间为准。</w:t>
      </w:r>
    </w:p>
    <w:p w14:paraId="2B8A04E6">
      <w:pPr>
        <w:spacing w:line="360" w:lineRule="auto"/>
        <w:ind w:left="566" w:hanging="566" w:hangingChars="236"/>
        <w:rPr>
          <w:rFonts w:hint="eastAsia" w:ascii="宋体" w:hAnsi="宋体"/>
          <w:color w:val="auto"/>
          <w:sz w:val="24"/>
          <w:highlight w:val="none"/>
        </w:rPr>
      </w:pPr>
      <w:r>
        <w:rPr>
          <w:rFonts w:hint="eastAsia" w:ascii="宋体" w:hAnsi="宋体"/>
          <w:color w:val="auto"/>
          <w:sz w:val="24"/>
          <w:highlight w:val="none"/>
        </w:rPr>
        <w:t>5.4</w:t>
      </w:r>
      <w:r>
        <w:rPr>
          <w:rFonts w:ascii="宋体" w:hAnsi="宋体"/>
          <w:color w:val="auto"/>
          <w:sz w:val="24"/>
          <w:highlight w:val="none"/>
        </w:rPr>
        <w:t>逾期送达的投标文件，电子招标投标交易平台将予以拒收。</w:t>
      </w:r>
      <w:r>
        <w:rPr>
          <w:rFonts w:hint="eastAsia" w:ascii="宋体" w:hAnsi="宋体"/>
          <w:color w:val="auto"/>
          <w:sz w:val="24"/>
          <w:highlight w:val="none"/>
        </w:rPr>
        <w:t>采取电子投标时，逾期未上传成功的电子投标文件，招标人拒绝接收。</w:t>
      </w:r>
    </w:p>
    <w:p w14:paraId="6D5573D4">
      <w:pPr>
        <w:spacing w:line="360" w:lineRule="auto"/>
        <w:rPr>
          <w:rFonts w:hint="eastAsia" w:ascii="宋体" w:hAnsi="宋体"/>
          <w:color w:val="auto"/>
          <w:sz w:val="24"/>
          <w:highlight w:val="none"/>
        </w:rPr>
      </w:pPr>
      <w:r>
        <w:rPr>
          <w:rFonts w:hint="eastAsia" w:ascii="宋体" w:hAnsi="宋体"/>
          <w:color w:val="auto"/>
          <w:sz w:val="24"/>
          <w:highlight w:val="none"/>
        </w:rPr>
        <w:t>5.5 开标时间：</w:t>
      </w:r>
      <w:r>
        <w:rPr>
          <w:rFonts w:hint="eastAsia" w:ascii="宋体" w:hAnsi="宋体"/>
          <w:color w:val="auto"/>
          <w:sz w:val="24"/>
          <w:highlight w:val="none"/>
          <w:u w:val="single"/>
        </w:rPr>
        <w:t>2025年</w:t>
      </w:r>
      <w:r>
        <w:rPr>
          <w:rFonts w:ascii="宋体" w:hAnsi="宋体"/>
          <w:color w:val="auto"/>
          <w:sz w:val="24"/>
          <w:highlight w:val="none"/>
          <w:u w:val="single"/>
        </w:rPr>
        <w:t xml:space="preserve"> </w:t>
      </w:r>
      <w:r>
        <w:rPr>
          <w:rFonts w:hint="eastAsia" w:ascii="宋体" w:hAnsi="宋体"/>
          <w:color w:val="auto"/>
          <w:sz w:val="24"/>
          <w:highlight w:val="none"/>
          <w:u w:val="single"/>
        </w:rPr>
        <w:t>月</w:t>
      </w:r>
      <w:r>
        <w:rPr>
          <w:rFonts w:ascii="宋体" w:hAnsi="宋体"/>
          <w:color w:val="auto"/>
          <w:sz w:val="24"/>
          <w:highlight w:val="none"/>
          <w:u w:val="single"/>
        </w:rPr>
        <w:t xml:space="preserve"> </w:t>
      </w:r>
      <w:r>
        <w:rPr>
          <w:rFonts w:hint="eastAsia" w:ascii="宋体" w:hAnsi="宋体"/>
          <w:color w:val="auto"/>
          <w:sz w:val="24"/>
          <w:highlight w:val="none"/>
          <w:u w:val="single"/>
        </w:rPr>
        <w:t>日</w:t>
      </w:r>
      <w:r>
        <w:rPr>
          <w:rFonts w:ascii="宋体" w:hAnsi="宋体"/>
          <w:color w:val="auto"/>
          <w:sz w:val="24"/>
          <w:highlight w:val="none"/>
          <w:u w:val="single"/>
        </w:rPr>
        <w:t xml:space="preserve">  </w:t>
      </w:r>
      <w:r>
        <w:rPr>
          <w:rFonts w:hint="eastAsia" w:ascii="宋体" w:hAnsi="宋体"/>
          <w:color w:val="auto"/>
          <w:sz w:val="24"/>
          <w:highlight w:val="none"/>
          <w:u w:val="single"/>
        </w:rPr>
        <w:t>时</w:t>
      </w:r>
      <w:r>
        <w:rPr>
          <w:rFonts w:ascii="宋体" w:hAnsi="宋体"/>
          <w:color w:val="auto"/>
          <w:sz w:val="24"/>
          <w:highlight w:val="none"/>
          <w:u w:val="single"/>
        </w:rPr>
        <w:t xml:space="preserve"> </w:t>
      </w:r>
      <w:r>
        <w:rPr>
          <w:rFonts w:hint="eastAsia" w:ascii="宋体" w:hAnsi="宋体"/>
          <w:color w:val="auto"/>
          <w:sz w:val="24"/>
          <w:highlight w:val="none"/>
          <w:u w:val="single"/>
        </w:rPr>
        <w:t>分</w:t>
      </w:r>
      <w:r>
        <w:rPr>
          <w:rFonts w:hint="eastAsia" w:ascii="宋体" w:hAnsi="宋体"/>
          <w:color w:val="auto"/>
          <w:sz w:val="24"/>
          <w:highlight w:val="none"/>
        </w:rPr>
        <w:t>（详见</w:t>
      </w:r>
      <w:r>
        <w:rPr>
          <w:rFonts w:hint="eastAsia" w:ascii="宋体" w:hAnsi="宋体"/>
          <w:color w:val="auto"/>
          <w:sz w:val="24"/>
          <w:highlight w:val="none"/>
          <w:lang w:eastAsia="zh-CN"/>
        </w:rPr>
        <w:t>广州交易集团有限公司（广州公共资源交易中心）</w:t>
      </w:r>
      <w:r>
        <w:rPr>
          <w:rFonts w:hint="eastAsia" w:ascii="宋体" w:hAnsi="宋体"/>
          <w:color w:val="auto"/>
          <w:sz w:val="24"/>
          <w:highlight w:val="none"/>
        </w:rPr>
        <w:t>项目查询-日程安排）。</w:t>
      </w:r>
    </w:p>
    <w:p w14:paraId="5A2CFAEE">
      <w:pPr>
        <w:spacing w:line="360" w:lineRule="auto"/>
        <w:rPr>
          <w:rFonts w:hint="eastAsia" w:ascii="宋体" w:hAnsi="宋体"/>
          <w:b/>
          <w:color w:val="auto"/>
          <w:sz w:val="24"/>
          <w:highlight w:val="none"/>
        </w:rPr>
      </w:pPr>
      <w:r>
        <w:rPr>
          <w:rFonts w:hint="eastAsia" w:ascii="宋体" w:hAnsi="宋体"/>
          <w:b/>
          <w:color w:val="auto"/>
          <w:sz w:val="24"/>
          <w:highlight w:val="none"/>
        </w:rPr>
        <w:t>6. 发布公告的媒介</w:t>
      </w:r>
    </w:p>
    <w:p w14:paraId="455B689B">
      <w:pPr>
        <w:spacing w:line="360" w:lineRule="auto"/>
        <w:ind w:firstLine="480" w:firstLineChars="200"/>
        <w:jc w:val="both"/>
        <w:rPr>
          <w:rFonts w:hint="eastAsia" w:ascii="宋体" w:hAnsi="宋体"/>
          <w:color w:val="auto"/>
          <w:sz w:val="24"/>
          <w:highlight w:val="none"/>
        </w:rPr>
      </w:pPr>
      <w:r>
        <w:rPr>
          <w:rFonts w:hint="eastAsia" w:ascii="宋体" w:hAnsi="宋体"/>
          <w:color w:val="auto"/>
          <w:sz w:val="24"/>
          <w:highlight w:val="none"/>
        </w:rPr>
        <w:t>本次招标公告同时在</w:t>
      </w:r>
      <w:r>
        <w:rPr>
          <w:rFonts w:hint="eastAsia" w:ascii="宋体" w:hAnsi="宋体"/>
          <w:color w:val="auto"/>
          <w:sz w:val="24"/>
          <w:highlight w:val="none"/>
          <w:u w:val="single"/>
          <w:lang w:eastAsia="zh-CN"/>
        </w:rPr>
        <w:t>广州交易集团有限公司（广州公共资源交易中心）</w:t>
      </w:r>
      <w:r>
        <w:rPr>
          <w:rFonts w:hint="eastAsia" w:ascii="宋体" w:hAnsi="宋体"/>
          <w:color w:val="auto"/>
          <w:sz w:val="24"/>
          <w:highlight w:val="none"/>
          <w:u w:val="single"/>
        </w:rPr>
        <w:t>网（网址：http://www.gzggzy.cn）、中国招标投标公共服务平台（网址：http://www.cebpubservice.com/）、广东省招标投标监管网（网址：https://www.gdzwfw.gov.cn/ztbjg-portal/#/index）、广东省公共资源交易平台（https://ygp.gdzwfw.gov.cn/#/441900/index）、东莞市轨道交通有限公司官网（网址：http://www.dggdjt.com/）</w:t>
      </w:r>
      <w:r>
        <w:rPr>
          <w:rFonts w:hint="eastAsia" w:ascii="宋体" w:hAnsi="宋体"/>
          <w:color w:val="auto"/>
          <w:sz w:val="24"/>
          <w:highlight w:val="none"/>
        </w:rPr>
        <w:t>上发布，本公告的修改、补充，在</w:t>
      </w:r>
      <w:r>
        <w:rPr>
          <w:rFonts w:hint="eastAsia" w:ascii="宋体" w:hAnsi="宋体"/>
          <w:color w:val="auto"/>
          <w:sz w:val="24"/>
          <w:highlight w:val="none"/>
          <w:lang w:eastAsia="zh-CN"/>
        </w:rPr>
        <w:t>广州交易集团有限公司（广州公共资源交易中心）</w:t>
      </w:r>
      <w:r>
        <w:rPr>
          <w:rFonts w:hint="eastAsia" w:ascii="宋体" w:hAnsi="宋体"/>
          <w:color w:val="auto"/>
          <w:sz w:val="24"/>
          <w:highlight w:val="none"/>
        </w:rPr>
        <w:t>网站发布。本公告在各媒体发布的文本如有不同之处，以在</w:t>
      </w:r>
      <w:r>
        <w:rPr>
          <w:rFonts w:hint="eastAsia" w:ascii="宋体" w:hAnsi="宋体"/>
          <w:color w:val="auto"/>
          <w:sz w:val="24"/>
          <w:highlight w:val="none"/>
          <w:lang w:eastAsia="zh-CN"/>
        </w:rPr>
        <w:t>广州交易集团有限公司（广州公共资源交易中心）</w:t>
      </w:r>
      <w:r>
        <w:rPr>
          <w:rFonts w:hint="eastAsia" w:ascii="宋体" w:hAnsi="宋体"/>
          <w:color w:val="auto"/>
          <w:sz w:val="24"/>
          <w:highlight w:val="none"/>
        </w:rPr>
        <w:t>网站发布的文本为准。</w:t>
      </w:r>
    </w:p>
    <w:p w14:paraId="75C1909F">
      <w:pPr>
        <w:spacing w:line="360" w:lineRule="auto"/>
        <w:rPr>
          <w:rFonts w:hint="eastAsia" w:ascii="宋体" w:hAnsi="宋体"/>
          <w:b/>
          <w:color w:val="auto"/>
          <w:sz w:val="24"/>
          <w:highlight w:val="none"/>
        </w:rPr>
      </w:pPr>
      <w:r>
        <w:rPr>
          <w:rFonts w:hint="eastAsia" w:ascii="宋体" w:hAnsi="宋体"/>
          <w:b/>
          <w:color w:val="auto"/>
          <w:sz w:val="24"/>
          <w:highlight w:val="none"/>
        </w:rPr>
        <w:t>7. 联系方式</w:t>
      </w:r>
    </w:p>
    <w:tbl>
      <w:tblPr>
        <w:tblStyle w:val="21"/>
        <w:tblW w:w="0" w:type="auto"/>
        <w:tblInd w:w="0" w:type="dxa"/>
        <w:tblLayout w:type="autofit"/>
        <w:tblCellMar>
          <w:top w:w="0" w:type="dxa"/>
          <w:left w:w="108" w:type="dxa"/>
          <w:bottom w:w="0" w:type="dxa"/>
          <w:right w:w="108" w:type="dxa"/>
        </w:tblCellMar>
      </w:tblPr>
      <w:tblGrid>
        <w:gridCol w:w="5158"/>
        <w:gridCol w:w="4272"/>
      </w:tblGrid>
      <w:tr w14:paraId="73CB3005">
        <w:tblPrEx>
          <w:tblCellMar>
            <w:top w:w="0" w:type="dxa"/>
            <w:left w:w="108" w:type="dxa"/>
            <w:bottom w:w="0" w:type="dxa"/>
            <w:right w:w="108" w:type="dxa"/>
          </w:tblCellMar>
        </w:tblPrEx>
        <w:tc>
          <w:tcPr>
            <w:tcW w:w="5158" w:type="dxa"/>
          </w:tcPr>
          <w:p w14:paraId="5AB0CA90">
            <w:pPr>
              <w:spacing w:line="360" w:lineRule="auto"/>
              <w:rPr>
                <w:rFonts w:hint="eastAsia" w:ascii="宋体" w:hAnsi="宋体"/>
                <w:b/>
                <w:color w:val="auto"/>
                <w:sz w:val="24"/>
                <w:highlight w:val="none"/>
              </w:rPr>
            </w:pPr>
            <w:r>
              <w:rPr>
                <w:rFonts w:hint="eastAsia" w:ascii="宋体" w:hAnsi="宋体"/>
                <w:color w:val="auto"/>
                <w:sz w:val="24"/>
                <w:highlight w:val="none"/>
              </w:rPr>
              <w:t>招标人：</w:t>
            </w:r>
            <w:r>
              <w:rPr>
                <w:rFonts w:hint="eastAsia" w:ascii="宋体" w:hAnsi="宋体"/>
                <w:color w:val="auto"/>
                <w:sz w:val="24"/>
                <w:highlight w:val="none"/>
                <w:u w:val="single"/>
              </w:rPr>
              <w:t>东莞市轨道一号线建设发展有限公司</w:t>
            </w:r>
          </w:p>
        </w:tc>
        <w:tc>
          <w:tcPr>
            <w:tcW w:w="4272" w:type="dxa"/>
          </w:tcPr>
          <w:p w14:paraId="5016586B">
            <w:pPr>
              <w:spacing w:line="360" w:lineRule="auto"/>
              <w:rPr>
                <w:rFonts w:hint="eastAsia" w:ascii="宋体" w:hAnsi="宋体"/>
                <w:b/>
                <w:color w:val="auto"/>
                <w:sz w:val="24"/>
                <w:highlight w:val="none"/>
              </w:rPr>
            </w:pPr>
            <w:r>
              <w:rPr>
                <w:rFonts w:hint="eastAsia" w:ascii="宋体" w:hAnsi="宋体"/>
                <w:color w:val="auto"/>
                <w:sz w:val="24"/>
                <w:highlight w:val="none"/>
              </w:rPr>
              <w:t>招标代理机构：</w:t>
            </w:r>
            <w:r>
              <w:rPr>
                <w:rFonts w:hint="eastAsia" w:ascii="宋体" w:hAnsi="宋体"/>
                <w:color w:val="auto"/>
                <w:sz w:val="24"/>
                <w:highlight w:val="none"/>
                <w:u w:val="single"/>
              </w:rPr>
              <w:t>广东华工工程建设监理有限公司</w:t>
            </w:r>
          </w:p>
        </w:tc>
      </w:tr>
      <w:tr w14:paraId="625564E8">
        <w:tblPrEx>
          <w:tblCellMar>
            <w:top w:w="0" w:type="dxa"/>
            <w:left w:w="108" w:type="dxa"/>
            <w:bottom w:w="0" w:type="dxa"/>
            <w:right w:w="108" w:type="dxa"/>
          </w:tblCellMar>
        </w:tblPrEx>
        <w:tc>
          <w:tcPr>
            <w:tcW w:w="5158" w:type="dxa"/>
          </w:tcPr>
          <w:p w14:paraId="0681427F">
            <w:pPr>
              <w:spacing w:line="360" w:lineRule="auto"/>
              <w:rPr>
                <w:rFonts w:hint="eastAsia" w:ascii="宋体" w:hAnsi="宋体"/>
                <w:b/>
                <w:color w:val="auto"/>
                <w:sz w:val="24"/>
                <w:highlight w:val="none"/>
              </w:rPr>
            </w:pPr>
            <w:r>
              <w:rPr>
                <w:rFonts w:ascii="宋体" w:hAnsi="宋体"/>
                <w:color w:val="auto"/>
                <w:sz w:val="24"/>
                <w:highlight w:val="none"/>
              </w:rPr>
              <w:t>地</w:t>
            </w:r>
            <w:r>
              <w:rPr>
                <w:rFonts w:hint="eastAsia" w:ascii="宋体" w:hAnsi="宋体"/>
                <w:color w:val="auto"/>
                <w:sz w:val="24"/>
                <w:highlight w:val="none"/>
              </w:rPr>
              <w:t xml:space="preserve">  </w:t>
            </w:r>
            <w:r>
              <w:rPr>
                <w:rFonts w:ascii="宋体" w:hAnsi="宋体"/>
                <w:color w:val="auto"/>
                <w:sz w:val="24"/>
                <w:highlight w:val="none"/>
              </w:rPr>
              <w:t>址：</w:t>
            </w:r>
            <w:r>
              <w:rPr>
                <w:rFonts w:hint="eastAsia" w:ascii="宋体" w:hAnsi="宋体"/>
                <w:color w:val="auto"/>
                <w:sz w:val="24"/>
                <w:highlight w:val="none"/>
                <w:u w:val="single"/>
              </w:rPr>
              <w:t>广东省东莞市南城街道东莞大道南城段116号轨道交通大厦2号楼4406室</w:t>
            </w:r>
          </w:p>
        </w:tc>
        <w:tc>
          <w:tcPr>
            <w:tcW w:w="4272" w:type="dxa"/>
          </w:tcPr>
          <w:p w14:paraId="18FAF736">
            <w:pPr>
              <w:rPr>
                <w:color w:val="auto"/>
                <w:highlight w:val="none"/>
              </w:rPr>
            </w:pPr>
            <w:r>
              <w:rPr>
                <w:rFonts w:hint="eastAsia" w:ascii="宋体" w:hAnsi="宋体"/>
                <w:color w:val="auto"/>
                <w:sz w:val="24"/>
                <w:highlight w:val="none"/>
              </w:rPr>
              <w:t>地  址：</w:t>
            </w:r>
            <w:r>
              <w:rPr>
                <w:rFonts w:hint="eastAsia" w:ascii="宋体" w:hAnsi="宋体"/>
                <w:color w:val="auto"/>
                <w:sz w:val="24"/>
                <w:highlight w:val="none"/>
                <w:u w:val="single"/>
              </w:rPr>
              <w:t>广东省东莞市南城街道东莞大道南城段428号寰宇汇金中心9栋1单元4001室</w:t>
            </w:r>
          </w:p>
          <w:p w14:paraId="3753FA77">
            <w:pPr>
              <w:spacing w:line="360" w:lineRule="auto"/>
              <w:rPr>
                <w:rFonts w:hint="eastAsia" w:ascii="宋体" w:hAnsi="宋体"/>
                <w:b/>
                <w:color w:val="auto"/>
                <w:sz w:val="24"/>
                <w:highlight w:val="none"/>
              </w:rPr>
            </w:pPr>
          </w:p>
        </w:tc>
      </w:tr>
      <w:tr w14:paraId="7D663B15">
        <w:tblPrEx>
          <w:tblCellMar>
            <w:top w:w="0" w:type="dxa"/>
            <w:left w:w="108" w:type="dxa"/>
            <w:bottom w:w="0" w:type="dxa"/>
            <w:right w:w="108" w:type="dxa"/>
          </w:tblCellMar>
        </w:tblPrEx>
        <w:tc>
          <w:tcPr>
            <w:tcW w:w="5158" w:type="dxa"/>
          </w:tcPr>
          <w:p w14:paraId="2978BABD">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eastAsia="zh-CN"/>
              </w:rPr>
              <w:t>祝工、张工</w:t>
            </w:r>
          </w:p>
        </w:tc>
        <w:tc>
          <w:tcPr>
            <w:tcW w:w="4272" w:type="dxa"/>
          </w:tcPr>
          <w:p w14:paraId="19FDC3B4">
            <w:pPr>
              <w:spacing w:line="360" w:lineRule="auto"/>
              <w:rPr>
                <w:rFonts w:hint="eastAsia" w:ascii="宋体" w:hAnsi="宋体"/>
                <w:color w:val="auto"/>
                <w:sz w:val="24"/>
                <w:highlight w:val="none"/>
              </w:rPr>
            </w:pPr>
            <w:r>
              <w:rPr>
                <w:rFonts w:hint="eastAsia" w:ascii="宋体" w:hAnsi="宋体"/>
                <w:color w:val="auto"/>
                <w:sz w:val="24"/>
                <w:highlight w:val="none"/>
              </w:rPr>
              <w:t>联系人：李工</w:t>
            </w:r>
          </w:p>
        </w:tc>
      </w:tr>
      <w:tr w14:paraId="4A40867B">
        <w:tblPrEx>
          <w:tblCellMar>
            <w:top w:w="0" w:type="dxa"/>
            <w:left w:w="108" w:type="dxa"/>
            <w:bottom w:w="0" w:type="dxa"/>
            <w:right w:w="108" w:type="dxa"/>
          </w:tblCellMar>
        </w:tblPrEx>
        <w:tc>
          <w:tcPr>
            <w:tcW w:w="5158" w:type="dxa"/>
          </w:tcPr>
          <w:p w14:paraId="319DD887">
            <w:pPr>
              <w:spacing w:line="360" w:lineRule="auto"/>
              <w:rPr>
                <w:rFonts w:hint="eastAsia" w:ascii="宋体" w:hAnsi="宋体"/>
                <w:color w:val="auto"/>
                <w:sz w:val="24"/>
                <w:highlight w:val="none"/>
              </w:rPr>
            </w:pPr>
            <w:r>
              <w:rPr>
                <w:rFonts w:hint="eastAsia" w:ascii="宋体" w:hAnsi="宋体"/>
                <w:color w:val="auto"/>
                <w:sz w:val="24"/>
                <w:highlight w:val="none"/>
              </w:rPr>
              <w:t>联系电话：0769-88307128</w:t>
            </w:r>
          </w:p>
        </w:tc>
        <w:tc>
          <w:tcPr>
            <w:tcW w:w="4272" w:type="dxa"/>
          </w:tcPr>
          <w:p w14:paraId="6E36BD74">
            <w:pPr>
              <w:spacing w:line="360" w:lineRule="auto"/>
              <w:rPr>
                <w:rFonts w:hint="eastAsia" w:ascii="宋体" w:hAnsi="宋体"/>
                <w:color w:val="auto"/>
                <w:sz w:val="24"/>
                <w:highlight w:val="none"/>
              </w:rPr>
            </w:pPr>
            <w:r>
              <w:rPr>
                <w:rFonts w:hint="eastAsia" w:ascii="宋体" w:hAnsi="宋体"/>
                <w:color w:val="auto"/>
                <w:sz w:val="24"/>
                <w:highlight w:val="none"/>
              </w:rPr>
              <w:t>联系电话：0769-22011815</w:t>
            </w:r>
          </w:p>
        </w:tc>
      </w:tr>
    </w:tbl>
    <w:p w14:paraId="1C133575">
      <w:pPr>
        <w:spacing w:line="360" w:lineRule="auto"/>
        <w:rPr>
          <w:rFonts w:hint="eastAsia" w:ascii="宋体" w:hAnsi="宋体"/>
          <w:color w:val="auto"/>
          <w:sz w:val="24"/>
          <w:highlight w:val="none"/>
        </w:rPr>
      </w:pPr>
      <w:r>
        <w:rPr>
          <w:rFonts w:hint="eastAsia" w:ascii="宋体" w:hAnsi="宋体"/>
          <w:color w:val="auto"/>
          <w:sz w:val="24"/>
          <w:highlight w:val="none"/>
        </w:rPr>
        <w:t>潜在投标人或利害关系人对本招标公告及招标文件内容异议的，向招标人书面提出。</w:t>
      </w:r>
    </w:p>
    <w:p w14:paraId="0A6C19E6">
      <w:pPr>
        <w:spacing w:line="360" w:lineRule="auto"/>
        <w:rPr>
          <w:rFonts w:hint="eastAsia" w:ascii="宋体" w:hAnsi="宋体"/>
          <w:color w:val="auto"/>
          <w:sz w:val="24"/>
          <w:highlight w:val="none"/>
          <w:u w:val="single"/>
        </w:rPr>
      </w:pPr>
      <w:r>
        <w:rPr>
          <w:rFonts w:hint="eastAsia" w:ascii="宋体" w:hAnsi="宋体"/>
          <w:color w:val="auto"/>
          <w:sz w:val="24"/>
          <w:highlight w:val="none"/>
        </w:rPr>
        <w:t>异议受理部门：</w:t>
      </w:r>
      <w:r>
        <w:rPr>
          <w:rFonts w:hint="eastAsia" w:ascii="宋体" w:hAnsi="宋体"/>
          <w:color w:val="auto"/>
          <w:sz w:val="24"/>
          <w:highlight w:val="none"/>
          <w:u w:val="single"/>
        </w:rPr>
        <w:t>东莞市轨道一号线建设发展有限公司党群监察部</w:t>
      </w:r>
    </w:p>
    <w:p w14:paraId="29BBD94F">
      <w:pPr>
        <w:spacing w:line="360" w:lineRule="auto"/>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广东省东莞市南城街道东莞大道南城段116号轨道交通大厦2号楼4406室</w:t>
      </w:r>
    </w:p>
    <w:p w14:paraId="3003DF67">
      <w:pPr>
        <w:spacing w:line="360" w:lineRule="auto"/>
        <w:rPr>
          <w:rFonts w:hint="eastAsia" w:ascii="宋体" w:hAnsi="宋体"/>
          <w:color w:val="auto"/>
          <w:sz w:val="24"/>
          <w:highlight w:val="none"/>
          <w:u w:val="single"/>
        </w:rPr>
      </w:pPr>
      <w:r>
        <w:rPr>
          <w:rFonts w:hint="eastAsia" w:ascii="宋体" w:hAnsi="宋体"/>
          <w:color w:val="auto"/>
          <w:sz w:val="24"/>
          <w:highlight w:val="none"/>
        </w:rPr>
        <w:t>电话：</w:t>
      </w:r>
      <w:r>
        <w:rPr>
          <w:rFonts w:ascii="宋体" w:hAnsi="宋体"/>
          <w:color w:val="auto"/>
          <w:sz w:val="24"/>
          <w:highlight w:val="none"/>
          <w:u w:val="single"/>
        </w:rPr>
        <w:t>0769-</w:t>
      </w:r>
      <w:r>
        <w:rPr>
          <w:rFonts w:hint="eastAsia" w:ascii="宋体" w:hAnsi="宋体"/>
          <w:color w:val="auto"/>
          <w:sz w:val="24"/>
          <w:highlight w:val="none"/>
          <w:u w:val="single"/>
        </w:rPr>
        <w:t>88307104</w:t>
      </w:r>
    </w:p>
    <w:p w14:paraId="737FCFB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招标监督机构：</w:t>
      </w:r>
      <w:r>
        <w:rPr>
          <w:rFonts w:hint="eastAsia" w:ascii="宋体" w:hAnsi="宋体" w:cs="宋体"/>
          <w:color w:val="auto"/>
          <w:sz w:val="24"/>
          <w:highlight w:val="none"/>
          <w:u w:val="single"/>
        </w:rPr>
        <w:t>东莞市轨道交通有限公司</w:t>
      </w:r>
    </w:p>
    <w:p w14:paraId="49A1EA9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olor w:val="auto"/>
          <w:sz w:val="24"/>
          <w:highlight w:val="none"/>
          <w:u w:val="single"/>
        </w:rPr>
        <w:t>东莞市南城区东莞大道116号</w:t>
      </w:r>
    </w:p>
    <w:p w14:paraId="27EB322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0769-22802979</w:t>
      </w:r>
    </w:p>
    <w:p w14:paraId="1DC79933">
      <w:pPr>
        <w:spacing w:line="360" w:lineRule="auto"/>
        <w:ind w:right="960"/>
        <w:jc w:val="right"/>
        <w:rPr>
          <w:rFonts w:hint="eastAsia" w:ascii="宋体" w:hAnsi="宋体"/>
          <w:color w:val="auto"/>
          <w:sz w:val="24"/>
          <w:highlight w:val="none"/>
        </w:rPr>
      </w:pPr>
    </w:p>
    <w:p w14:paraId="51DCF64B">
      <w:pPr>
        <w:spacing w:line="360" w:lineRule="auto"/>
        <w:ind w:right="960"/>
        <w:jc w:val="right"/>
        <w:rPr>
          <w:rFonts w:hint="eastAsia" w:ascii="宋体" w:hAnsi="宋体"/>
          <w:color w:val="auto"/>
          <w:sz w:val="24"/>
          <w:highlight w:val="none"/>
        </w:rPr>
      </w:pPr>
      <w:r>
        <w:rPr>
          <w:rFonts w:hint="eastAsia" w:ascii="宋体" w:hAnsi="宋体"/>
          <w:color w:val="auto"/>
          <w:sz w:val="24"/>
          <w:highlight w:val="none"/>
        </w:rPr>
        <w:t xml:space="preserve">招标人：东莞市轨道一号线建设发展有限公司                                                  </w:t>
      </w:r>
    </w:p>
    <w:p w14:paraId="3ED7D5AC">
      <w:pPr>
        <w:spacing w:line="400" w:lineRule="exact"/>
        <w:rPr>
          <w:rFonts w:hint="eastAsia" w:ascii="宋体" w:hAnsi="宋体"/>
          <w:color w:val="auto"/>
          <w:sz w:val="24"/>
          <w:highlight w:val="none"/>
        </w:rPr>
      </w:pPr>
      <w:r>
        <w:rPr>
          <w:rFonts w:hint="eastAsia" w:ascii="宋体" w:hAnsi="宋体"/>
          <w:color w:val="auto"/>
          <w:sz w:val="24"/>
          <w:highlight w:val="none"/>
        </w:rPr>
        <w:t xml:space="preserve">                                          2025年</w:t>
      </w:r>
      <w:r>
        <w:rPr>
          <w:rFonts w:hint="eastAsia" w:ascii="宋体" w:hAnsi="宋体"/>
          <w:color w:val="auto"/>
          <w:sz w:val="24"/>
          <w:highlight w:val="none"/>
          <w:lang w:val="en-US" w:eastAsia="zh-CN"/>
        </w:rPr>
        <w:t xml:space="preserve"> </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5 </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16</w:t>
      </w:r>
      <w:bookmarkStart w:id="1520" w:name="_GoBack"/>
      <w:bookmarkEnd w:id="1520"/>
      <w:r>
        <w:rPr>
          <w:rFonts w:hint="eastAsia" w:ascii="宋体" w:hAnsi="宋体"/>
          <w:color w:val="auto"/>
          <w:sz w:val="24"/>
          <w:highlight w:val="none"/>
          <w:lang w:val="en-US" w:eastAsia="zh-CN"/>
        </w:rPr>
        <w:t xml:space="preserve"> </w:t>
      </w:r>
      <w:r>
        <w:rPr>
          <w:rFonts w:ascii="宋体" w:hAnsi="宋体"/>
          <w:color w:val="auto"/>
          <w:sz w:val="24"/>
          <w:highlight w:val="none"/>
        </w:rPr>
        <w:t xml:space="preserve"> </w:t>
      </w:r>
      <w:r>
        <w:rPr>
          <w:rFonts w:hint="eastAsia" w:ascii="宋体" w:hAnsi="宋体"/>
          <w:color w:val="auto"/>
          <w:sz w:val="24"/>
          <w:highlight w:val="none"/>
        </w:rPr>
        <w:t>日</w:t>
      </w:r>
    </w:p>
    <w:p w14:paraId="620144FC">
      <w:pPr>
        <w:spacing w:line="360" w:lineRule="auto"/>
        <w:ind w:right="480" w:firstLine="480" w:firstLineChars="200"/>
        <w:jc w:val="center"/>
        <w:rPr>
          <w:rFonts w:hint="eastAsia" w:ascii="宋体" w:hAnsi="宋体" w:cs="宋体"/>
          <w:color w:val="auto"/>
          <w:kern w:val="0"/>
          <w:sz w:val="24"/>
          <w:highlight w:val="none"/>
        </w:rPr>
        <w:sectPr>
          <w:pgSz w:w="11906" w:h="16838"/>
          <w:pgMar w:top="1304" w:right="1247" w:bottom="1304" w:left="1247" w:header="794" w:footer="851" w:gutter="0"/>
          <w:cols w:space="720" w:num="1"/>
          <w:docGrid w:type="lines" w:linePitch="312" w:charSpace="0"/>
        </w:sectPr>
      </w:pPr>
    </w:p>
    <w:p w14:paraId="12FE4F36">
      <w:pPr>
        <w:ind w:right="-57" w:rightChars="-27"/>
        <w:jc w:val="center"/>
        <w:rPr>
          <w:rFonts w:hint="eastAsia" w:ascii="宋体" w:hAnsi="宋体"/>
          <w:color w:val="auto"/>
          <w:sz w:val="24"/>
          <w:highlight w:val="none"/>
        </w:rPr>
      </w:pPr>
      <w:bookmarkStart w:id="25" w:name="_Toc393961863"/>
    </w:p>
    <w:p w14:paraId="65DAB224">
      <w:pPr>
        <w:ind w:right="-57" w:rightChars="-27"/>
        <w:rPr>
          <w:rFonts w:hint="eastAsia" w:ascii="宋体" w:hAnsi="宋体"/>
          <w:b/>
          <w:color w:val="auto"/>
          <w:sz w:val="24"/>
          <w:highlight w:val="none"/>
        </w:rPr>
      </w:pPr>
      <w:r>
        <w:rPr>
          <w:rFonts w:hint="eastAsia" w:ascii="宋体" w:hAnsi="宋体"/>
          <w:b/>
          <w:color w:val="auto"/>
          <w:sz w:val="24"/>
          <w:highlight w:val="none"/>
        </w:rPr>
        <w:t>附件一：</w:t>
      </w:r>
    </w:p>
    <w:p w14:paraId="6A1C4471">
      <w:pPr>
        <w:ind w:right="-57" w:rightChars="-27"/>
        <w:jc w:val="center"/>
        <w:rPr>
          <w:rFonts w:hint="eastAsia" w:ascii="宋体" w:hAnsi="宋体"/>
          <w:b/>
          <w:color w:val="auto"/>
          <w:sz w:val="24"/>
          <w:highlight w:val="none"/>
        </w:rPr>
      </w:pPr>
      <w:r>
        <w:rPr>
          <w:rFonts w:hint="eastAsia" w:ascii="宋体" w:hAnsi="宋体"/>
          <w:b/>
          <w:color w:val="auto"/>
          <w:sz w:val="24"/>
          <w:highlight w:val="none"/>
        </w:rPr>
        <w:t>投标申请人声明</w:t>
      </w:r>
    </w:p>
    <w:p w14:paraId="5482B35E">
      <w:pPr>
        <w:ind w:right="-57" w:rightChars="-27"/>
        <w:jc w:val="left"/>
        <w:rPr>
          <w:rFonts w:hint="eastAsia" w:ascii="宋体" w:hAnsi="宋体"/>
          <w:color w:val="auto"/>
          <w:sz w:val="24"/>
          <w:highlight w:val="none"/>
        </w:rPr>
      </w:pPr>
    </w:p>
    <w:p w14:paraId="0E3E4E4D">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本招标项目招标人及招标监管机构：</w:t>
      </w:r>
    </w:p>
    <w:p w14:paraId="21DACD19">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本公司就参加</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项目名称</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投标工作，作出郑重声明：</w:t>
      </w:r>
    </w:p>
    <w:p w14:paraId="366942FE">
      <w:pPr>
        <w:spacing w:line="360" w:lineRule="auto"/>
        <w:ind w:firstLine="629"/>
        <w:rPr>
          <w:rFonts w:hint="eastAsia" w:ascii="宋体" w:hAnsi="宋体"/>
          <w:color w:val="auto"/>
          <w:kern w:val="0"/>
          <w:szCs w:val="21"/>
          <w:highlight w:val="none"/>
        </w:rPr>
      </w:pPr>
      <w:r>
        <w:rPr>
          <w:rFonts w:hint="eastAsia" w:ascii="宋体" w:hAnsi="宋体"/>
          <w:color w:val="auto"/>
          <w:kern w:val="0"/>
          <w:szCs w:val="21"/>
          <w:highlight w:val="none"/>
        </w:rPr>
        <w:t>一、本公司保证投标提供的一切材料都是真实的。如我司成为本项目中标候选人，我司同意并授权招标人将我司投标文件商务部分的人员、业绩、奖项等资料进行公开。</w:t>
      </w:r>
    </w:p>
    <w:p w14:paraId="226222A4">
      <w:pPr>
        <w:spacing w:line="360" w:lineRule="auto"/>
        <w:ind w:firstLine="629"/>
        <w:rPr>
          <w:rFonts w:hint="eastAsia" w:ascii="宋体" w:hAnsi="宋体"/>
          <w:color w:val="auto"/>
          <w:kern w:val="0"/>
          <w:szCs w:val="21"/>
          <w:highlight w:val="none"/>
        </w:rPr>
      </w:pPr>
      <w:r>
        <w:rPr>
          <w:rFonts w:hint="eastAsia" w:ascii="宋体" w:hAnsi="宋体"/>
          <w:color w:val="auto"/>
          <w:kern w:val="0"/>
          <w:szCs w:val="21"/>
          <w:highlight w:val="none"/>
        </w:rPr>
        <w:t>二、本公司保证在本项目投标中不与其他单位围标、串标，不出让投标资格，不向招标人或评标委员会成员行贿，同时不出现其他失信行为。</w:t>
      </w:r>
    </w:p>
    <w:p w14:paraId="58F82C25">
      <w:pPr>
        <w:spacing w:line="360" w:lineRule="auto"/>
        <w:ind w:firstLine="629"/>
        <w:rPr>
          <w:rFonts w:hint="eastAsia" w:ascii="宋体" w:hAnsi="宋体"/>
          <w:color w:val="auto"/>
          <w:kern w:val="0"/>
          <w:szCs w:val="21"/>
          <w:highlight w:val="none"/>
        </w:rPr>
      </w:pPr>
      <w:r>
        <w:rPr>
          <w:rFonts w:hint="eastAsia" w:ascii="宋体" w:hAnsi="宋体"/>
          <w:color w:val="auto"/>
          <w:kern w:val="0"/>
          <w:szCs w:val="21"/>
          <w:highlight w:val="none"/>
        </w:rPr>
        <w:t>三、本公司若中标，招标人有权对投标文件中所提供的的证书、证件、业绩佐证材料、分包商资料等进行核实。在招标人通知提供上述证明资料原件进行核查的要求后，本公司未能在通知后5个自然日内提供原件进行核査的，视为无法提供真实的资料，招标人有权取消本公司中标资格。</w:t>
      </w:r>
    </w:p>
    <w:p w14:paraId="2A6F2C41">
      <w:pPr>
        <w:spacing w:line="360" w:lineRule="auto"/>
        <w:ind w:firstLine="629"/>
        <w:rPr>
          <w:rFonts w:hint="eastAsia" w:ascii="宋体" w:hAnsi="宋体"/>
          <w:color w:val="auto"/>
          <w:kern w:val="0"/>
          <w:szCs w:val="21"/>
          <w:highlight w:val="none"/>
        </w:rPr>
      </w:pPr>
      <w:r>
        <w:rPr>
          <w:rFonts w:hint="eastAsia" w:ascii="宋体" w:hAnsi="宋体"/>
          <w:color w:val="auto"/>
          <w:kern w:val="0"/>
          <w:szCs w:val="21"/>
          <w:highlight w:val="none"/>
        </w:rPr>
        <w:t>四、本公司不存在下列情形之一：</w:t>
      </w:r>
    </w:p>
    <w:p w14:paraId="43A3AFE2">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（1）为招标人不具有独立法人资格的附属机构（单位）；</w:t>
      </w:r>
    </w:p>
    <w:p w14:paraId="2AEDD2A2">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（2）为本标段前期准备提供设计或咨询服务或者与本项目设计人或提供咨询服务的机构存在附属关系的；</w:t>
      </w:r>
    </w:p>
    <w:p w14:paraId="6ECC34A2">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（3）为本项目监理人或者与本项目监理人存在隶属关系或者其他利害关系；</w:t>
      </w:r>
    </w:p>
    <w:p w14:paraId="4307DF6B">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（4）为本标段的代建人；</w:t>
      </w:r>
    </w:p>
    <w:p w14:paraId="5CA621D4">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（5）为本标段提供招标代理服务的；</w:t>
      </w:r>
    </w:p>
    <w:p w14:paraId="4A8D2BFF">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（6）与本标段的招标代理机构同为一个法定代表人的；</w:t>
      </w:r>
    </w:p>
    <w:p w14:paraId="5FF1177A">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（7）与本标段的招标代理机构互相控股或参股的；</w:t>
      </w:r>
    </w:p>
    <w:p w14:paraId="5B64167E">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（8）与本标段的招标代理机构相互任职或工作的；</w:t>
      </w:r>
    </w:p>
    <w:p w14:paraId="657EE79E">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（9）与本标段的检测机构有隶属关系或者其他利害关系；</w:t>
      </w:r>
    </w:p>
    <w:p w14:paraId="483A5111">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（10）与招标人存在利害关系且可能影响招标公正性；</w:t>
      </w:r>
    </w:p>
    <w:p w14:paraId="2E8D73D3">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（11）与本标段的其他投标人为同一个单位负责人；</w:t>
      </w:r>
    </w:p>
    <w:p w14:paraId="0AC026F0">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（12）与本标段的其他投标人存在控股、管理关系；</w:t>
      </w:r>
    </w:p>
    <w:p w14:paraId="4BF28FC9">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13）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7F2DE41F">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（14）被责令停产停业、暂扣或者吊销许可证、暂扣或者吊销执照的（本项事实应当以根据《中华人民共和国行政处罚法》依法作出并已经生效的行政处罚决定为认定依据）；</w:t>
      </w:r>
    </w:p>
    <w:p w14:paraId="10C02A12">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（15）进入清算程序，或被宣布破产，或其他丧失履约能力的情形；</w:t>
      </w:r>
    </w:p>
    <w:p w14:paraId="0BC758ED">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（16）存在大额诉讼或多宗诉讼或其他违法、违约等影响本次招标项目正常履行的情形；</w:t>
      </w:r>
    </w:p>
    <w:p w14:paraId="398F5CA3">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17）曾与东莞市轨道一号线建设发展有限公司或东莞市轨道交通有限公司及其下属企业签订合同，且在履约过程中存在因本公司严重违约而导致合同中止、变更、解除或严重侵犯东莞市轨道一号线建设发展有限公司或东莞市轨道交通有限公司及其下属企业权益的行为；</w:t>
      </w:r>
    </w:p>
    <w:p w14:paraId="4C0BD0DD">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（18）正在与东莞市轨道一号线建设发展有限公司或东莞市轨道交通有限公司及其下属企业发生诉讼；</w:t>
      </w:r>
    </w:p>
    <w:p w14:paraId="1D6061F9">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19）在最近三年内有骗取中标或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F63E710">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（20）被工商行政管理机关在全国企业信用信息公示系统中列入严重违法失信企业名单；</w:t>
      </w:r>
    </w:p>
    <w:p w14:paraId="4B58000F">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（21）被最高人民法院在“信用中国”网站（www.creditchina.gov.cn）、“中国执行信息公开网”（zxgk.court.gov.cn）或各级信用信息共享平台中列入失信被执行人名单；</w:t>
      </w:r>
    </w:p>
    <w:p w14:paraId="2CA2667C">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（22）在近三年内投标人或其法定代表人、拟委派的项目负责人有行贿犯罪行为的；</w:t>
      </w:r>
    </w:p>
    <w:p w14:paraId="28B882A7">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23）在“信用中国”网站（www.creditchina.gov.cn）、“国家企业信用信息公示系统”（www.gsxt.gov.cn）等网站查询到存在失信主体信息，包括但不限于：企业经营异常名录、重大税收违法失信主体、列入严重违法失信名单等；</w:t>
      </w:r>
    </w:p>
    <w:p w14:paraId="5A9D3EF5">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（24）本公司及其有隶属关系机构的相关人员，有参加本项目评标委员会；</w:t>
      </w:r>
    </w:p>
    <w:p w14:paraId="75B23B2D">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（25）招标文件第二章“投标人须知”第“1.4.3”项规定的任何一种情形。</w:t>
      </w:r>
    </w:p>
    <w:p w14:paraId="7B677BCB">
      <w:pPr>
        <w:snapToGrid w:val="0"/>
        <w:spacing w:line="360" w:lineRule="auto"/>
        <w:ind w:firstLine="420" w:firstLineChars="200"/>
        <w:rPr>
          <w:rFonts w:hint="eastAsia" w:ascii="宋体" w:hAnsi="宋体"/>
          <w:color w:val="auto"/>
          <w:szCs w:val="21"/>
          <w:highlight w:val="none"/>
        </w:rPr>
      </w:pPr>
      <w:r>
        <w:rPr>
          <w:rFonts w:hint="eastAsia" w:ascii="宋体" w:hAnsi="宋体"/>
          <w:color w:val="auto"/>
          <w:kern w:val="0"/>
          <w:szCs w:val="21"/>
          <w:highlight w:val="none"/>
        </w:rPr>
        <w:t>五、与本公司单位负责人为同一人或者与本公司存在控股、管理关系的其他单位包括：</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。（注：本条由投标申请人如实填写，如有，应列出全部满足招标公告资质要求的相关单位的名称；如无，则填写“无”。）</w:t>
      </w:r>
      <w:r>
        <w:rPr>
          <w:rFonts w:hint="eastAsia" w:ascii="宋体" w:hAnsi="宋体"/>
          <w:color w:val="auto"/>
          <w:szCs w:val="21"/>
          <w:highlight w:val="none"/>
        </w:rPr>
        <w:t>本公司违反上述保证，或本声明陈述与事实不符，经查实，本公司愿意接受公开通报，</w:t>
      </w:r>
      <w:r>
        <w:rPr>
          <w:rFonts w:hint="eastAsia" w:ascii="宋体" w:hAnsi="宋体"/>
          <w:color w:val="auto"/>
          <w:kern w:val="0"/>
          <w:szCs w:val="21"/>
          <w:highlight w:val="none"/>
        </w:rPr>
        <w:t>取消本公司中标资格，</w:t>
      </w:r>
      <w:r>
        <w:rPr>
          <w:rFonts w:hint="eastAsia" w:ascii="宋体" w:hAnsi="宋体"/>
          <w:color w:val="auto"/>
          <w:szCs w:val="21"/>
          <w:highlight w:val="none"/>
        </w:rPr>
        <w:t>承担由此带来的法律后果，并自愿停止参加东莞市行政辖区内的招标投标活动一年，</w:t>
      </w:r>
      <w:r>
        <w:rPr>
          <w:rFonts w:hint="eastAsia" w:ascii="宋体" w:hAnsi="宋体"/>
          <w:color w:val="auto"/>
          <w:kern w:val="0"/>
          <w:szCs w:val="21"/>
          <w:highlight w:val="none"/>
        </w:rPr>
        <w:t>两年内不得参加本项目招标人所有项目的招标活动。</w:t>
      </w:r>
    </w:p>
    <w:p w14:paraId="4C0BAC01">
      <w:pPr>
        <w:spacing w:line="360" w:lineRule="auto"/>
        <w:ind w:firstLine="629"/>
        <w:rPr>
          <w:rFonts w:hint="eastAsia" w:ascii="宋体" w:hAnsi="宋体"/>
          <w:color w:val="auto"/>
          <w:szCs w:val="21"/>
          <w:highlight w:val="none"/>
        </w:rPr>
      </w:pPr>
      <w:r>
        <w:rPr>
          <w:rFonts w:hint="eastAsia" w:ascii="宋体" w:hAnsi="宋体"/>
          <w:color w:val="auto"/>
          <w:szCs w:val="21"/>
          <w:highlight w:val="none"/>
        </w:rPr>
        <w:t>特此声明。</w:t>
      </w:r>
    </w:p>
    <w:p w14:paraId="288D74E7">
      <w:pPr>
        <w:widowControl/>
        <w:shd w:val="clear" w:color="auto" w:fill="FFFFFF"/>
        <w:spacing w:line="360" w:lineRule="auto"/>
        <w:ind w:firstLine="480" w:firstLineChars="200"/>
        <w:rPr>
          <w:rFonts w:hint="eastAsia" w:ascii="宋体" w:hAnsi="宋体" w:cs="宋体"/>
          <w:color w:val="auto"/>
          <w:kern w:val="0"/>
          <w:sz w:val="24"/>
          <w:highlight w:val="none"/>
        </w:rPr>
      </w:pPr>
    </w:p>
    <w:p w14:paraId="33F3A304">
      <w:pPr>
        <w:snapToGrid w:val="0"/>
        <w:spacing w:line="360" w:lineRule="auto"/>
        <w:ind w:firstLine="4320" w:firstLineChars="1800"/>
        <w:rPr>
          <w:rFonts w:hint="eastAsia" w:ascii="宋体" w:hAnsi="宋体" w:cs="宋体"/>
          <w:color w:val="auto"/>
          <w:kern w:val="0"/>
          <w:sz w:val="24"/>
          <w:highlight w:val="none"/>
        </w:rPr>
      </w:pPr>
    </w:p>
    <w:p w14:paraId="24915A83">
      <w:pPr>
        <w:snapToGrid w:val="0"/>
        <w:spacing w:line="360" w:lineRule="auto"/>
        <w:ind w:firstLine="4320" w:firstLineChars="1800"/>
        <w:rPr>
          <w:rFonts w:hint="eastAsia" w:ascii="宋体" w:hAnsi="宋体" w:cs="宋体"/>
          <w:color w:val="auto"/>
          <w:kern w:val="0"/>
          <w:sz w:val="24"/>
          <w:highlight w:val="none"/>
        </w:rPr>
      </w:pPr>
    </w:p>
    <w:p w14:paraId="1F975532">
      <w:pPr>
        <w:snapToGrid w:val="0"/>
        <w:spacing w:line="360" w:lineRule="auto"/>
        <w:ind w:firstLine="4252" w:firstLineChars="1772"/>
        <w:rPr>
          <w:rFonts w:hint="eastAsia" w:ascii="宋体" w:hAnsi="宋体" w:cs="宋体"/>
          <w:color w:val="auto"/>
          <w:kern w:val="0"/>
          <w:sz w:val="24"/>
          <w:highlight w:val="none"/>
        </w:rPr>
      </w:pPr>
      <w:r>
        <w:rPr>
          <w:rFonts w:hint="eastAsia" w:ascii="宋体" w:hAnsi="宋体" w:cs="宋体"/>
          <w:color w:val="auto"/>
          <w:kern w:val="0"/>
          <w:sz w:val="24"/>
          <w:highlight w:val="none"/>
        </w:rPr>
        <w:t>声明企业：            (企业公章)</w:t>
      </w:r>
    </w:p>
    <w:p w14:paraId="14C110BA">
      <w:pPr>
        <w:snapToGrid w:val="0"/>
        <w:spacing w:line="360" w:lineRule="auto"/>
        <w:ind w:firstLine="4252" w:firstLineChars="1772"/>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法定代表人（签字或签章）：</w:t>
      </w:r>
    </w:p>
    <w:p w14:paraId="6A0FE69F">
      <w:pPr>
        <w:spacing w:line="360" w:lineRule="auto"/>
        <w:ind w:firstLine="4920" w:firstLineChars="2050"/>
        <w:rPr>
          <w:rFonts w:hint="eastAsia" w:ascii="宋体" w:hAnsi="宋体" w:cs="宋体"/>
          <w:color w:val="auto"/>
          <w:kern w:val="0"/>
          <w:sz w:val="24"/>
          <w:highlight w:val="none"/>
        </w:rPr>
      </w:pPr>
      <w:r>
        <w:rPr>
          <w:rFonts w:hint="eastAsia" w:ascii="宋体" w:hAnsi="宋体" w:cs="宋体"/>
          <w:color w:val="auto"/>
          <w:kern w:val="0"/>
          <w:sz w:val="24"/>
          <w:highlight w:val="none"/>
        </w:rPr>
        <w:t>年   月   日</w:t>
      </w:r>
    </w:p>
    <w:bookmarkEnd w:id="25"/>
    <w:p w14:paraId="0F3703EF">
      <w:pPr>
        <w:ind w:right="-57" w:rightChars="-27"/>
        <w:jc w:val="left"/>
        <w:rPr>
          <w:rFonts w:hint="eastAsia" w:ascii="宋体" w:hAnsi="宋体"/>
          <w:color w:val="auto"/>
          <w:highlight w:val="none"/>
        </w:rPr>
      </w:pPr>
    </w:p>
    <w:p w14:paraId="188FBB58">
      <w:pPr>
        <w:ind w:right="-57" w:rightChars="-27"/>
        <w:jc w:val="left"/>
        <w:rPr>
          <w:rFonts w:hint="eastAsia" w:ascii="宋体" w:hAnsi="宋体"/>
          <w:color w:val="auto"/>
          <w:highlight w:val="none"/>
        </w:rPr>
      </w:pPr>
    </w:p>
    <w:p w14:paraId="6E47432B">
      <w:pPr>
        <w:ind w:right="0" w:rightChars="0"/>
        <w:rPr>
          <w:rFonts w:hint="eastAsia" w:ascii="宋体" w:hAnsi="宋体"/>
          <w:b/>
          <w:color w:val="auto"/>
          <w:sz w:val="24"/>
          <w:highlight w:val="none"/>
        </w:rPr>
      </w:pPr>
      <w:r>
        <w:rPr>
          <w:rFonts w:hint="eastAsia" w:ascii="宋体" w:hAnsi="宋体"/>
          <w:b/>
          <w:color w:val="auto"/>
          <w:sz w:val="24"/>
          <w:highlight w:val="none"/>
        </w:rPr>
        <w:br w:type="page"/>
      </w:r>
    </w:p>
    <w:p w14:paraId="49848A95">
      <w:pPr>
        <w:ind w:right="-57" w:rightChars="-27"/>
        <w:rPr>
          <w:rFonts w:hint="eastAsia" w:ascii="宋体" w:hAnsi="宋体"/>
          <w:b/>
          <w:color w:val="auto"/>
          <w:sz w:val="24"/>
          <w:highlight w:val="none"/>
        </w:rPr>
      </w:pPr>
      <w:r>
        <w:rPr>
          <w:rFonts w:hint="eastAsia" w:ascii="宋体" w:hAnsi="宋体"/>
          <w:b/>
          <w:color w:val="auto"/>
          <w:sz w:val="24"/>
          <w:highlight w:val="none"/>
        </w:rPr>
        <w:t>附件</w:t>
      </w:r>
      <w:r>
        <w:rPr>
          <w:rFonts w:hint="eastAsia" w:ascii="宋体" w:hAnsi="宋体"/>
          <w:b/>
          <w:color w:val="auto"/>
          <w:sz w:val="24"/>
          <w:highlight w:val="none"/>
          <w:lang w:val="en-US" w:eastAsia="zh-CN"/>
        </w:rPr>
        <w:t>二</w:t>
      </w:r>
      <w:r>
        <w:rPr>
          <w:rFonts w:hint="eastAsia" w:ascii="宋体" w:hAnsi="宋体"/>
          <w:b/>
          <w:color w:val="auto"/>
          <w:sz w:val="24"/>
          <w:highlight w:val="none"/>
        </w:rPr>
        <w:t>：联合体协议书</w:t>
      </w:r>
    </w:p>
    <w:p w14:paraId="13CE235B">
      <w:pPr>
        <w:widowControl/>
        <w:adjustRightInd w:val="0"/>
        <w:snapToGrid w:val="0"/>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联合体协议书</w:t>
      </w:r>
    </w:p>
    <w:p w14:paraId="678919F0">
      <w:pPr>
        <w:topLinePunct/>
        <w:spacing w:line="360" w:lineRule="auto"/>
        <w:ind w:firstLine="420" w:firstLineChars="200"/>
        <w:rPr>
          <w:rFonts w:ascii="宋体" w:hAnsi="宋体"/>
          <w:color w:val="auto"/>
          <w:highlight w:val="none"/>
        </w:rPr>
      </w:pPr>
      <w:r>
        <w:rPr>
          <w:rFonts w:hint="eastAsia" w:ascii="宋体" w:hAnsi="宋体"/>
          <w:color w:val="auto"/>
          <w:highlight w:val="none"/>
          <w:u w:val="single"/>
        </w:rPr>
        <w:t>（联合体成员单位名称）</w:t>
      </w:r>
      <w:r>
        <w:rPr>
          <w:rFonts w:hint="eastAsia" w:ascii="宋体" w:hAnsi="宋体"/>
          <w:color w:val="auto"/>
          <w:highlight w:val="none"/>
        </w:rPr>
        <w:t>自愿组成联合体，共同参加</w:t>
      </w:r>
      <w:r>
        <w:rPr>
          <w:rFonts w:hint="eastAsia" w:ascii="宋体" w:hAnsi="宋体"/>
          <w:color w:val="auto"/>
          <w:highlight w:val="none"/>
          <w:u w:val="single"/>
        </w:rPr>
        <w:t xml:space="preserve">        </w:t>
      </w:r>
      <w:r>
        <w:rPr>
          <w:rFonts w:hint="eastAsia" w:ascii="宋体" w:hAnsi="宋体"/>
          <w:color w:val="auto"/>
          <w:highlight w:val="none"/>
        </w:rPr>
        <w:t>项目投标。现就联合体投标事宜订立如下协议：</w:t>
      </w:r>
    </w:p>
    <w:p w14:paraId="170AF9FB">
      <w:pPr>
        <w:topLinePunct/>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1.</w:t>
      </w:r>
      <w:r>
        <w:rPr>
          <w:rFonts w:hint="eastAsia" w:ascii="宋体" w:hAnsi="宋体"/>
          <w:color w:val="auto"/>
          <w:highlight w:val="none"/>
          <w:u w:val="single"/>
        </w:rPr>
        <w:t>（联合体</w:t>
      </w:r>
      <w:r>
        <w:rPr>
          <w:rFonts w:hint="eastAsia" w:ascii="宋体" w:hAnsi="宋体"/>
          <w:color w:val="auto"/>
          <w:highlight w:val="none"/>
          <w:u w:val="single"/>
          <w:lang w:eastAsia="zh-CN"/>
        </w:rPr>
        <w:t>牵头人</w:t>
      </w:r>
      <w:r>
        <w:rPr>
          <w:rFonts w:hint="eastAsia" w:ascii="宋体" w:hAnsi="宋体"/>
          <w:color w:val="auto"/>
          <w:highlight w:val="none"/>
          <w:u w:val="single"/>
        </w:rPr>
        <w:t>名称）</w:t>
      </w:r>
      <w:r>
        <w:rPr>
          <w:rFonts w:hint="eastAsia" w:ascii="宋体" w:hAnsi="宋体"/>
          <w:color w:val="auto"/>
          <w:highlight w:val="none"/>
        </w:rPr>
        <w:t>为联合体</w:t>
      </w:r>
      <w:r>
        <w:rPr>
          <w:rFonts w:hint="eastAsia" w:ascii="宋体" w:hAnsi="宋体"/>
          <w:color w:val="auto"/>
          <w:highlight w:val="none"/>
          <w:lang w:eastAsia="zh-CN"/>
        </w:rPr>
        <w:t>牵头人</w:t>
      </w:r>
      <w:r>
        <w:rPr>
          <w:rFonts w:hint="eastAsia" w:ascii="宋体" w:hAnsi="宋体"/>
          <w:color w:val="auto"/>
          <w:highlight w:val="none"/>
          <w:lang w:val="en-US" w:eastAsia="zh-CN"/>
        </w:rPr>
        <w:t>。</w:t>
      </w:r>
    </w:p>
    <w:p w14:paraId="75AAA0E9">
      <w:pPr>
        <w:topLinePunct/>
        <w:spacing w:line="360" w:lineRule="auto"/>
        <w:ind w:firstLine="420" w:firstLineChars="200"/>
        <w:rPr>
          <w:rFonts w:ascii="宋体" w:hAnsi="宋体"/>
          <w:color w:val="auto"/>
          <w:highlight w:val="none"/>
        </w:rPr>
      </w:pPr>
      <w:r>
        <w:rPr>
          <w:rFonts w:hint="eastAsia" w:ascii="宋体" w:hAnsi="宋体"/>
          <w:color w:val="auto"/>
          <w:highlight w:val="none"/>
        </w:rPr>
        <w:t>2. 联合体</w:t>
      </w:r>
      <w:r>
        <w:rPr>
          <w:rFonts w:hint="eastAsia" w:ascii="宋体" w:hAnsi="宋体"/>
          <w:color w:val="auto"/>
          <w:highlight w:val="none"/>
          <w:lang w:eastAsia="zh-CN"/>
        </w:rPr>
        <w:t>牵头人</w:t>
      </w:r>
      <w:r>
        <w:rPr>
          <w:rFonts w:hint="eastAsia" w:ascii="宋体" w:hAnsi="宋体"/>
          <w:color w:val="auto"/>
          <w:highlight w:val="none"/>
        </w:rPr>
        <w:t>按照联合体各方共同达成的意见合法授权代表联合体各成员负责本招标项目投标和合同谈判活动，并代表联合体提交和接受相关的资料、信息及指示，处理与之有关的一切事务，负责合同实施阶段的主办、组织和协调工作，</w:t>
      </w:r>
      <w:r>
        <w:rPr>
          <w:rFonts w:ascii="宋体" w:hAnsi="宋体"/>
          <w:color w:val="auto"/>
          <w:highlight w:val="none"/>
        </w:rPr>
        <w:t>并牵头办理合同结算</w:t>
      </w:r>
      <w:r>
        <w:rPr>
          <w:rFonts w:hint="eastAsia" w:ascii="宋体" w:hAnsi="宋体"/>
          <w:color w:val="auto"/>
          <w:highlight w:val="none"/>
        </w:rPr>
        <w:t>工作。所有联合体成员应当向招标人提交由所有联合体成员法定代表人签署的授权书，该授权书与本联合体协议书均作为合同文件的一部分。</w:t>
      </w:r>
    </w:p>
    <w:p w14:paraId="121C8492">
      <w:pPr>
        <w:topLinePunct/>
        <w:spacing w:line="360" w:lineRule="auto"/>
        <w:ind w:firstLine="420" w:firstLineChars="200"/>
        <w:rPr>
          <w:rFonts w:hint="eastAsia" w:ascii="宋体" w:hAnsi="宋体"/>
          <w:color w:val="auto"/>
          <w:highlight w:val="none"/>
        </w:rPr>
      </w:pPr>
      <w:r>
        <w:rPr>
          <w:rFonts w:hint="eastAsia" w:ascii="宋体" w:hAnsi="宋体"/>
          <w:color w:val="auto"/>
          <w:highlight w:val="none"/>
        </w:rPr>
        <w:t>3. 联合体将严格按照招标文件的各项要求，递交投标文件，履行合同，并对外承担连带责任。</w:t>
      </w:r>
    </w:p>
    <w:p w14:paraId="3D7D97AE">
      <w:pPr>
        <w:topLinePunct/>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lang w:val="en-US" w:eastAsia="zh-CN"/>
        </w:rPr>
        <w:t>4. 联合体成员单位</w:t>
      </w:r>
      <w:r>
        <w:rPr>
          <w:rFonts w:hint="eastAsia" w:ascii="宋体" w:hAnsi="宋体"/>
          <w:color w:val="auto"/>
          <w:highlight w:val="none"/>
          <w:u w:val="single"/>
          <w:lang w:val="en-US" w:eastAsia="zh-CN"/>
        </w:rPr>
        <w:t xml:space="preserve">        </w:t>
      </w:r>
      <w:r>
        <w:rPr>
          <w:rFonts w:hint="eastAsia" w:ascii="宋体" w:hAnsi="宋体"/>
          <w:color w:val="auto"/>
          <w:highlight w:val="none"/>
          <w:u w:val="none"/>
          <w:lang w:val="en-US" w:eastAsia="zh-CN"/>
        </w:rPr>
        <w:t>负责</w:t>
      </w:r>
      <w:r>
        <w:rPr>
          <w:rFonts w:hint="eastAsia" w:ascii="宋体" w:hAnsi="宋体"/>
          <w:color w:val="auto"/>
          <w:sz w:val="21"/>
          <w:szCs w:val="21"/>
          <w:highlight w:val="none"/>
          <w:lang w:val="en-US" w:eastAsia="zh-CN"/>
        </w:rPr>
        <w:t>无人机飞行计划申报工作。</w:t>
      </w:r>
    </w:p>
    <w:p w14:paraId="33C6918E">
      <w:pPr>
        <w:topLinePunct/>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lang w:val="en-US" w:eastAsia="zh-CN"/>
        </w:rPr>
        <w:t>5</w:t>
      </w:r>
      <w:r>
        <w:rPr>
          <w:rFonts w:hint="eastAsia" w:ascii="宋体" w:hAnsi="宋体"/>
          <w:color w:val="auto"/>
          <w:highlight w:val="none"/>
        </w:rPr>
        <w:t>. 联合体各成员单位内部职责分工(需明确联合体</w:t>
      </w:r>
      <w:r>
        <w:rPr>
          <w:rFonts w:hint="eastAsia" w:ascii="宋体" w:hAnsi="宋体"/>
          <w:color w:val="auto"/>
          <w:highlight w:val="none"/>
          <w:lang w:eastAsia="zh-CN"/>
        </w:rPr>
        <w:t>牵头人</w:t>
      </w:r>
      <w:r>
        <w:rPr>
          <w:rFonts w:hint="eastAsia" w:ascii="宋体" w:hAnsi="宋体"/>
          <w:color w:val="auto"/>
          <w:highlight w:val="none"/>
        </w:rPr>
        <w:t>及成员单位之间的权利、义务、利益、责任的分配和承担的详细工作内容)：</w:t>
      </w:r>
      <w:r>
        <w:rPr>
          <w:rFonts w:hint="eastAsia" w:ascii="宋体" w:hAnsi="宋体"/>
          <w:color w:val="auto"/>
          <w:highlight w:val="none"/>
          <w:lang w:val="en-US" w:eastAsia="zh-CN"/>
        </w:rPr>
        <w:t>其中联合体牵头人在联合体中负责</w:t>
      </w:r>
      <w:r>
        <w:rPr>
          <w:rFonts w:hint="eastAsia" w:ascii="宋体" w:hAnsi="宋体"/>
          <w:color w:val="auto"/>
          <w:highlight w:val="none"/>
          <w:u w:val="single"/>
          <w:lang w:val="en-US" w:eastAsia="zh-CN"/>
        </w:rPr>
        <w:t xml:space="preserve">                 </w:t>
      </w:r>
      <w:r>
        <w:rPr>
          <w:rFonts w:hint="eastAsia" w:ascii="宋体" w:hAnsi="宋体"/>
          <w:color w:val="auto"/>
          <w:highlight w:val="none"/>
          <w:lang w:val="en-US" w:eastAsia="zh-CN"/>
        </w:rPr>
        <w:t>等工作；联合体成员方在联合体中负责</w:t>
      </w:r>
      <w:r>
        <w:rPr>
          <w:rFonts w:hint="eastAsia" w:ascii="宋体" w:hAnsi="宋体"/>
          <w:color w:val="auto"/>
          <w:highlight w:val="none"/>
          <w:u w:val="single"/>
          <w:lang w:val="en-US" w:eastAsia="zh-CN"/>
        </w:rPr>
        <w:t xml:space="preserve">               </w:t>
      </w:r>
      <w:r>
        <w:rPr>
          <w:rFonts w:hint="eastAsia" w:ascii="宋体" w:hAnsi="宋体"/>
          <w:color w:val="auto"/>
          <w:highlight w:val="none"/>
          <w:lang w:val="en-US" w:eastAsia="zh-CN"/>
        </w:rPr>
        <w:t>等工作。</w:t>
      </w:r>
    </w:p>
    <w:p w14:paraId="3B146C80">
      <w:pPr>
        <w:topLinePunct/>
        <w:spacing w:line="360" w:lineRule="auto"/>
        <w:ind w:firstLine="420" w:firstLineChars="200"/>
        <w:rPr>
          <w:rFonts w:ascii="宋体" w:hAnsi="宋体"/>
          <w:color w:val="auto"/>
          <w:highlight w:val="none"/>
        </w:rPr>
      </w:pPr>
      <w:r>
        <w:rPr>
          <w:rFonts w:ascii="宋体" w:hAnsi="宋体"/>
          <w:color w:val="auto"/>
          <w:highlight w:val="none"/>
        </w:rPr>
        <w:t>……</w:t>
      </w:r>
    </w:p>
    <w:p w14:paraId="4404872E">
      <w:pPr>
        <w:topLinePunct/>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6</w:t>
      </w:r>
      <w:r>
        <w:rPr>
          <w:rFonts w:ascii="宋体" w:hAnsi="宋体"/>
          <w:color w:val="auto"/>
          <w:highlight w:val="none"/>
        </w:rPr>
        <w:t xml:space="preserve">. </w:t>
      </w:r>
      <w:r>
        <w:rPr>
          <w:rFonts w:hint="eastAsia" w:ascii="宋体" w:hAnsi="宋体"/>
          <w:color w:val="auto"/>
          <w:szCs w:val="21"/>
          <w:highlight w:val="none"/>
        </w:rPr>
        <w:t>联合体</w:t>
      </w:r>
      <w:r>
        <w:rPr>
          <w:rFonts w:hint="eastAsia" w:ascii="宋体" w:hAnsi="宋体"/>
          <w:color w:val="auto"/>
          <w:szCs w:val="21"/>
          <w:highlight w:val="none"/>
          <w:lang w:eastAsia="zh-CN"/>
        </w:rPr>
        <w:t>牵头人</w:t>
      </w:r>
      <w:r>
        <w:rPr>
          <w:rFonts w:hint="eastAsia" w:ascii="宋体" w:hAnsi="宋体"/>
          <w:color w:val="auto"/>
          <w:szCs w:val="21"/>
          <w:highlight w:val="none"/>
        </w:rPr>
        <w:t>应被授权作为联合体各方的代表，向招标人提交履约担保、</w:t>
      </w:r>
      <w:r>
        <w:rPr>
          <w:rFonts w:hint="eastAsia" w:ascii="宋体" w:hAnsi="宋体"/>
          <w:color w:val="auto"/>
          <w:highlight w:val="none"/>
        </w:rPr>
        <w:t>预付款保函及增值税发票，</w:t>
      </w:r>
      <w:r>
        <w:rPr>
          <w:rFonts w:hint="eastAsia" w:ascii="宋体" w:hAnsi="宋体"/>
          <w:color w:val="auto"/>
          <w:szCs w:val="21"/>
          <w:highlight w:val="none"/>
        </w:rPr>
        <w:t>承担责任和接受指令，并负责整个合同的全面履行和接受本项目工程款的支付。</w:t>
      </w:r>
    </w:p>
    <w:p w14:paraId="67EED503">
      <w:pPr>
        <w:topLinePunct/>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中标后，联合体与项目业主、招标人签订三方合同（项目业主与招标人的职责划分以正式合同为准），联合体各方就中标项目向项目业主、招标人承担连带责任，投标文件及随后签订的合同将对联合体各成员有共同和各自的法律约束。联合体各方在各工作范围内承担全部项目管理责任。</w:t>
      </w:r>
    </w:p>
    <w:p w14:paraId="6AFEC050">
      <w:pPr>
        <w:topLinePunct/>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.本协议书自签署之日起生效，合同履行完毕后自动失效。</w:t>
      </w:r>
    </w:p>
    <w:p w14:paraId="5FAE74F4">
      <w:pPr>
        <w:topLinePunct/>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 本协议书一式</w:t>
      </w:r>
      <w:r>
        <w:rPr>
          <w:rFonts w:hint="eastAsia" w:ascii="宋体" w:hAnsi="宋体"/>
          <w:color w:val="auto"/>
          <w:highlight w:val="none"/>
          <w:u w:val="single"/>
        </w:rPr>
        <w:t xml:space="preserve">     </w:t>
      </w:r>
      <w:r>
        <w:rPr>
          <w:rFonts w:hint="eastAsia" w:ascii="宋体" w:hAnsi="宋体"/>
          <w:color w:val="auto"/>
          <w:highlight w:val="none"/>
        </w:rPr>
        <w:t>份，联合体成员和招标人各执</w:t>
      </w:r>
      <w:r>
        <w:rPr>
          <w:rFonts w:hint="eastAsia" w:ascii="宋体" w:hAnsi="宋体"/>
          <w:color w:val="auto"/>
          <w:highlight w:val="none"/>
          <w:u w:val="single"/>
        </w:rPr>
        <w:t xml:space="preserve">    </w:t>
      </w:r>
      <w:r>
        <w:rPr>
          <w:rFonts w:hint="eastAsia" w:ascii="宋体" w:hAnsi="宋体"/>
          <w:color w:val="auto"/>
          <w:highlight w:val="none"/>
        </w:rPr>
        <w:t>份,投标文件</w:t>
      </w:r>
      <w:r>
        <w:rPr>
          <w:rFonts w:hint="eastAsia" w:ascii="宋体" w:hAnsi="宋体"/>
          <w:color w:val="auto"/>
          <w:highlight w:val="none"/>
          <w:u w:val="single"/>
        </w:rPr>
        <w:t xml:space="preserve">    </w:t>
      </w:r>
      <w:r>
        <w:rPr>
          <w:rFonts w:hint="eastAsia" w:ascii="宋体" w:hAnsi="宋体"/>
          <w:color w:val="auto"/>
          <w:highlight w:val="none"/>
        </w:rPr>
        <w:t>份。</w:t>
      </w:r>
    </w:p>
    <w:p w14:paraId="70B469DC">
      <w:pPr>
        <w:topLinePunct/>
        <w:spacing w:line="312" w:lineRule="auto"/>
        <w:ind w:firstLine="420" w:firstLineChars="200"/>
        <w:rPr>
          <w:rFonts w:ascii="宋体" w:hAnsi="宋体"/>
          <w:color w:val="auto"/>
          <w:highlight w:val="none"/>
        </w:rPr>
      </w:pPr>
    </w:p>
    <w:p w14:paraId="7555A755">
      <w:pPr>
        <w:topLinePunct/>
        <w:spacing w:line="312" w:lineRule="auto"/>
        <w:ind w:firstLine="420" w:firstLineChars="200"/>
        <w:rPr>
          <w:rFonts w:ascii="宋体" w:hAnsi="宋体"/>
          <w:color w:val="auto"/>
          <w:highlight w:val="none"/>
        </w:rPr>
      </w:pPr>
      <w:r>
        <w:rPr>
          <w:rFonts w:hint="eastAsia" w:ascii="宋体" w:hAnsi="宋体"/>
          <w:color w:val="auto"/>
          <w:highlight w:val="none"/>
          <w:lang w:eastAsia="zh-CN"/>
        </w:rPr>
        <w:t>牵头人</w:t>
      </w:r>
      <w:r>
        <w:rPr>
          <w:rFonts w:hint="eastAsia" w:ascii="宋体" w:hAnsi="宋体"/>
          <w:color w:val="auto"/>
          <w:highlight w:val="none"/>
        </w:rPr>
        <w:t>名称：            （盖章）</w:t>
      </w:r>
    </w:p>
    <w:p w14:paraId="304629D8">
      <w:pPr>
        <w:topLinePunct/>
        <w:spacing w:line="312" w:lineRule="auto"/>
        <w:ind w:firstLine="420" w:firstLineChars="200"/>
        <w:rPr>
          <w:rFonts w:ascii="宋体" w:hAnsi="宋体"/>
          <w:color w:val="auto"/>
          <w:highlight w:val="none"/>
        </w:rPr>
      </w:pPr>
      <w:r>
        <w:rPr>
          <w:rFonts w:hint="eastAsia" w:ascii="宋体" w:hAnsi="宋体"/>
          <w:color w:val="auto"/>
          <w:highlight w:val="none"/>
        </w:rPr>
        <w:t>法定代表人或其委托代理人：             （签字或签名章）</w:t>
      </w:r>
    </w:p>
    <w:p w14:paraId="7FF0F70C">
      <w:pPr>
        <w:topLinePunct/>
        <w:spacing w:line="312" w:lineRule="auto"/>
        <w:ind w:firstLine="420" w:firstLineChars="200"/>
        <w:rPr>
          <w:rFonts w:ascii="宋体" w:hAnsi="宋体"/>
          <w:color w:val="auto"/>
          <w:highlight w:val="none"/>
        </w:rPr>
      </w:pPr>
      <w:r>
        <w:rPr>
          <w:rFonts w:hint="eastAsia" w:ascii="宋体" w:hAnsi="宋体"/>
          <w:color w:val="auto"/>
          <w:highlight w:val="none"/>
        </w:rPr>
        <w:t>年   月  日</w:t>
      </w:r>
    </w:p>
    <w:p w14:paraId="0AB7C786">
      <w:pPr>
        <w:topLinePunct/>
        <w:spacing w:line="312" w:lineRule="auto"/>
        <w:ind w:firstLine="420" w:firstLineChars="200"/>
        <w:rPr>
          <w:rFonts w:ascii="宋体" w:hAnsi="宋体"/>
          <w:color w:val="auto"/>
          <w:highlight w:val="none"/>
        </w:rPr>
      </w:pPr>
      <w:r>
        <w:rPr>
          <w:rFonts w:hint="eastAsia" w:ascii="宋体" w:hAnsi="宋体"/>
          <w:color w:val="auto"/>
          <w:highlight w:val="none"/>
        </w:rPr>
        <w:t>成员单位名称：            （盖章）</w:t>
      </w:r>
    </w:p>
    <w:p w14:paraId="3EDCDD93">
      <w:pPr>
        <w:topLinePunct/>
        <w:spacing w:line="312" w:lineRule="auto"/>
        <w:ind w:firstLine="420" w:firstLineChars="200"/>
        <w:rPr>
          <w:rFonts w:ascii="宋体" w:hAnsi="宋体"/>
          <w:color w:val="auto"/>
          <w:highlight w:val="none"/>
        </w:rPr>
      </w:pPr>
      <w:r>
        <w:rPr>
          <w:rFonts w:hint="eastAsia" w:ascii="宋体" w:hAnsi="宋体"/>
          <w:color w:val="auto"/>
          <w:highlight w:val="none"/>
        </w:rPr>
        <w:t>法定代表人或其委托代理人：             （签字或签名章）</w:t>
      </w:r>
    </w:p>
    <w:p w14:paraId="56BF08E1">
      <w:pPr>
        <w:topLinePunct/>
        <w:spacing w:line="312" w:lineRule="auto"/>
        <w:ind w:firstLine="420" w:firstLineChars="200"/>
        <w:rPr>
          <w:rFonts w:ascii="宋体" w:hAnsi="宋体"/>
          <w:color w:val="auto"/>
          <w:highlight w:val="none"/>
        </w:rPr>
      </w:pPr>
    </w:p>
    <w:p w14:paraId="5C3FA893">
      <w:pPr>
        <w:topLinePunct/>
        <w:spacing w:line="312" w:lineRule="auto"/>
        <w:ind w:firstLine="420" w:firstLineChars="200"/>
        <w:rPr>
          <w:rFonts w:ascii="宋体" w:hAnsi="宋体"/>
          <w:color w:val="auto"/>
          <w:highlight w:val="none"/>
        </w:rPr>
      </w:pPr>
      <w:r>
        <w:rPr>
          <w:rFonts w:hint="eastAsia" w:ascii="宋体" w:hAnsi="宋体"/>
          <w:color w:val="auto"/>
          <w:highlight w:val="none"/>
        </w:rPr>
        <w:t xml:space="preserve">年   月 </w:t>
      </w:r>
      <w:r>
        <w:rPr>
          <w:rFonts w:hint="eastAsia" w:ascii="宋体" w:hAnsi="宋体"/>
          <w:color w:val="auto"/>
          <w:highlight w:val="none"/>
          <w:lang w:val="en-US" w:eastAsia="zh-CN"/>
        </w:rPr>
        <w:t xml:space="preserve"> </w:t>
      </w:r>
      <w:r>
        <w:rPr>
          <w:rFonts w:hint="eastAsia" w:ascii="宋体" w:hAnsi="宋体"/>
          <w:color w:val="auto"/>
          <w:highlight w:val="none"/>
        </w:rPr>
        <w:t xml:space="preserve"> 日</w:t>
      </w:r>
    </w:p>
    <w:p w14:paraId="50FBA6D0">
      <w:pPr>
        <w:ind w:right="-57" w:rightChars="-27"/>
        <w:jc w:val="left"/>
        <w:rPr>
          <w:rFonts w:hint="eastAsia" w:ascii="宋体" w:hAnsi="宋体"/>
          <w:color w:val="auto"/>
          <w:highlight w:val="none"/>
        </w:rPr>
      </w:pPr>
    </w:p>
    <w:p w14:paraId="1175A583">
      <w:pPr>
        <w:ind w:right="-57" w:rightChars="-27"/>
        <w:jc w:val="left"/>
        <w:rPr>
          <w:rFonts w:hint="eastAsia" w:ascii="宋体" w:hAnsi="宋体"/>
          <w:color w:val="auto"/>
          <w:highlight w:val="none"/>
        </w:rPr>
      </w:pPr>
    </w:p>
    <w:p w14:paraId="6524E3C8">
      <w:pPr>
        <w:ind w:right="-57" w:rightChars="-27"/>
        <w:jc w:val="left"/>
        <w:rPr>
          <w:rFonts w:hint="eastAsia" w:ascii="宋体" w:hAnsi="宋体"/>
          <w:color w:val="auto"/>
          <w:highlight w:val="none"/>
        </w:rPr>
      </w:pPr>
    </w:p>
    <w:p w14:paraId="3F00E86C">
      <w:pPr>
        <w:spacing w:line="360" w:lineRule="auto"/>
        <w:ind w:right="0" w:rightChars="0"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lang w:val="en-US" w:eastAsia="zh-CN"/>
        </w:rPr>
        <w:t>注：</w:t>
      </w:r>
      <w:r>
        <w:rPr>
          <w:rFonts w:hint="eastAsia" w:ascii="宋体" w:hAnsi="宋体"/>
          <w:color w:val="auto"/>
          <w:sz w:val="21"/>
          <w:szCs w:val="21"/>
          <w:highlight w:val="none"/>
          <w:lang w:val="en-US" w:eastAsia="zh-CN"/>
        </w:rPr>
        <w:t>由负责无人机飞行计划申报的联合体成员单位提供</w:t>
      </w:r>
      <w:r>
        <w:rPr>
          <w:rFonts w:hint="eastAsia" w:ascii="宋体" w:hAnsi="宋体"/>
          <w:color w:val="auto"/>
          <w:sz w:val="21"/>
          <w:szCs w:val="21"/>
          <w:highlight w:val="none"/>
        </w:rPr>
        <w:t>《民用无人驾驶航空器运营合格证》</w:t>
      </w:r>
      <w:r>
        <w:rPr>
          <w:rFonts w:hint="eastAsia" w:ascii="宋体" w:hAnsi="宋体"/>
          <w:color w:val="auto"/>
          <w:sz w:val="21"/>
          <w:szCs w:val="21"/>
          <w:highlight w:val="none"/>
          <w:lang w:eastAsia="zh-CN"/>
        </w:rPr>
        <w:t>。</w:t>
      </w:r>
      <w:r>
        <w:rPr>
          <w:rFonts w:hint="eastAsia" w:ascii="宋体" w:hAnsi="宋体"/>
          <w:b/>
          <w:color w:val="auto"/>
          <w:sz w:val="21"/>
          <w:szCs w:val="21"/>
          <w:highlight w:val="none"/>
        </w:rPr>
        <w:br w:type="page"/>
      </w:r>
    </w:p>
    <w:p w14:paraId="3FF57E59">
      <w:pPr>
        <w:ind w:right="-57" w:rightChars="-27"/>
        <w:rPr>
          <w:rFonts w:hint="eastAsia" w:ascii="宋体" w:hAnsi="宋体"/>
          <w:b/>
          <w:color w:val="auto"/>
          <w:sz w:val="24"/>
          <w:highlight w:val="none"/>
        </w:rPr>
      </w:pPr>
      <w:r>
        <w:rPr>
          <w:rFonts w:hint="eastAsia" w:ascii="宋体" w:hAnsi="宋体"/>
          <w:b/>
          <w:color w:val="auto"/>
          <w:sz w:val="24"/>
          <w:highlight w:val="none"/>
        </w:rPr>
        <w:t>附件</w:t>
      </w:r>
      <w:r>
        <w:rPr>
          <w:rFonts w:hint="eastAsia" w:ascii="宋体" w:hAnsi="宋体"/>
          <w:b/>
          <w:color w:val="auto"/>
          <w:sz w:val="24"/>
          <w:highlight w:val="none"/>
          <w:lang w:val="en-US" w:eastAsia="zh-CN"/>
        </w:rPr>
        <w:t>三</w:t>
      </w:r>
      <w:r>
        <w:rPr>
          <w:rFonts w:hint="eastAsia" w:ascii="宋体" w:hAnsi="宋体"/>
          <w:b/>
          <w:color w:val="auto"/>
          <w:sz w:val="24"/>
          <w:highlight w:val="none"/>
        </w:rPr>
        <w:t>：联合体成员的授权函</w:t>
      </w:r>
    </w:p>
    <w:p w14:paraId="4F07FACC">
      <w:pPr>
        <w:widowControl/>
        <w:spacing w:before="260" w:after="260"/>
        <w:ind w:right="384"/>
        <w:jc w:val="center"/>
        <w:rPr>
          <w:rFonts w:ascii="宋体" w:hAnsi="宋体" w:cs="宋体"/>
          <w:b/>
          <w:bCs/>
          <w:color w:val="auto"/>
          <w:kern w:val="0"/>
          <w:sz w:val="44"/>
          <w:szCs w:val="44"/>
          <w:highlight w:val="none"/>
        </w:rPr>
      </w:pPr>
      <w:r>
        <w:rPr>
          <w:rFonts w:hint="eastAsia" w:ascii="宋体" w:hAnsi="宋体" w:cs="宋体"/>
          <w:b/>
          <w:bCs/>
          <w:color w:val="auto"/>
          <w:kern w:val="0"/>
          <w:sz w:val="28"/>
          <w:szCs w:val="28"/>
          <w:highlight w:val="none"/>
        </w:rPr>
        <w:t>联合体成员的授权函</w:t>
      </w:r>
    </w:p>
    <w:p w14:paraId="06130C3D">
      <w:pPr>
        <w:spacing w:line="360" w:lineRule="auto"/>
        <w:ind w:firstLine="629"/>
        <w:rPr>
          <w:rFonts w:hint="eastAsia" w:ascii="宋体" w:hAnsi="宋体"/>
          <w:color w:val="auto"/>
          <w:kern w:val="0"/>
          <w:sz w:val="21"/>
          <w:szCs w:val="21"/>
          <w:highlight w:val="none"/>
        </w:rPr>
      </w:pPr>
      <w:r>
        <w:rPr>
          <w:rFonts w:hint="eastAsia" w:ascii="宋体" w:hAnsi="宋体"/>
          <w:color w:val="auto"/>
          <w:kern w:val="0"/>
          <w:sz w:val="21"/>
          <w:szCs w:val="21"/>
          <w:highlight w:val="none"/>
        </w:rPr>
        <w:t>致：（招标机构）</w:t>
      </w:r>
    </w:p>
    <w:p w14:paraId="5C4786CC">
      <w:pPr>
        <w:spacing w:line="360" w:lineRule="auto"/>
        <w:ind w:firstLine="629"/>
        <w:rPr>
          <w:rFonts w:hint="eastAsia" w:ascii="宋体" w:hAnsi="宋体"/>
          <w:color w:val="auto"/>
          <w:kern w:val="0"/>
          <w:sz w:val="21"/>
          <w:szCs w:val="21"/>
          <w:highlight w:val="none"/>
        </w:rPr>
      </w:pPr>
      <w:r>
        <w:rPr>
          <w:rFonts w:hint="eastAsia" w:ascii="宋体" w:hAnsi="宋体"/>
          <w:color w:val="auto"/>
          <w:kern w:val="0"/>
          <w:sz w:val="21"/>
          <w:szCs w:val="21"/>
          <w:highlight w:val="none"/>
        </w:rPr>
        <w:t>我们</w:t>
      </w:r>
      <w:r>
        <w:rPr>
          <w:rFonts w:hint="eastAsia" w:ascii="宋体" w:hAnsi="宋体"/>
          <w:color w:val="auto"/>
          <w:kern w:val="0"/>
          <w:sz w:val="21"/>
          <w:szCs w:val="21"/>
          <w:highlight w:val="none"/>
          <w:u w:val="single"/>
        </w:rPr>
        <w:t xml:space="preserve">   （联合体成员名称，</w:t>
      </w:r>
      <w:r>
        <w:rPr>
          <w:rFonts w:ascii="宋体" w:hAnsi="宋体"/>
          <w:color w:val="auto"/>
          <w:kern w:val="0"/>
          <w:sz w:val="21"/>
          <w:szCs w:val="21"/>
          <w:highlight w:val="none"/>
          <w:u w:val="single"/>
        </w:rPr>
        <w:t>分别</w:t>
      </w:r>
      <w:r>
        <w:rPr>
          <w:rFonts w:hint="eastAsia" w:ascii="宋体" w:hAnsi="宋体"/>
          <w:color w:val="auto"/>
          <w:kern w:val="0"/>
          <w:sz w:val="21"/>
          <w:szCs w:val="21"/>
          <w:highlight w:val="none"/>
          <w:u w:val="single"/>
        </w:rPr>
        <w:t xml:space="preserve">罗列）   </w:t>
      </w:r>
      <w:r>
        <w:rPr>
          <w:rFonts w:hint="eastAsia" w:ascii="宋体" w:hAnsi="宋体"/>
          <w:color w:val="auto"/>
          <w:kern w:val="0"/>
          <w:sz w:val="21"/>
          <w:szCs w:val="21"/>
          <w:highlight w:val="none"/>
        </w:rPr>
        <w:t>是按</w:t>
      </w:r>
      <w:r>
        <w:rPr>
          <w:rFonts w:hint="eastAsia" w:ascii="宋体" w:hAnsi="宋体"/>
          <w:color w:val="auto"/>
          <w:kern w:val="0"/>
          <w:sz w:val="21"/>
          <w:szCs w:val="21"/>
          <w:highlight w:val="none"/>
          <w:u w:val="single"/>
        </w:rPr>
        <w:t xml:space="preserve">   （国家名称）   </w:t>
      </w:r>
      <w:r>
        <w:rPr>
          <w:rFonts w:hint="eastAsia" w:ascii="宋体" w:hAnsi="宋体"/>
          <w:color w:val="auto"/>
          <w:kern w:val="0"/>
          <w:sz w:val="21"/>
          <w:szCs w:val="21"/>
          <w:highlight w:val="none"/>
        </w:rPr>
        <w:t>法律成立的，主要营业地点设在</w:t>
      </w:r>
      <w:r>
        <w:rPr>
          <w:rFonts w:hint="eastAsia" w:ascii="宋体" w:hAnsi="宋体"/>
          <w:color w:val="auto"/>
          <w:kern w:val="0"/>
          <w:sz w:val="21"/>
          <w:szCs w:val="21"/>
          <w:highlight w:val="none"/>
          <w:u w:val="single"/>
        </w:rPr>
        <w:t xml:space="preserve">   （联合体成员地址，</w:t>
      </w:r>
      <w:r>
        <w:rPr>
          <w:rFonts w:ascii="宋体" w:hAnsi="宋体"/>
          <w:color w:val="auto"/>
          <w:kern w:val="0"/>
          <w:sz w:val="21"/>
          <w:szCs w:val="21"/>
          <w:highlight w:val="none"/>
          <w:u w:val="single"/>
        </w:rPr>
        <w:t>分别</w:t>
      </w:r>
      <w:r>
        <w:rPr>
          <w:rFonts w:hint="eastAsia" w:ascii="宋体" w:hAnsi="宋体"/>
          <w:color w:val="auto"/>
          <w:kern w:val="0"/>
          <w:sz w:val="21"/>
          <w:szCs w:val="21"/>
          <w:highlight w:val="none"/>
          <w:u w:val="single"/>
        </w:rPr>
        <w:t xml:space="preserve">罗列）   </w:t>
      </w:r>
      <w:r>
        <w:rPr>
          <w:rFonts w:hint="eastAsia" w:ascii="宋体" w:hAnsi="宋体"/>
          <w:color w:val="auto"/>
          <w:kern w:val="0"/>
          <w:sz w:val="21"/>
          <w:szCs w:val="21"/>
          <w:highlight w:val="none"/>
        </w:rPr>
        <w:t>。为参加</w:t>
      </w:r>
      <w:r>
        <w:rPr>
          <w:rFonts w:hint="eastAsia" w:ascii="宋体" w:hAnsi="宋体"/>
          <w:color w:val="auto"/>
          <w:kern w:val="0"/>
          <w:sz w:val="21"/>
          <w:szCs w:val="21"/>
          <w:highlight w:val="none"/>
          <w:u w:val="single"/>
        </w:rPr>
        <w:t xml:space="preserve"> </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rPr>
        <w:t xml:space="preserve">（项目名称）  </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rPr>
        <w:t>的投标并在中标后实施该合同，兹指派按</w:t>
      </w:r>
      <w:r>
        <w:rPr>
          <w:rFonts w:hint="eastAsia" w:ascii="宋体" w:hAnsi="宋体"/>
          <w:color w:val="auto"/>
          <w:kern w:val="0"/>
          <w:sz w:val="21"/>
          <w:szCs w:val="21"/>
          <w:highlight w:val="none"/>
          <w:u w:val="single"/>
        </w:rPr>
        <w:t xml:space="preserve">     （国家名称）       </w:t>
      </w:r>
      <w:r>
        <w:rPr>
          <w:rFonts w:hint="eastAsia" w:ascii="宋体" w:hAnsi="宋体"/>
          <w:color w:val="auto"/>
          <w:kern w:val="0"/>
          <w:sz w:val="21"/>
          <w:szCs w:val="21"/>
          <w:highlight w:val="none"/>
        </w:rPr>
        <w:t>的法律正式成立的，主要营业地点设在</w:t>
      </w:r>
      <w:r>
        <w:rPr>
          <w:rFonts w:hint="eastAsia" w:ascii="宋体" w:hAnsi="宋体"/>
          <w:color w:val="auto"/>
          <w:kern w:val="0"/>
          <w:sz w:val="21"/>
          <w:szCs w:val="21"/>
          <w:highlight w:val="none"/>
          <w:u w:val="single"/>
        </w:rPr>
        <w:t xml:space="preserve">       （联合体</w:t>
      </w:r>
      <w:r>
        <w:rPr>
          <w:rFonts w:hint="eastAsia" w:ascii="宋体" w:hAnsi="宋体"/>
          <w:color w:val="auto"/>
          <w:kern w:val="0"/>
          <w:sz w:val="21"/>
          <w:szCs w:val="21"/>
          <w:highlight w:val="none"/>
          <w:u w:val="single"/>
          <w:lang w:eastAsia="zh-CN"/>
        </w:rPr>
        <w:t>牵头人</w:t>
      </w:r>
      <w:r>
        <w:rPr>
          <w:rFonts w:hint="eastAsia" w:ascii="宋体" w:hAnsi="宋体"/>
          <w:color w:val="auto"/>
          <w:kern w:val="0"/>
          <w:sz w:val="21"/>
          <w:szCs w:val="21"/>
          <w:highlight w:val="none"/>
          <w:u w:val="single"/>
        </w:rPr>
        <w:t xml:space="preserve">地址）   </w:t>
      </w:r>
      <w:r>
        <w:rPr>
          <w:rFonts w:hint="eastAsia" w:ascii="宋体" w:hAnsi="宋体"/>
          <w:color w:val="auto"/>
          <w:kern w:val="0"/>
          <w:sz w:val="21"/>
          <w:szCs w:val="21"/>
          <w:highlight w:val="none"/>
        </w:rPr>
        <w:t xml:space="preserve">的     </w:t>
      </w:r>
      <w:r>
        <w:rPr>
          <w:rFonts w:hint="eastAsia" w:ascii="宋体" w:hAnsi="宋体"/>
          <w:color w:val="auto"/>
          <w:kern w:val="0"/>
          <w:sz w:val="21"/>
          <w:szCs w:val="21"/>
          <w:highlight w:val="none"/>
          <w:u w:val="single"/>
        </w:rPr>
        <w:t>（联合体</w:t>
      </w:r>
      <w:r>
        <w:rPr>
          <w:rFonts w:hint="eastAsia" w:ascii="宋体" w:hAnsi="宋体"/>
          <w:color w:val="auto"/>
          <w:kern w:val="0"/>
          <w:sz w:val="21"/>
          <w:szCs w:val="21"/>
          <w:highlight w:val="none"/>
          <w:u w:val="single"/>
          <w:lang w:eastAsia="zh-CN"/>
        </w:rPr>
        <w:t>牵头人</w:t>
      </w:r>
      <w:r>
        <w:rPr>
          <w:rFonts w:hint="eastAsia" w:ascii="宋体" w:hAnsi="宋体"/>
          <w:color w:val="auto"/>
          <w:kern w:val="0"/>
          <w:sz w:val="21"/>
          <w:szCs w:val="21"/>
          <w:highlight w:val="none"/>
          <w:u w:val="single"/>
        </w:rPr>
        <w:t xml:space="preserve">名称）  </w:t>
      </w:r>
      <w:r>
        <w:rPr>
          <w:rFonts w:hint="eastAsia" w:ascii="宋体" w:hAnsi="宋体"/>
          <w:color w:val="auto"/>
          <w:kern w:val="0"/>
          <w:sz w:val="21"/>
          <w:szCs w:val="21"/>
          <w:highlight w:val="none"/>
        </w:rPr>
        <w:t>作为我方真正的和合法的代理人进行下列有效的活动：</w:t>
      </w:r>
    </w:p>
    <w:p w14:paraId="2C8A815A">
      <w:pPr>
        <w:spacing w:line="360" w:lineRule="auto"/>
        <w:ind w:firstLine="629"/>
        <w:rPr>
          <w:rFonts w:hint="eastAsia" w:ascii="宋体" w:hAnsi="宋体"/>
          <w:color w:val="auto"/>
          <w:kern w:val="0"/>
          <w:sz w:val="21"/>
          <w:szCs w:val="21"/>
          <w:highlight w:val="none"/>
        </w:rPr>
      </w:pPr>
      <w:r>
        <w:rPr>
          <w:rFonts w:ascii="宋体" w:hAnsi="宋体"/>
          <w:color w:val="auto"/>
          <w:kern w:val="0"/>
          <w:sz w:val="21"/>
          <w:szCs w:val="21"/>
          <w:highlight w:val="none"/>
        </w:rPr>
        <w:t>（1）</w:t>
      </w:r>
      <w:r>
        <w:rPr>
          <w:rFonts w:hint="eastAsia" w:ascii="宋体" w:hAnsi="宋体"/>
          <w:color w:val="auto"/>
          <w:kern w:val="0"/>
          <w:sz w:val="21"/>
          <w:szCs w:val="21"/>
          <w:highlight w:val="none"/>
        </w:rPr>
        <w:tab/>
      </w:r>
      <w:r>
        <w:rPr>
          <w:rFonts w:hint="eastAsia" w:ascii="宋体" w:hAnsi="宋体"/>
          <w:color w:val="auto"/>
          <w:kern w:val="0"/>
          <w:sz w:val="21"/>
          <w:szCs w:val="21"/>
          <w:highlight w:val="none"/>
        </w:rPr>
        <w:t>代表我方在中华人民共和国办理</w:t>
      </w:r>
      <w:r>
        <w:rPr>
          <w:rFonts w:hint="eastAsia" w:ascii="宋体" w:hAnsi="宋体"/>
          <w:color w:val="auto"/>
          <w:kern w:val="0"/>
          <w:sz w:val="21"/>
          <w:szCs w:val="21"/>
          <w:highlight w:val="none"/>
          <w:u w:val="single"/>
        </w:rPr>
        <w:t xml:space="preserve"> </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rPr>
        <w:t xml:space="preserve">         </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rPr>
        <w:t>（项目名称）</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rPr>
        <w:t>要求提供的由我方提供的货物、服务的有关事宜，并对我方具有约束力。</w:t>
      </w:r>
    </w:p>
    <w:p w14:paraId="7E6C1B81">
      <w:pPr>
        <w:spacing w:line="360" w:lineRule="auto"/>
        <w:ind w:firstLine="629"/>
        <w:rPr>
          <w:rFonts w:hint="eastAsia" w:ascii="宋体" w:hAnsi="宋体"/>
          <w:color w:val="auto"/>
          <w:kern w:val="0"/>
          <w:sz w:val="21"/>
          <w:szCs w:val="21"/>
          <w:highlight w:val="none"/>
        </w:rPr>
      </w:pPr>
      <w:r>
        <w:rPr>
          <w:rFonts w:ascii="宋体" w:hAnsi="宋体"/>
          <w:color w:val="auto"/>
          <w:kern w:val="0"/>
          <w:sz w:val="21"/>
          <w:szCs w:val="21"/>
          <w:highlight w:val="none"/>
        </w:rPr>
        <w:t>（2）</w:t>
      </w:r>
      <w:r>
        <w:rPr>
          <w:rFonts w:hint="eastAsia" w:ascii="宋体" w:hAnsi="宋体"/>
          <w:color w:val="auto"/>
          <w:kern w:val="0"/>
          <w:sz w:val="21"/>
          <w:szCs w:val="21"/>
          <w:highlight w:val="none"/>
        </w:rPr>
        <w:tab/>
      </w:r>
      <w:r>
        <w:rPr>
          <w:rFonts w:hint="eastAsia" w:ascii="宋体" w:hAnsi="宋体"/>
          <w:color w:val="auto"/>
          <w:kern w:val="0"/>
          <w:sz w:val="21"/>
          <w:szCs w:val="21"/>
          <w:highlight w:val="none"/>
        </w:rPr>
        <w:t>作为联合体成员，我方保证以投标合作者来约束自己，并对该投标共同和分别承担招标文件中所规定的义务，并承担单独和连带责任。</w:t>
      </w:r>
    </w:p>
    <w:p w14:paraId="0F5511F7">
      <w:pPr>
        <w:spacing w:line="360" w:lineRule="auto"/>
        <w:ind w:firstLine="629"/>
        <w:rPr>
          <w:rFonts w:hint="eastAsia" w:ascii="宋体" w:hAnsi="宋体"/>
          <w:color w:val="auto"/>
          <w:kern w:val="0"/>
          <w:sz w:val="21"/>
          <w:szCs w:val="21"/>
          <w:highlight w:val="none"/>
        </w:rPr>
      </w:pPr>
      <w:r>
        <w:rPr>
          <w:rFonts w:ascii="宋体" w:hAnsi="宋体"/>
          <w:color w:val="auto"/>
          <w:kern w:val="0"/>
          <w:sz w:val="21"/>
          <w:szCs w:val="21"/>
          <w:highlight w:val="none"/>
        </w:rPr>
        <w:t>（3）</w:t>
      </w:r>
      <w:r>
        <w:rPr>
          <w:rFonts w:hint="eastAsia" w:ascii="宋体" w:hAnsi="宋体"/>
          <w:color w:val="auto"/>
          <w:kern w:val="0"/>
          <w:sz w:val="21"/>
          <w:szCs w:val="21"/>
          <w:highlight w:val="none"/>
        </w:rPr>
        <w:tab/>
      </w:r>
      <w:r>
        <w:rPr>
          <w:rFonts w:hint="eastAsia" w:ascii="宋体" w:hAnsi="宋体"/>
          <w:color w:val="auto"/>
          <w:kern w:val="0"/>
          <w:sz w:val="21"/>
          <w:szCs w:val="21"/>
          <w:highlight w:val="none"/>
        </w:rPr>
        <w:t>我方兹授予</w:t>
      </w:r>
      <w:r>
        <w:rPr>
          <w:rFonts w:hint="eastAsia" w:ascii="宋体" w:hAnsi="宋体"/>
          <w:color w:val="auto"/>
          <w:kern w:val="0"/>
          <w:sz w:val="21"/>
          <w:szCs w:val="21"/>
          <w:highlight w:val="none"/>
          <w:u w:val="single"/>
        </w:rPr>
        <w:t xml:space="preserve">    （联合体</w:t>
      </w:r>
      <w:r>
        <w:rPr>
          <w:rFonts w:hint="eastAsia" w:ascii="宋体" w:hAnsi="宋体"/>
          <w:color w:val="auto"/>
          <w:kern w:val="0"/>
          <w:sz w:val="21"/>
          <w:szCs w:val="21"/>
          <w:highlight w:val="none"/>
          <w:u w:val="single"/>
          <w:lang w:eastAsia="zh-CN"/>
        </w:rPr>
        <w:t>牵头人</w:t>
      </w:r>
      <w:r>
        <w:rPr>
          <w:rFonts w:hint="eastAsia" w:ascii="宋体" w:hAnsi="宋体"/>
          <w:color w:val="auto"/>
          <w:kern w:val="0"/>
          <w:sz w:val="21"/>
          <w:szCs w:val="21"/>
          <w:highlight w:val="none"/>
          <w:u w:val="single"/>
        </w:rPr>
        <w:t xml:space="preserve">名称）   </w:t>
      </w:r>
      <w:r>
        <w:rPr>
          <w:rFonts w:hint="eastAsia" w:ascii="宋体" w:hAnsi="宋体"/>
          <w:color w:val="auto"/>
          <w:kern w:val="0"/>
          <w:sz w:val="21"/>
          <w:szCs w:val="21"/>
          <w:highlight w:val="none"/>
        </w:rPr>
        <w:t>全权办理和履行上述我方为完成上述各点所必须的事宜，具有替换或撤销的全权。兹确认</w:t>
      </w:r>
      <w:r>
        <w:rPr>
          <w:rFonts w:hint="eastAsia" w:ascii="宋体" w:hAnsi="宋体"/>
          <w:color w:val="auto"/>
          <w:kern w:val="0"/>
          <w:sz w:val="21"/>
          <w:szCs w:val="21"/>
          <w:highlight w:val="none"/>
          <w:u w:val="single"/>
        </w:rPr>
        <w:t xml:space="preserve">  （联合体</w:t>
      </w:r>
      <w:r>
        <w:rPr>
          <w:rFonts w:hint="eastAsia" w:ascii="宋体" w:hAnsi="宋体"/>
          <w:color w:val="auto"/>
          <w:kern w:val="0"/>
          <w:sz w:val="21"/>
          <w:szCs w:val="21"/>
          <w:highlight w:val="none"/>
          <w:u w:val="single"/>
          <w:lang w:eastAsia="zh-CN"/>
        </w:rPr>
        <w:t>牵头人</w:t>
      </w:r>
      <w:r>
        <w:rPr>
          <w:rFonts w:hint="eastAsia" w:ascii="宋体" w:hAnsi="宋体"/>
          <w:color w:val="auto"/>
          <w:kern w:val="0"/>
          <w:sz w:val="21"/>
          <w:szCs w:val="21"/>
          <w:highlight w:val="none"/>
          <w:u w:val="single"/>
        </w:rPr>
        <w:t xml:space="preserve">名称）   </w:t>
      </w:r>
      <w:r>
        <w:rPr>
          <w:rFonts w:hint="eastAsia" w:ascii="宋体" w:hAnsi="宋体"/>
          <w:color w:val="auto"/>
          <w:kern w:val="0"/>
          <w:sz w:val="21"/>
          <w:szCs w:val="21"/>
          <w:highlight w:val="none"/>
        </w:rPr>
        <w:t>或其正式授权代表依此合法地办理一切事宜。</w:t>
      </w:r>
    </w:p>
    <w:p w14:paraId="6A6183DD">
      <w:pPr>
        <w:spacing w:line="360" w:lineRule="auto"/>
        <w:ind w:firstLine="629"/>
        <w:rPr>
          <w:rFonts w:hint="eastAsia" w:ascii="宋体" w:hAnsi="宋体"/>
          <w:color w:val="auto"/>
          <w:kern w:val="0"/>
          <w:sz w:val="21"/>
          <w:szCs w:val="21"/>
          <w:highlight w:val="none"/>
        </w:rPr>
      </w:pPr>
      <w:r>
        <w:rPr>
          <w:rFonts w:ascii="宋体" w:hAnsi="宋体"/>
          <w:color w:val="auto"/>
          <w:kern w:val="0"/>
          <w:sz w:val="21"/>
          <w:szCs w:val="21"/>
          <w:highlight w:val="none"/>
        </w:rPr>
        <w:t xml:space="preserve"> </w:t>
      </w:r>
      <w:r>
        <w:rPr>
          <w:rFonts w:hint="eastAsia" w:ascii="宋体" w:hAnsi="宋体"/>
          <w:color w:val="auto"/>
          <w:kern w:val="0"/>
          <w:sz w:val="21"/>
          <w:szCs w:val="21"/>
          <w:highlight w:val="none"/>
        </w:rPr>
        <w:t>我方于</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rPr>
        <w:t xml:space="preserve">年 </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rPr>
        <w:t xml:space="preserve">月 </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rPr>
        <w:t>日共同签署本文件，</w:t>
      </w:r>
      <w:r>
        <w:rPr>
          <w:rFonts w:hint="eastAsia" w:ascii="宋体" w:hAnsi="宋体"/>
          <w:color w:val="auto"/>
          <w:kern w:val="0"/>
          <w:sz w:val="21"/>
          <w:szCs w:val="21"/>
          <w:highlight w:val="none"/>
          <w:u w:val="single"/>
        </w:rPr>
        <w:t xml:space="preserve">    （联合体</w:t>
      </w:r>
      <w:r>
        <w:rPr>
          <w:rFonts w:hint="eastAsia" w:ascii="宋体" w:hAnsi="宋体"/>
          <w:color w:val="auto"/>
          <w:kern w:val="0"/>
          <w:sz w:val="21"/>
          <w:szCs w:val="21"/>
          <w:highlight w:val="none"/>
          <w:u w:val="single"/>
          <w:lang w:eastAsia="zh-CN"/>
        </w:rPr>
        <w:t>牵头人</w:t>
      </w:r>
      <w:r>
        <w:rPr>
          <w:rFonts w:hint="eastAsia" w:ascii="宋体" w:hAnsi="宋体"/>
          <w:color w:val="auto"/>
          <w:kern w:val="0"/>
          <w:sz w:val="21"/>
          <w:szCs w:val="21"/>
          <w:highlight w:val="none"/>
          <w:u w:val="single"/>
        </w:rPr>
        <w:t xml:space="preserve">名称）  </w:t>
      </w:r>
      <w:r>
        <w:rPr>
          <w:rFonts w:hint="eastAsia" w:ascii="宋体" w:hAnsi="宋体"/>
          <w:color w:val="auto"/>
          <w:kern w:val="0"/>
          <w:sz w:val="21"/>
          <w:szCs w:val="21"/>
          <w:highlight w:val="none"/>
        </w:rPr>
        <w:t>于</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rPr>
        <w:t>年</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rPr>
        <w:t>月</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rPr>
        <w:t>日接受此件，以此为证。</w:t>
      </w:r>
    </w:p>
    <w:p w14:paraId="6E5C1BB5">
      <w:pPr>
        <w:spacing w:line="360" w:lineRule="auto"/>
        <w:ind w:firstLine="629"/>
        <w:rPr>
          <w:rFonts w:hint="eastAsia" w:ascii="宋体" w:hAnsi="宋体"/>
          <w:color w:val="auto"/>
          <w:kern w:val="0"/>
          <w:sz w:val="21"/>
          <w:szCs w:val="21"/>
          <w:highlight w:val="none"/>
        </w:rPr>
      </w:pPr>
    </w:p>
    <w:p w14:paraId="35AD55E4">
      <w:pPr>
        <w:spacing w:line="360" w:lineRule="auto"/>
        <w:ind w:firstLine="629"/>
        <w:rPr>
          <w:rFonts w:hint="eastAsia" w:ascii="宋体" w:hAnsi="宋体"/>
          <w:color w:val="auto"/>
          <w:kern w:val="0"/>
          <w:sz w:val="21"/>
          <w:szCs w:val="21"/>
          <w:highlight w:val="none"/>
          <w:lang w:val="en-US" w:eastAsia="zh-CN"/>
        </w:rPr>
      </w:pPr>
      <w:r>
        <w:rPr>
          <w:rFonts w:hint="eastAsia" w:ascii="宋体" w:hAnsi="宋体"/>
          <w:color w:val="auto"/>
          <w:kern w:val="0"/>
          <w:sz w:val="21"/>
          <w:szCs w:val="21"/>
          <w:highlight w:val="none"/>
        </w:rPr>
        <w:t>附：联合体</w:t>
      </w:r>
      <w:r>
        <w:rPr>
          <w:rFonts w:hint="eastAsia" w:ascii="宋体" w:hAnsi="宋体"/>
          <w:color w:val="auto"/>
          <w:kern w:val="0"/>
          <w:sz w:val="21"/>
          <w:szCs w:val="21"/>
          <w:highlight w:val="none"/>
          <w:lang w:val="en-US" w:eastAsia="zh-CN"/>
        </w:rPr>
        <w:t>协议书</w:t>
      </w:r>
    </w:p>
    <w:p w14:paraId="0C65C3BD">
      <w:pPr>
        <w:spacing w:line="360" w:lineRule="auto"/>
        <w:ind w:firstLine="629"/>
        <w:rPr>
          <w:rFonts w:hint="default" w:ascii="宋体" w:hAnsi="宋体"/>
          <w:color w:val="auto"/>
          <w:kern w:val="0"/>
          <w:sz w:val="21"/>
          <w:szCs w:val="21"/>
          <w:highlight w:val="none"/>
        </w:rPr>
      </w:pPr>
    </w:p>
    <w:p w14:paraId="08A3EFF8">
      <w:pPr>
        <w:spacing w:line="360" w:lineRule="auto"/>
        <w:ind w:firstLine="629"/>
        <w:rPr>
          <w:rFonts w:hint="eastAsia" w:ascii="宋体" w:hAnsi="宋体"/>
          <w:color w:val="auto"/>
          <w:kern w:val="0"/>
          <w:sz w:val="21"/>
          <w:szCs w:val="21"/>
          <w:highlight w:val="none"/>
          <w:u w:val="single"/>
        </w:rPr>
      </w:pPr>
      <w:r>
        <w:rPr>
          <w:rFonts w:hint="eastAsia" w:ascii="宋体" w:hAnsi="宋体"/>
          <w:color w:val="auto"/>
          <w:kern w:val="0"/>
          <w:sz w:val="21"/>
          <w:szCs w:val="21"/>
          <w:highlight w:val="none"/>
        </w:rPr>
        <w:t>联合体</w:t>
      </w:r>
      <w:r>
        <w:rPr>
          <w:rFonts w:hint="eastAsia" w:ascii="宋体" w:hAnsi="宋体"/>
          <w:color w:val="auto"/>
          <w:kern w:val="0"/>
          <w:sz w:val="21"/>
          <w:szCs w:val="21"/>
          <w:highlight w:val="none"/>
          <w:lang w:eastAsia="zh-CN"/>
        </w:rPr>
        <w:t>牵头人</w:t>
      </w:r>
      <w:r>
        <w:rPr>
          <w:rFonts w:hint="eastAsia" w:ascii="宋体" w:hAnsi="宋体"/>
          <w:color w:val="auto"/>
          <w:kern w:val="0"/>
          <w:sz w:val="21"/>
          <w:szCs w:val="21"/>
          <w:highlight w:val="none"/>
        </w:rPr>
        <w:t>名称</w:t>
      </w:r>
      <w:r>
        <w:rPr>
          <w:rFonts w:ascii="宋体" w:hAnsi="宋体"/>
          <w:color w:val="auto"/>
          <w:kern w:val="0"/>
          <w:sz w:val="21"/>
          <w:szCs w:val="21"/>
          <w:highlight w:val="none"/>
        </w:rPr>
        <w:t>（</w:t>
      </w:r>
      <w:r>
        <w:rPr>
          <w:rFonts w:hint="eastAsia" w:ascii="宋体" w:hAnsi="宋体"/>
          <w:color w:val="auto"/>
          <w:kern w:val="0"/>
          <w:sz w:val="21"/>
          <w:szCs w:val="21"/>
          <w:highlight w:val="none"/>
        </w:rPr>
        <w:t>盖公章）：</w:t>
      </w:r>
      <w:r>
        <w:rPr>
          <w:rFonts w:hint="eastAsia" w:ascii="宋体" w:hAnsi="宋体"/>
          <w:color w:val="auto"/>
          <w:kern w:val="0"/>
          <w:sz w:val="21"/>
          <w:szCs w:val="21"/>
          <w:highlight w:val="none"/>
          <w:u w:val="single"/>
        </w:rPr>
        <w:t xml:space="preserve">                        </w:t>
      </w:r>
    </w:p>
    <w:p w14:paraId="6899EBE6">
      <w:pPr>
        <w:spacing w:line="360" w:lineRule="auto"/>
        <w:ind w:firstLine="629"/>
        <w:rPr>
          <w:rFonts w:hint="eastAsia" w:ascii="宋体" w:hAnsi="宋体"/>
          <w:color w:val="auto"/>
          <w:kern w:val="0"/>
          <w:sz w:val="21"/>
          <w:szCs w:val="21"/>
          <w:highlight w:val="none"/>
          <w:u w:val="single"/>
        </w:rPr>
      </w:pPr>
      <w:r>
        <w:rPr>
          <w:rFonts w:hint="eastAsia" w:ascii="宋体" w:hAnsi="宋体"/>
          <w:color w:val="auto"/>
          <w:kern w:val="0"/>
          <w:sz w:val="21"/>
          <w:szCs w:val="21"/>
          <w:highlight w:val="none"/>
        </w:rPr>
        <w:t xml:space="preserve">正式授权签字的代表姓名（印刷体及签字） </w:t>
      </w:r>
      <w:r>
        <w:rPr>
          <w:rFonts w:hint="eastAsia" w:ascii="宋体" w:hAnsi="宋体"/>
          <w:color w:val="auto"/>
          <w:kern w:val="0"/>
          <w:sz w:val="21"/>
          <w:szCs w:val="21"/>
          <w:highlight w:val="none"/>
          <w:u w:val="single"/>
        </w:rPr>
        <w:t xml:space="preserve">           </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rPr>
        <w:tab/>
      </w:r>
      <w:r>
        <w:rPr>
          <w:rFonts w:hint="eastAsia" w:ascii="宋体" w:hAnsi="宋体"/>
          <w:color w:val="auto"/>
          <w:kern w:val="0"/>
          <w:sz w:val="21"/>
          <w:szCs w:val="21"/>
          <w:highlight w:val="none"/>
          <w:u w:val="single"/>
        </w:rPr>
        <w:t xml:space="preserve">           </w:t>
      </w:r>
    </w:p>
    <w:p w14:paraId="4419842E">
      <w:pPr>
        <w:spacing w:line="360" w:lineRule="auto"/>
        <w:ind w:firstLine="629"/>
        <w:rPr>
          <w:rFonts w:hint="eastAsia" w:ascii="宋体" w:hAnsi="宋体"/>
          <w:color w:val="auto"/>
          <w:kern w:val="0"/>
          <w:sz w:val="21"/>
          <w:szCs w:val="21"/>
          <w:highlight w:val="none"/>
          <w:u w:val="single"/>
        </w:rPr>
      </w:pPr>
      <w:r>
        <w:rPr>
          <w:rFonts w:hint="eastAsia" w:ascii="宋体" w:hAnsi="宋体"/>
          <w:color w:val="auto"/>
          <w:kern w:val="0"/>
          <w:sz w:val="21"/>
          <w:szCs w:val="21"/>
          <w:highlight w:val="none"/>
        </w:rPr>
        <w:t xml:space="preserve">职务和部门 </w:t>
      </w:r>
      <w:r>
        <w:rPr>
          <w:rFonts w:hint="eastAsia" w:ascii="宋体" w:hAnsi="宋体"/>
          <w:color w:val="auto"/>
          <w:kern w:val="0"/>
          <w:sz w:val="21"/>
          <w:szCs w:val="21"/>
          <w:highlight w:val="none"/>
          <w:u w:val="single"/>
        </w:rPr>
        <w:t xml:space="preserve">                          </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rPr>
        <w:tab/>
      </w:r>
    </w:p>
    <w:p w14:paraId="717520D9">
      <w:pPr>
        <w:spacing w:line="360" w:lineRule="auto"/>
        <w:ind w:firstLine="629"/>
        <w:rPr>
          <w:rFonts w:hint="eastAsia" w:ascii="宋体" w:hAnsi="宋体"/>
          <w:color w:val="auto"/>
          <w:kern w:val="0"/>
          <w:sz w:val="21"/>
          <w:szCs w:val="21"/>
          <w:highlight w:val="none"/>
          <w:u w:val="single"/>
        </w:rPr>
      </w:pPr>
      <w:r>
        <w:rPr>
          <w:rFonts w:hint="eastAsia" w:ascii="宋体" w:hAnsi="宋体"/>
          <w:color w:val="auto"/>
          <w:kern w:val="0"/>
          <w:sz w:val="21"/>
          <w:szCs w:val="21"/>
          <w:highlight w:val="none"/>
        </w:rPr>
        <w:t xml:space="preserve">日期 </w:t>
      </w:r>
      <w:r>
        <w:rPr>
          <w:rFonts w:hint="eastAsia" w:ascii="宋体" w:hAnsi="宋体"/>
          <w:color w:val="auto"/>
          <w:kern w:val="0"/>
          <w:sz w:val="21"/>
          <w:szCs w:val="21"/>
          <w:highlight w:val="none"/>
          <w:u w:val="single"/>
        </w:rPr>
        <w:t xml:space="preserve">                          </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rPr>
        <w:tab/>
      </w:r>
    </w:p>
    <w:p w14:paraId="2F8A2753">
      <w:pPr>
        <w:spacing w:line="360" w:lineRule="auto"/>
        <w:ind w:firstLine="629"/>
        <w:rPr>
          <w:rFonts w:hint="eastAsia" w:ascii="宋体" w:hAnsi="宋体"/>
          <w:color w:val="auto"/>
          <w:kern w:val="0"/>
          <w:sz w:val="21"/>
          <w:szCs w:val="21"/>
          <w:highlight w:val="none"/>
          <w:u w:val="single"/>
        </w:rPr>
      </w:pPr>
    </w:p>
    <w:p w14:paraId="4789DF38">
      <w:pPr>
        <w:spacing w:line="360" w:lineRule="auto"/>
        <w:ind w:firstLine="629"/>
        <w:rPr>
          <w:rFonts w:hint="eastAsia" w:ascii="宋体" w:hAnsi="宋体"/>
          <w:color w:val="auto"/>
          <w:kern w:val="0"/>
          <w:sz w:val="21"/>
          <w:szCs w:val="21"/>
          <w:highlight w:val="none"/>
        </w:rPr>
      </w:pPr>
      <w:r>
        <w:rPr>
          <w:rFonts w:hint="eastAsia" w:ascii="宋体" w:hAnsi="宋体"/>
          <w:color w:val="auto"/>
          <w:kern w:val="0"/>
          <w:sz w:val="21"/>
          <w:szCs w:val="21"/>
          <w:highlight w:val="none"/>
        </w:rPr>
        <w:t>出具授权书的联合体各成员名称（盖公章）：</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rPr>
        <w:t xml:space="preserve">    </w:t>
      </w:r>
    </w:p>
    <w:p w14:paraId="4AD10F3A">
      <w:pPr>
        <w:spacing w:line="360" w:lineRule="auto"/>
        <w:ind w:firstLine="629"/>
        <w:rPr>
          <w:rFonts w:hint="eastAsia" w:ascii="宋体" w:hAnsi="宋体"/>
          <w:color w:val="auto"/>
          <w:kern w:val="0"/>
          <w:sz w:val="21"/>
          <w:szCs w:val="21"/>
          <w:highlight w:val="none"/>
          <w:u w:val="single"/>
        </w:rPr>
      </w:pPr>
      <w:r>
        <w:rPr>
          <w:rFonts w:hint="eastAsia" w:ascii="宋体" w:hAnsi="宋体"/>
          <w:color w:val="auto"/>
          <w:kern w:val="0"/>
          <w:sz w:val="21"/>
          <w:szCs w:val="21"/>
          <w:highlight w:val="none"/>
        </w:rPr>
        <w:t>各成员正式授权签字的代表姓名（印刷体及签字）</w:t>
      </w:r>
      <w:r>
        <w:rPr>
          <w:rFonts w:hint="eastAsia" w:ascii="宋体" w:hAnsi="宋体"/>
          <w:color w:val="auto"/>
          <w:kern w:val="0"/>
          <w:sz w:val="21"/>
          <w:szCs w:val="21"/>
          <w:highlight w:val="none"/>
          <w:u w:val="single"/>
        </w:rPr>
        <w:t xml:space="preserve">                         </w:t>
      </w:r>
    </w:p>
    <w:p w14:paraId="79E13AB2">
      <w:pPr>
        <w:spacing w:line="360" w:lineRule="auto"/>
        <w:ind w:firstLine="629"/>
        <w:rPr>
          <w:rFonts w:hint="eastAsia" w:ascii="宋体" w:hAnsi="宋体"/>
          <w:color w:val="auto"/>
          <w:kern w:val="0"/>
          <w:sz w:val="21"/>
          <w:szCs w:val="21"/>
          <w:highlight w:val="none"/>
          <w:u w:val="single"/>
        </w:rPr>
      </w:pPr>
      <w:r>
        <w:rPr>
          <w:rFonts w:hint="eastAsia" w:ascii="宋体" w:hAnsi="宋体"/>
          <w:color w:val="auto"/>
          <w:kern w:val="0"/>
          <w:sz w:val="21"/>
          <w:szCs w:val="21"/>
          <w:highlight w:val="none"/>
        </w:rPr>
        <w:t xml:space="preserve">职务和部门 </w:t>
      </w:r>
      <w:r>
        <w:rPr>
          <w:rFonts w:hint="eastAsia" w:ascii="宋体" w:hAnsi="宋体"/>
          <w:color w:val="auto"/>
          <w:kern w:val="0"/>
          <w:sz w:val="21"/>
          <w:szCs w:val="21"/>
          <w:highlight w:val="none"/>
          <w:u w:val="single"/>
        </w:rPr>
        <w:t xml:space="preserve">                            </w:t>
      </w:r>
    </w:p>
    <w:p w14:paraId="0DF89DB1">
      <w:pPr>
        <w:spacing w:line="360" w:lineRule="auto"/>
        <w:ind w:left="0" w:firstLine="624" w:firstLineChars="0"/>
        <w:rPr>
          <w:rFonts w:hint="eastAsia" w:ascii="宋体" w:hAnsi="宋体"/>
          <w:color w:val="auto"/>
          <w:szCs w:val="21"/>
          <w:highlight w:val="none"/>
        </w:rPr>
      </w:pPr>
      <w:r>
        <w:rPr>
          <w:rFonts w:hint="eastAsia" w:ascii="宋体" w:hAnsi="宋体"/>
          <w:color w:val="auto"/>
          <w:kern w:val="0"/>
          <w:sz w:val="21"/>
          <w:szCs w:val="21"/>
          <w:highlight w:val="none"/>
        </w:rPr>
        <w:t xml:space="preserve">日期 </w:t>
      </w:r>
      <w:r>
        <w:rPr>
          <w:rFonts w:hint="eastAsia" w:ascii="宋体" w:hAnsi="宋体"/>
          <w:color w:val="auto"/>
          <w:kern w:val="0"/>
          <w:sz w:val="21"/>
          <w:szCs w:val="21"/>
          <w:highlight w:val="none"/>
          <w:u w:val="single"/>
        </w:rPr>
        <w:t xml:space="preserve">                            </w:t>
      </w:r>
    </w:p>
    <w:p w14:paraId="1655B19D">
      <w:pPr>
        <w:ind w:right="-57" w:rightChars="-27"/>
        <w:jc w:val="left"/>
        <w:rPr>
          <w:rFonts w:hint="eastAsia" w:ascii="宋体" w:hAnsi="宋体"/>
          <w:color w:val="auto"/>
          <w:highlight w:val="none"/>
        </w:rPr>
      </w:pPr>
    </w:p>
    <w:p w14:paraId="142D5CE6">
      <w:pPr>
        <w:ind w:right="-57" w:rightChars="-27"/>
        <w:jc w:val="left"/>
        <w:rPr>
          <w:rFonts w:hint="eastAsia" w:ascii="宋体" w:hAnsi="宋体"/>
          <w:color w:val="auto"/>
          <w:highlight w:val="none"/>
        </w:rPr>
      </w:pPr>
    </w:p>
    <w:p w14:paraId="707F0E5F">
      <w:pPr>
        <w:ind w:right="-57" w:rightChars="-27"/>
        <w:jc w:val="left"/>
        <w:rPr>
          <w:rFonts w:hint="eastAsia" w:ascii="宋体" w:hAnsi="宋体"/>
          <w:color w:val="auto"/>
          <w:highlight w:val="none"/>
        </w:rPr>
      </w:pPr>
    </w:p>
    <w:p w14:paraId="34932956">
      <w:pPr>
        <w:ind w:right="-57" w:rightChars="-27"/>
        <w:jc w:val="left"/>
        <w:rPr>
          <w:rFonts w:hint="eastAsia" w:ascii="宋体" w:hAnsi="宋体"/>
          <w:color w:val="auto"/>
          <w:highlight w:val="none"/>
        </w:rPr>
      </w:pPr>
    </w:p>
    <w:p w14:paraId="1AD3CC54">
      <w:pPr>
        <w:ind w:right="-57" w:rightChars="-27"/>
        <w:jc w:val="left"/>
        <w:rPr>
          <w:rFonts w:hint="eastAsia" w:ascii="宋体" w:hAnsi="宋体"/>
          <w:color w:val="auto"/>
          <w:highlight w:val="none"/>
        </w:rPr>
      </w:pPr>
    </w:p>
    <w:p w14:paraId="397E02DB">
      <w:pPr>
        <w:ind w:right="-57" w:rightChars="-27"/>
        <w:jc w:val="left"/>
        <w:rPr>
          <w:rFonts w:hint="eastAsia" w:ascii="宋体" w:hAnsi="宋体"/>
          <w:color w:val="auto"/>
          <w:highlight w:val="none"/>
        </w:rPr>
      </w:pPr>
    </w:p>
    <w:p w14:paraId="6C707485">
      <w:pPr>
        <w:ind w:right="-57" w:rightChars="-27"/>
        <w:jc w:val="left"/>
        <w:rPr>
          <w:rFonts w:hint="eastAsia" w:ascii="宋体" w:hAnsi="宋体"/>
          <w:color w:val="auto"/>
          <w:highlight w:val="none"/>
        </w:rPr>
      </w:pPr>
    </w:p>
    <w:p w14:paraId="311208B1">
      <w:pPr>
        <w:ind w:right="-57" w:rightChars="-27"/>
        <w:rPr>
          <w:rFonts w:hint="eastAsia" w:ascii="宋体" w:hAnsi="宋体"/>
          <w:b/>
          <w:color w:val="auto"/>
          <w:sz w:val="24"/>
          <w:highlight w:val="none"/>
        </w:rPr>
      </w:pPr>
      <w:r>
        <w:rPr>
          <w:rFonts w:hint="eastAsia" w:ascii="宋体" w:hAnsi="宋体"/>
          <w:b/>
          <w:color w:val="auto"/>
          <w:sz w:val="24"/>
          <w:highlight w:val="none"/>
          <w:lang w:val="en-US" w:eastAsia="zh-CN"/>
        </w:rPr>
        <w:t>附件四：</w:t>
      </w:r>
      <w:r>
        <w:rPr>
          <w:rFonts w:hint="eastAsia" w:ascii="宋体" w:hAnsi="宋体"/>
          <w:b/>
          <w:color w:val="auto"/>
          <w:sz w:val="24"/>
          <w:highlight w:val="none"/>
        </w:rPr>
        <w:t>投标保函格式</w:t>
      </w:r>
    </w:p>
    <w:p w14:paraId="3E6EB2EA">
      <w:pPr>
        <w:spacing w:before="312" w:beforeLines="100" w:after="312" w:afterLines="100" w:line="360" w:lineRule="auto"/>
        <w:jc w:val="both"/>
        <w:rPr>
          <w:rFonts w:ascii="宋体" w:hAnsi="宋体"/>
          <w:b/>
          <w:color w:val="auto"/>
          <w:spacing w:val="20"/>
          <w:sz w:val="22"/>
          <w:szCs w:val="22"/>
          <w:highlight w:val="none"/>
        </w:rPr>
      </w:pP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ascii="宋体" w:hAnsi="宋体"/>
          <w:b/>
          <w:color w:val="auto"/>
          <w:spacing w:val="20"/>
          <w:sz w:val="22"/>
          <w:szCs w:val="22"/>
          <w:highlight w:val="none"/>
        </w:rPr>
        <w:t>投标担保函</w:t>
      </w:r>
    </w:p>
    <w:p w14:paraId="18C2A126">
      <w:pPr>
        <w:spacing w:line="360" w:lineRule="auto"/>
        <w:ind w:firstLine="6560" w:firstLineChars="2970"/>
        <w:rPr>
          <w:rFonts w:ascii="宋体" w:hAnsi="宋体"/>
          <w:b/>
          <w:color w:val="auto"/>
          <w:sz w:val="22"/>
          <w:szCs w:val="22"/>
          <w:highlight w:val="none"/>
        </w:rPr>
      </w:pPr>
      <w:r>
        <w:rPr>
          <w:rFonts w:hint="eastAsia" w:ascii="宋体" w:hAnsi="宋体"/>
          <w:b/>
          <w:color w:val="auto"/>
          <w:sz w:val="22"/>
          <w:szCs w:val="22"/>
          <w:highlight w:val="none"/>
        </w:rPr>
        <w:t>编号：</w:t>
      </w:r>
    </w:p>
    <w:p w14:paraId="07CABE2A">
      <w:pPr>
        <w:spacing w:line="360" w:lineRule="auto"/>
        <w:rPr>
          <w:rFonts w:ascii="宋体" w:hAnsi="宋体"/>
          <w:color w:val="auto"/>
          <w:sz w:val="22"/>
          <w:szCs w:val="22"/>
          <w:highlight w:val="none"/>
          <w:u w:val="single"/>
        </w:rPr>
      </w:pP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(招标人或招标代理机构)：</w:t>
      </w:r>
    </w:p>
    <w:p w14:paraId="59360B9D">
      <w:pPr>
        <w:spacing w:line="360" w:lineRule="auto"/>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鉴于</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(以下筒称“投标人”)拟参加编号为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的</w:t>
      </w:r>
      <w:r>
        <w:rPr>
          <w:rFonts w:hint="eastAsia" w:ascii="宋体" w:hAnsi="宋体"/>
          <w:color w:val="auto"/>
          <w:sz w:val="22"/>
          <w:szCs w:val="22"/>
          <w:highlight w:val="none"/>
          <w:u w:val="single"/>
        </w:rPr>
        <w:t xml:space="preserve">      </w:t>
      </w:r>
    </w:p>
    <w:p w14:paraId="1182FD37">
      <w:pPr>
        <w:spacing w:line="360" w:lineRule="auto"/>
        <w:rPr>
          <w:rFonts w:ascii="宋体" w:hAnsi="宋体"/>
          <w:color w:val="auto"/>
          <w:sz w:val="22"/>
          <w:szCs w:val="22"/>
          <w:highlight w:val="none"/>
          <w:u w:val="single"/>
        </w:rPr>
      </w:pP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项目(以下简称“本项目”)投标，根据本项目招标文件，供应商参加投标时应向你方交纳投标保证金,且可以投标担保函的形式交纳投标保证金。应供应商的申请，我方以保证的方式向你方提供如下投标保证金担保：</w:t>
      </w:r>
    </w:p>
    <w:p w14:paraId="6AB6B5F2">
      <w:pPr>
        <w:spacing w:line="360" w:lineRule="auto"/>
        <w:rPr>
          <w:rFonts w:ascii="宋体" w:hAnsi="宋体"/>
          <w:color w:val="auto"/>
          <w:sz w:val="22"/>
          <w:szCs w:val="22"/>
          <w:highlight w:val="none"/>
        </w:rPr>
      </w:pPr>
      <w:r>
        <w:rPr>
          <w:rFonts w:hint="eastAsia" w:ascii="宋体" w:hAnsi="宋体"/>
          <w:color w:val="auto"/>
          <w:sz w:val="22"/>
          <w:szCs w:val="22"/>
          <w:highlight w:val="none"/>
        </w:rPr>
        <w:t>一、保证责任的情形及保证金额</w:t>
      </w:r>
    </w:p>
    <w:p w14:paraId="748FCC1B">
      <w:pPr>
        <w:tabs>
          <w:tab w:val="left" w:pos="284"/>
        </w:tabs>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(一)在投标人出现下列情形之一时,，我方承担保证责任：</w:t>
      </w:r>
    </w:p>
    <w:p w14:paraId="55ADCA8F">
      <w:pPr>
        <w:tabs>
          <w:tab w:val="left" w:pos="284"/>
        </w:tabs>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1.中标后投标人无正当理由不与招标人或者招标代理机构签订《合同》；</w:t>
      </w:r>
    </w:p>
    <w:p w14:paraId="740716FD">
      <w:pPr>
        <w:tabs>
          <w:tab w:val="left" w:pos="284"/>
        </w:tabs>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2.招标文件规定的投标人应当缴纳保证金的其他情形。</w:t>
      </w:r>
    </w:p>
    <w:p w14:paraId="2FB2A251">
      <w:pPr>
        <w:tabs>
          <w:tab w:val="left" w:pos="284"/>
        </w:tabs>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(二)我方承担保证责任的最高金额为人民币</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元(大写：</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)；即本项目的投标保证金金额。</w:t>
      </w:r>
    </w:p>
    <w:p w14:paraId="69A650E6">
      <w:pPr>
        <w:spacing w:line="360" w:lineRule="auto"/>
        <w:rPr>
          <w:rFonts w:ascii="宋体" w:hAnsi="宋体"/>
          <w:color w:val="auto"/>
          <w:sz w:val="22"/>
          <w:szCs w:val="22"/>
          <w:highlight w:val="none"/>
        </w:rPr>
      </w:pPr>
      <w:r>
        <w:rPr>
          <w:rFonts w:hint="eastAsia" w:ascii="宋体" w:hAnsi="宋体"/>
          <w:color w:val="auto"/>
          <w:sz w:val="22"/>
          <w:szCs w:val="22"/>
          <w:highlight w:val="none"/>
        </w:rPr>
        <w:t>二、保证的方式及保证期间</w:t>
      </w:r>
    </w:p>
    <w:p w14:paraId="1C6AFDB7">
      <w:pPr>
        <w:tabs>
          <w:tab w:val="left" w:pos="142"/>
          <w:tab w:val="left" w:pos="284"/>
        </w:tabs>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我方保证的方式为：连带责任保证。</w:t>
      </w:r>
    </w:p>
    <w:p w14:paraId="1EB25630">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我方的保证期间为：自本保函生效之日起</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个月止。</w:t>
      </w:r>
    </w:p>
    <w:p w14:paraId="0ED04557">
      <w:pPr>
        <w:spacing w:line="360" w:lineRule="auto"/>
        <w:rPr>
          <w:rFonts w:ascii="宋体" w:hAnsi="宋体"/>
          <w:color w:val="auto"/>
          <w:sz w:val="22"/>
          <w:szCs w:val="22"/>
          <w:highlight w:val="none"/>
        </w:rPr>
      </w:pPr>
      <w:r>
        <w:rPr>
          <w:rFonts w:hint="eastAsia" w:ascii="宋体" w:hAnsi="宋体"/>
          <w:color w:val="auto"/>
          <w:sz w:val="22"/>
          <w:szCs w:val="22"/>
          <w:highlight w:val="none"/>
        </w:rPr>
        <w:t>三、承担保证责任的程序</w:t>
      </w:r>
    </w:p>
    <w:p w14:paraId="57674EF5">
      <w:pPr>
        <w:spacing w:line="360" w:lineRule="auto"/>
        <w:ind w:left="281" w:leftChars="134"/>
        <w:rPr>
          <w:rFonts w:ascii="宋体" w:hAnsi="宋体"/>
          <w:color w:val="auto"/>
          <w:sz w:val="22"/>
          <w:szCs w:val="22"/>
          <w:highlight w:val="none"/>
        </w:rPr>
      </w:pPr>
      <w:r>
        <w:rPr>
          <w:rFonts w:hint="eastAsia" w:ascii="宋体" w:hAnsi="宋体"/>
          <w:color w:val="auto"/>
          <w:sz w:val="22"/>
          <w:szCs w:val="22"/>
          <w:highlight w:val="none"/>
        </w:rPr>
        <w:t>1.你方要求我方承担保证责任的，应在本保函保证期间内向我方发出书面索赔通知,索赔通知应写明要求索赔的金额，支付款项应到达的账号，无需受益人提供任何证明。</w:t>
      </w:r>
    </w:p>
    <w:p w14:paraId="0FA905EB">
      <w:pPr>
        <w:spacing w:line="360" w:lineRule="auto"/>
        <w:ind w:left="281" w:leftChars="134"/>
        <w:rPr>
          <w:rFonts w:ascii="宋体" w:hAnsi="宋体"/>
          <w:color w:val="auto"/>
          <w:sz w:val="22"/>
          <w:szCs w:val="22"/>
          <w:highlight w:val="none"/>
        </w:rPr>
      </w:pPr>
      <w:r>
        <w:rPr>
          <w:rFonts w:hint="eastAsia" w:ascii="宋体" w:hAnsi="宋体"/>
          <w:color w:val="auto"/>
          <w:sz w:val="22"/>
          <w:szCs w:val="22"/>
          <w:highlight w:val="none"/>
        </w:rPr>
        <w:t>2.我方在收到索赔通知及相关证明材料后，在</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个工作日内进行审查，我方应按照你方的要求代投标人向你方支付投标保证金。</w:t>
      </w:r>
    </w:p>
    <w:p w14:paraId="686FB17D">
      <w:pPr>
        <w:spacing w:line="360" w:lineRule="auto"/>
        <w:rPr>
          <w:rFonts w:ascii="宋体" w:hAnsi="宋体"/>
          <w:color w:val="auto"/>
          <w:sz w:val="22"/>
          <w:szCs w:val="22"/>
          <w:highlight w:val="none"/>
        </w:rPr>
      </w:pPr>
      <w:r>
        <w:rPr>
          <w:rFonts w:hint="eastAsia" w:ascii="宋体" w:hAnsi="宋体"/>
          <w:color w:val="auto"/>
          <w:sz w:val="22"/>
          <w:szCs w:val="22"/>
          <w:highlight w:val="none"/>
        </w:rPr>
        <w:t>四、保证责任的终止</w:t>
      </w:r>
    </w:p>
    <w:p w14:paraId="613F9549">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1.保证期间届满你方未向我方书面主张保证责任的，自保证期间届满次日起，我方保证责任自动终止。</w:t>
      </w:r>
    </w:p>
    <w:p w14:paraId="62F61798">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2.我方按照本保函向你贵方履行了保证责任后，自我方向你贵方支付款项(支付款项从我方账户划出)之日起,保证责任终止。</w:t>
      </w:r>
    </w:p>
    <w:p w14:paraId="21388F76">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3.按照法律法规的规定或出现我方保证责任终止的其它情形的，我方在本保函项下的保证责任亦终止。</w:t>
      </w:r>
    </w:p>
    <w:p w14:paraId="37EF67BE">
      <w:pPr>
        <w:spacing w:line="360" w:lineRule="auto"/>
        <w:rPr>
          <w:rFonts w:ascii="宋体" w:hAnsi="宋体"/>
          <w:color w:val="auto"/>
          <w:sz w:val="22"/>
          <w:szCs w:val="22"/>
          <w:highlight w:val="none"/>
        </w:rPr>
      </w:pPr>
      <w:r>
        <w:rPr>
          <w:rFonts w:hint="eastAsia" w:ascii="宋体" w:hAnsi="宋体"/>
          <w:color w:val="auto"/>
          <w:sz w:val="22"/>
          <w:szCs w:val="22"/>
          <w:highlight w:val="none"/>
        </w:rPr>
        <w:t>五、免责条款</w:t>
      </w:r>
    </w:p>
    <w:p w14:paraId="28859A4D">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1.依照法律规定或你方与投标人的另行约定，全部或者部分免除投标人投标保证金义务时，我方亦免除相应的保证责任。</w:t>
      </w:r>
    </w:p>
    <w:p w14:paraId="483B5551">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2.因你方原因致使投标入发生本保函第一条第（一）款约定情形的，我方不承担保证责任。</w:t>
      </w:r>
    </w:p>
    <w:p w14:paraId="232455A9">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3.因不可抗力造成投断人发生本保函第一条约定情形的，我方不承担保证责任。</w:t>
      </w:r>
    </w:p>
    <w:p w14:paraId="39C95067">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4.你方或其他有权机关对招标文件进行任何澄清或修改，加重我方保证责任的，我方对加重部分不承担保证责任，但该澄清或修改经我方事先书面同意的除外。</w:t>
      </w:r>
    </w:p>
    <w:p w14:paraId="136307E1">
      <w:pPr>
        <w:spacing w:line="360" w:lineRule="auto"/>
        <w:rPr>
          <w:rFonts w:ascii="宋体" w:hAnsi="宋体"/>
          <w:color w:val="auto"/>
          <w:sz w:val="22"/>
          <w:szCs w:val="22"/>
          <w:highlight w:val="none"/>
        </w:rPr>
      </w:pPr>
      <w:r>
        <w:rPr>
          <w:rFonts w:hint="eastAsia" w:ascii="宋体" w:hAnsi="宋体"/>
          <w:color w:val="auto"/>
          <w:sz w:val="22"/>
          <w:szCs w:val="22"/>
          <w:highlight w:val="none"/>
        </w:rPr>
        <w:t>六、争议的解决</w:t>
      </w:r>
    </w:p>
    <w:p w14:paraId="1A8F246D">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因本保函发生的纠纷，由你我双方协商解决，协商不成的，通过诉讼程序解决,诉讼管辖地法院为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法院。</w:t>
      </w:r>
    </w:p>
    <w:p w14:paraId="450E2797">
      <w:pPr>
        <w:spacing w:line="360" w:lineRule="auto"/>
        <w:rPr>
          <w:rFonts w:ascii="宋体" w:hAnsi="宋体"/>
          <w:color w:val="auto"/>
          <w:sz w:val="22"/>
          <w:szCs w:val="22"/>
          <w:highlight w:val="none"/>
        </w:rPr>
      </w:pPr>
      <w:r>
        <w:rPr>
          <w:rFonts w:hint="eastAsia" w:ascii="宋体" w:hAnsi="宋体"/>
          <w:color w:val="auto"/>
          <w:sz w:val="22"/>
          <w:szCs w:val="22"/>
          <w:highlight w:val="none"/>
        </w:rPr>
        <w:t>七、保函的生效</w:t>
      </w:r>
    </w:p>
    <w:p w14:paraId="009EBD8D">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本保函自我方加盖公章之日起生效。</w:t>
      </w:r>
    </w:p>
    <w:p w14:paraId="5D0BE894">
      <w:pPr>
        <w:spacing w:line="360" w:lineRule="auto"/>
        <w:ind w:firstLine="440" w:firstLineChars="200"/>
        <w:rPr>
          <w:rFonts w:ascii="宋体" w:hAnsi="宋体"/>
          <w:color w:val="auto"/>
          <w:sz w:val="22"/>
          <w:szCs w:val="22"/>
          <w:highlight w:val="none"/>
        </w:rPr>
      </w:pPr>
    </w:p>
    <w:p w14:paraId="4A7EEFB5">
      <w:pPr>
        <w:spacing w:line="360" w:lineRule="auto"/>
        <w:ind w:firstLine="440" w:firstLineChars="200"/>
        <w:rPr>
          <w:rFonts w:hint="eastAsia" w:ascii="宋体" w:hAnsi="宋体"/>
          <w:color w:val="auto"/>
          <w:sz w:val="22"/>
          <w:szCs w:val="22"/>
          <w:highlight w:val="none"/>
        </w:rPr>
      </w:pPr>
    </w:p>
    <w:p w14:paraId="5742E9F1">
      <w:pPr>
        <w:spacing w:line="360" w:lineRule="auto"/>
        <w:ind w:firstLine="5080" w:firstLineChars="2117"/>
        <w:rPr>
          <w:rFonts w:ascii="宋体" w:hAnsi="宋体" w:cs="宋体"/>
          <w:color w:val="auto"/>
          <w:sz w:val="24"/>
          <w:szCs w:val="22"/>
          <w:highlight w:val="none"/>
        </w:rPr>
      </w:pPr>
      <w:r>
        <w:rPr>
          <w:rFonts w:hint="eastAsia" w:ascii="宋体" w:hAnsi="宋体" w:cs="宋体"/>
          <w:color w:val="auto"/>
          <w:sz w:val="24"/>
          <w:szCs w:val="22"/>
          <w:highlight w:val="none"/>
        </w:rPr>
        <w:t>担 保 银行：</w:t>
      </w:r>
      <w:r>
        <w:rPr>
          <w:rFonts w:hint="eastAsia" w:ascii="宋体" w:hAnsi="宋体" w:cs="宋体"/>
          <w:color w:val="auto"/>
          <w:sz w:val="24"/>
          <w:szCs w:val="22"/>
          <w:highlight w:val="none"/>
          <w:u w:val="single"/>
        </w:rPr>
        <w:t>（全称）</w:t>
      </w:r>
      <w:r>
        <w:rPr>
          <w:rFonts w:hint="eastAsia" w:ascii="宋体" w:hAnsi="宋体" w:cs="宋体"/>
          <w:color w:val="auto"/>
          <w:sz w:val="24"/>
          <w:szCs w:val="22"/>
          <w:highlight w:val="none"/>
        </w:rPr>
        <w:t>（盖章）</w:t>
      </w:r>
    </w:p>
    <w:p w14:paraId="067D81E5">
      <w:pPr>
        <w:spacing w:line="360" w:lineRule="auto"/>
        <w:ind w:right="660"/>
        <w:jc w:val="right"/>
        <w:rPr>
          <w:rFonts w:ascii="宋体" w:hAnsi="宋体"/>
          <w:color w:val="auto"/>
          <w:sz w:val="22"/>
          <w:szCs w:val="22"/>
          <w:highlight w:val="none"/>
        </w:rPr>
      </w:pPr>
      <w:r>
        <w:rPr>
          <w:rFonts w:hint="eastAsia" w:ascii="宋体" w:hAnsi="宋体"/>
          <w:color w:val="auto"/>
          <w:sz w:val="22"/>
          <w:szCs w:val="22"/>
          <w:highlight w:val="none"/>
        </w:rPr>
        <w:t>年   月   日</w:t>
      </w:r>
    </w:p>
    <w:p w14:paraId="24D16354">
      <w:pPr>
        <w:rPr>
          <w:rFonts w:hint="eastAsia" w:ascii="宋体" w:hAnsi="宋体" w:cs="宋体"/>
          <w:color w:val="auto"/>
          <w:sz w:val="24"/>
          <w:szCs w:val="22"/>
          <w:highlight w:val="none"/>
        </w:rPr>
      </w:pPr>
    </w:p>
    <w:p w14:paraId="0ED17A4D">
      <w:pPr>
        <w:rPr>
          <w:color w:val="auto"/>
          <w:highlight w:val="none"/>
        </w:rPr>
      </w:pPr>
      <w:r>
        <w:rPr>
          <w:rFonts w:hint="eastAsia" w:ascii="宋体" w:hAnsi="宋体" w:cs="宋体"/>
          <w:color w:val="auto"/>
          <w:sz w:val="24"/>
          <w:szCs w:val="22"/>
          <w:highlight w:val="none"/>
        </w:rPr>
        <w:t>备注：保函应由</w:t>
      </w:r>
      <w:r>
        <w:rPr>
          <w:rFonts w:ascii="宋体" w:hAnsi="宋体" w:cs="宋体"/>
          <w:color w:val="auto"/>
          <w:sz w:val="24"/>
          <w:szCs w:val="22"/>
          <w:highlight w:val="none"/>
        </w:rPr>
        <w:t>国有商业银行或股份制商业</w:t>
      </w:r>
      <w:r>
        <w:rPr>
          <w:rFonts w:hint="eastAsia" w:ascii="宋体" w:hAnsi="宋体" w:cs="宋体"/>
          <w:color w:val="auto"/>
          <w:sz w:val="24"/>
          <w:szCs w:val="22"/>
          <w:highlight w:val="none"/>
        </w:rPr>
        <w:t>银行支行一级以上机构出具。</w:t>
      </w:r>
    </w:p>
    <w:p w14:paraId="3A742ECF">
      <w:pPr>
        <w:ind w:right="-57" w:rightChars="-27"/>
        <w:jc w:val="left"/>
        <w:rPr>
          <w:rFonts w:hint="eastAsia" w:ascii="宋体" w:hAnsi="宋体"/>
          <w:color w:val="auto"/>
          <w:highlight w:val="none"/>
        </w:rPr>
      </w:pPr>
    </w:p>
    <w:p w14:paraId="41FEA03F">
      <w:pPr>
        <w:ind w:right="-57" w:rightChars="-27"/>
        <w:jc w:val="left"/>
        <w:rPr>
          <w:rFonts w:hint="eastAsia" w:ascii="宋体" w:hAnsi="宋体"/>
          <w:color w:val="auto"/>
          <w:highlight w:val="none"/>
        </w:rPr>
      </w:pPr>
    </w:p>
    <w:p w14:paraId="65924A74">
      <w:pPr>
        <w:pStyle w:val="8"/>
        <w:rPr>
          <w:rFonts w:hint="eastAsia" w:ascii="宋体" w:hAnsi="宋体"/>
          <w:color w:val="auto"/>
          <w:highlight w:val="none"/>
        </w:rPr>
      </w:pPr>
    </w:p>
    <w:p w14:paraId="61774469">
      <w:pPr>
        <w:rPr>
          <w:rFonts w:hint="eastAsia" w:ascii="宋体" w:hAnsi="宋体"/>
          <w:color w:val="auto"/>
          <w:highlight w:val="none"/>
        </w:rPr>
      </w:pPr>
    </w:p>
    <w:p w14:paraId="00D84C52">
      <w:pPr>
        <w:pStyle w:val="8"/>
        <w:rPr>
          <w:rFonts w:hint="eastAsia" w:ascii="宋体" w:hAnsi="宋体"/>
          <w:color w:val="auto"/>
          <w:highlight w:val="none"/>
        </w:rPr>
      </w:pPr>
    </w:p>
    <w:p w14:paraId="41BAA726">
      <w:pPr>
        <w:rPr>
          <w:rFonts w:hint="eastAsia" w:ascii="宋体" w:hAnsi="宋体"/>
          <w:color w:val="auto"/>
          <w:highlight w:val="none"/>
        </w:rPr>
      </w:pPr>
    </w:p>
    <w:p w14:paraId="41471D5A">
      <w:pPr>
        <w:pStyle w:val="8"/>
        <w:rPr>
          <w:rFonts w:hint="eastAsia" w:ascii="宋体" w:hAnsi="宋体"/>
          <w:color w:val="auto"/>
          <w:highlight w:val="none"/>
        </w:rPr>
      </w:pPr>
    </w:p>
    <w:p w14:paraId="3B4EA2B1">
      <w:pPr>
        <w:rPr>
          <w:rFonts w:hint="eastAsia" w:ascii="宋体" w:hAnsi="宋体"/>
          <w:color w:val="auto"/>
          <w:highlight w:val="none"/>
        </w:rPr>
      </w:pPr>
    </w:p>
    <w:p w14:paraId="0E76EBAC">
      <w:pPr>
        <w:pStyle w:val="8"/>
        <w:rPr>
          <w:rFonts w:hint="eastAsia" w:ascii="宋体" w:hAnsi="宋体"/>
          <w:color w:val="auto"/>
          <w:highlight w:val="none"/>
        </w:rPr>
      </w:pPr>
    </w:p>
    <w:p w14:paraId="21614C7E">
      <w:pPr>
        <w:rPr>
          <w:rFonts w:hint="eastAsia" w:ascii="宋体" w:hAnsi="宋体"/>
          <w:color w:val="auto"/>
          <w:highlight w:val="none"/>
        </w:rPr>
      </w:pPr>
    </w:p>
    <w:p w14:paraId="7BB95F2C">
      <w:pPr>
        <w:pStyle w:val="8"/>
        <w:rPr>
          <w:rFonts w:hint="eastAsia" w:ascii="宋体" w:hAnsi="宋体"/>
          <w:color w:val="auto"/>
          <w:highlight w:val="none"/>
        </w:rPr>
      </w:pPr>
    </w:p>
    <w:p w14:paraId="0360919D">
      <w:pPr>
        <w:rPr>
          <w:rFonts w:hint="eastAsia" w:ascii="宋体" w:hAnsi="宋体"/>
          <w:color w:val="auto"/>
          <w:highlight w:val="none"/>
        </w:rPr>
      </w:pPr>
    </w:p>
    <w:p w14:paraId="2675248C">
      <w:pPr>
        <w:pStyle w:val="8"/>
        <w:rPr>
          <w:rFonts w:hint="eastAsia"/>
          <w:color w:val="auto"/>
          <w:highlight w:val="none"/>
        </w:rPr>
      </w:pPr>
    </w:p>
    <w:p w14:paraId="6B3B26B8">
      <w:pPr>
        <w:ind w:right="-57" w:rightChars="-27"/>
        <w:jc w:val="left"/>
        <w:rPr>
          <w:rFonts w:hint="eastAsia" w:ascii="宋体" w:hAnsi="宋体"/>
          <w:color w:val="auto"/>
          <w:highlight w:val="none"/>
        </w:rPr>
      </w:pPr>
    </w:p>
    <w:p w14:paraId="78BC3D63">
      <w:pPr>
        <w:ind w:right="-57" w:rightChars="-27"/>
        <w:jc w:val="left"/>
        <w:rPr>
          <w:rFonts w:hint="eastAsia" w:ascii="宋体" w:hAnsi="宋体"/>
          <w:color w:val="auto"/>
          <w:highlight w:val="none"/>
        </w:rPr>
      </w:pPr>
    </w:p>
    <w:p w14:paraId="4920B058">
      <w:pPr>
        <w:ind w:right="-57" w:rightChars="-27"/>
        <w:jc w:val="left"/>
        <w:rPr>
          <w:rFonts w:hint="eastAsia" w:ascii="宋体" w:hAnsi="宋体"/>
          <w:color w:val="auto"/>
          <w:highlight w:val="none"/>
        </w:rPr>
      </w:pPr>
    </w:p>
    <w:p w14:paraId="65857EBA">
      <w:pPr>
        <w:ind w:right="-57" w:rightChars="-27"/>
        <w:jc w:val="left"/>
        <w:rPr>
          <w:rFonts w:hint="eastAsia" w:ascii="宋体" w:hAnsi="宋体"/>
          <w:color w:val="auto"/>
          <w:highlight w:val="none"/>
        </w:rPr>
      </w:pPr>
    </w:p>
    <w:p w14:paraId="3EBC1B8C">
      <w:pPr>
        <w:pStyle w:val="3"/>
        <w:spacing w:before="120" w:after="120"/>
        <w:jc w:val="center"/>
        <w:rPr>
          <w:rFonts w:hint="eastAsia" w:ascii="宋体" w:hAnsi="宋体" w:eastAsia="宋体"/>
          <w:color w:val="auto"/>
          <w:highlight w:val="none"/>
        </w:rPr>
      </w:pPr>
      <w:bookmarkStart w:id="26" w:name="_Toc2745"/>
      <w:bookmarkStart w:id="27" w:name="_Toc13072"/>
      <w:bookmarkStart w:id="28" w:name="_Toc933"/>
      <w:bookmarkStart w:id="29" w:name="_Toc2245"/>
      <w:bookmarkStart w:id="30" w:name="_Toc5115"/>
      <w:bookmarkStart w:id="31" w:name="_Toc13152"/>
      <w:bookmarkStart w:id="32" w:name="_Toc527"/>
      <w:bookmarkStart w:id="33" w:name="_Toc9590356"/>
      <w:bookmarkStart w:id="34" w:name="_Toc29939"/>
      <w:r>
        <w:rPr>
          <w:rFonts w:hint="eastAsia" w:ascii="宋体" w:hAnsi="宋体" w:eastAsia="宋体"/>
          <w:color w:val="auto"/>
          <w:highlight w:val="none"/>
        </w:rPr>
        <w:t xml:space="preserve">第二章 </w:t>
      </w:r>
      <w:r>
        <w:rPr>
          <w:rFonts w:ascii="宋体" w:hAnsi="宋体" w:eastAsia="宋体"/>
          <w:color w:val="auto"/>
          <w:highlight w:val="none"/>
        </w:rPr>
        <w:t xml:space="preserve"> </w:t>
      </w:r>
      <w:r>
        <w:rPr>
          <w:rFonts w:hint="eastAsia" w:ascii="宋体" w:hAnsi="宋体" w:eastAsia="宋体"/>
          <w:color w:val="auto"/>
          <w:highlight w:val="none"/>
        </w:rPr>
        <w:t>投标人须知</w:t>
      </w:r>
      <w:bookmarkEnd w:id="26"/>
      <w:bookmarkEnd w:id="27"/>
      <w:bookmarkEnd w:id="28"/>
      <w:bookmarkEnd w:id="29"/>
      <w:bookmarkEnd w:id="30"/>
      <w:bookmarkEnd w:id="31"/>
      <w:bookmarkEnd w:id="32"/>
      <w:bookmarkEnd w:id="33"/>
      <w:bookmarkEnd w:id="34"/>
    </w:p>
    <w:p w14:paraId="7436C04F">
      <w:pPr>
        <w:spacing w:line="360" w:lineRule="auto"/>
        <w:jc w:val="center"/>
        <w:rPr>
          <w:b/>
          <w:bCs/>
          <w:color w:val="auto"/>
          <w:sz w:val="24"/>
          <w:highlight w:val="none"/>
        </w:rPr>
      </w:pPr>
      <w:bookmarkStart w:id="35" w:name="_Toc9590357"/>
      <w:r>
        <w:rPr>
          <w:rFonts w:hint="eastAsia"/>
          <w:b/>
          <w:bCs/>
          <w:color w:val="auto"/>
          <w:sz w:val="24"/>
          <w:highlight w:val="none"/>
        </w:rPr>
        <w:t>投标人须知前附表</w:t>
      </w:r>
      <w:bookmarkEnd w:id="35"/>
    </w:p>
    <w:tbl>
      <w:tblPr>
        <w:tblStyle w:val="21"/>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566"/>
        <w:gridCol w:w="5938"/>
      </w:tblGrid>
      <w:tr w14:paraId="6B00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037" w:type="dxa"/>
            <w:tcBorders>
              <w:top w:val="single" w:color="auto" w:sz="4" w:space="0"/>
              <w:left w:val="single" w:color="auto" w:sz="4" w:space="0"/>
              <w:bottom w:val="single" w:color="auto" w:sz="4" w:space="0"/>
              <w:right w:val="single" w:color="auto" w:sz="4" w:space="0"/>
            </w:tcBorders>
            <w:vAlign w:val="center"/>
          </w:tcPr>
          <w:p w14:paraId="72495EF3">
            <w:pPr>
              <w:spacing w:line="360" w:lineRule="auto"/>
              <w:jc w:val="center"/>
              <w:rPr>
                <w:rFonts w:hint="eastAsia" w:ascii="宋体" w:hAnsi="宋体"/>
                <w:color w:val="auto"/>
                <w:szCs w:val="21"/>
                <w:highlight w:val="none"/>
              </w:rPr>
            </w:pPr>
            <w:r>
              <w:rPr>
                <w:rFonts w:hint="eastAsia" w:ascii="宋体" w:hAnsi="宋体"/>
                <w:color w:val="auto"/>
                <w:szCs w:val="21"/>
                <w:highlight w:val="none"/>
              </w:rPr>
              <w:t>条款号</w:t>
            </w:r>
          </w:p>
        </w:tc>
        <w:tc>
          <w:tcPr>
            <w:tcW w:w="2566" w:type="dxa"/>
            <w:tcBorders>
              <w:top w:val="single" w:color="auto" w:sz="4" w:space="0"/>
              <w:left w:val="single" w:color="auto" w:sz="4" w:space="0"/>
              <w:bottom w:val="single" w:color="auto" w:sz="4" w:space="0"/>
              <w:right w:val="single" w:color="auto" w:sz="4" w:space="0"/>
            </w:tcBorders>
            <w:vAlign w:val="center"/>
          </w:tcPr>
          <w:p w14:paraId="4D4C581D">
            <w:pPr>
              <w:spacing w:line="360" w:lineRule="auto"/>
              <w:jc w:val="center"/>
              <w:rPr>
                <w:rFonts w:hint="eastAsia" w:ascii="宋体" w:hAnsi="宋体"/>
                <w:color w:val="auto"/>
                <w:szCs w:val="21"/>
                <w:highlight w:val="none"/>
              </w:rPr>
            </w:pPr>
            <w:r>
              <w:rPr>
                <w:rFonts w:hint="eastAsia" w:ascii="宋体" w:hAnsi="宋体"/>
                <w:color w:val="auto"/>
                <w:szCs w:val="21"/>
                <w:highlight w:val="none"/>
              </w:rPr>
              <w:t>条款名称</w:t>
            </w:r>
          </w:p>
        </w:tc>
        <w:tc>
          <w:tcPr>
            <w:tcW w:w="5938" w:type="dxa"/>
            <w:tcBorders>
              <w:top w:val="single" w:color="auto" w:sz="4" w:space="0"/>
              <w:left w:val="single" w:color="auto" w:sz="4" w:space="0"/>
              <w:bottom w:val="single" w:color="auto" w:sz="4" w:space="0"/>
              <w:right w:val="single" w:color="auto" w:sz="4" w:space="0"/>
            </w:tcBorders>
            <w:vAlign w:val="center"/>
          </w:tcPr>
          <w:p w14:paraId="4A6EADE7">
            <w:pPr>
              <w:spacing w:line="360" w:lineRule="auto"/>
              <w:jc w:val="center"/>
              <w:rPr>
                <w:rFonts w:hint="eastAsia" w:ascii="宋体" w:hAnsi="宋体"/>
                <w:color w:val="auto"/>
                <w:szCs w:val="21"/>
                <w:highlight w:val="none"/>
              </w:rPr>
            </w:pPr>
            <w:r>
              <w:rPr>
                <w:rFonts w:hint="eastAsia" w:ascii="宋体" w:hAnsi="宋体"/>
                <w:color w:val="auto"/>
                <w:szCs w:val="21"/>
                <w:highlight w:val="none"/>
              </w:rPr>
              <w:t>编列内容</w:t>
            </w:r>
          </w:p>
        </w:tc>
      </w:tr>
      <w:tr w14:paraId="74EC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184D3007">
            <w:pPr>
              <w:spacing w:line="360" w:lineRule="auto"/>
              <w:jc w:val="center"/>
              <w:rPr>
                <w:rFonts w:hint="eastAsia" w:ascii="宋体" w:hAnsi="宋体"/>
                <w:color w:val="auto"/>
                <w:szCs w:val="21"/>
                <w:highlight w:val="none"/>
              </w:rPr>
            </w:pPr>
            <w:r>
              <w:rPr>
                <w:rFonts w:ascii="宋体" w:hAnsi="宋体"/>
                <w:color w:val="auto"/>
                <w:szCs w:val="21"/>
                <w:highlight w:val="none"/>
              </w:rPr>
              <w:t>1.1.2</w:t>
            </w:r>
          </w:p>
        </w:tc>
        <w:tc>
          <w:tcPr>
            <w:tcW w:w="2566" w:type="dxa"/>
            <w:tcBorders>
              <w:top w:val="single" w:color="auto" w:sz="4" w:space="0"/>
              <w:left w:val="single" w:color="auto" w:sz="4" w:space="0"/>
              <w:bottom w:val="single" w:color="auto" w:sz="4" w:space="0"/>
              <w:right w:val="single" w:color="auto" w:sz="4" w:space="0"/>
            </w:tcBorders>
            <w:vAlign w:val="center"/>
          </w:tcPr>
          <w:p w14:paraId="4B62BDAD">
            <w:pPr>
              <w:spacing w:line="360" w:lineRule="auto"/>
              <w:rPr>
                <w:rFonts w:hint="eastAsia" w:ascii="宋体" w:hAnsi="宋体"/>
                <w:color w:val="auto"/>
                <w:szCs w:val="21"/>
                <w:highlight w:val="none"/>
              </w:rPr>
            </w:pPr>
            <w:r>
              <w:rPr>
                <w:rFonts w:hint="eastAsia" w:ascii="宋体" w:hAnsi="宋体"/>
                <w:color w:val="auto"/>
                <w:szCs w:val="21"/>
                <w:highlight w:val="none"/>
              </w:rPr>
              <w:t>招标人</w:t>
            </w:r>
          </w:p>
        </w:tc>
        <w:tc>
          <w:tcPr>
            <w:tcW w:w="5938" w:type="dxa"/>
            <w:tcBorders>
              <w:top w:val="single" w:color="auto" w:sz="4" w:space="0"/>
              <w:left w:val="single" w:color="auto" w:sz="4" w:space="0"/>
              <w:bottom w:val="single" w:color="auto" w:sz="4" w:space="0"/>
              <w:right w:val="single" w:color="auto" w:sz="4" w:space="0"/>
            </w:tcBorders>
            <w:vAlign w:val="center"/>
          </w:tcPr>
          <w:p w14:paraId="600BE03F">
            <w:pPr>
              <w:spacing w:line="360" w:lineRule="auto"/>
              <w:rPr>
                <w:rFonts w:hint="eastAsia" w:ascii="宋体" w:hAnsi="宋体"/>
                <w:color w:val="auto"/>
                <w:szCs w:val="21"/>
                <w:highlight w:val="none"/>
              </w:rPr>
            </w:pPr>
            <w:r>
              <w:rPr>
                <w:rFonts w:hint="eastAsia" w:ascii="宋体" w:hAnsi="宋体"/>
                <w:color w:val="auto"/>
                <w:szCs w:val="21"/>
                <w:highlight w:val="none"/>
              </w:rPr>
              <w:t>名称：东莞市轨道一号线建设发展有限公司</w:t>
            </w:r>
          </w:p>
          <w:p w14:paraId="6CE5276D">
            <w:pPr>
              <w:spacing w:line="360" w:lineRule="auto"/>
              <w:rPr>
                <w:rFonts w:hint="eastAsia" w:ascii="宋体" w:hAnsi="宋体"/>
                <w:color w:val="auto"/>
                <w:szCs w:val="21"/>
                <w:highlight w:val="none"/>
              </w:rPr>
            </w:pPr>
            <w:r>
              <w:rPr>
                <w:rFonts w:hint="eastAsia" w:ascii="宋体" w:hAnsi="宋体"/>
                <w:color w:val="auto"/>
                <w:szCs w:val="21"/>
                <w:highlight w:val="none"/>
              </w:rPr>
              <w:t>地址：广东省东莞市南城街道东莞大道南城段116号轨道交通大厦2号楼4406室</w:t>
            </w:r>
          </w:p>
          <w:p w14:paraId="14FB99D8">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eastAsia="zh-CN"/>
              </w:rPr>
              <w:t>祝工、张工</w:t>
            </w:r>
          </w:p>
          <w:p w14:paraId="4572FCF5">
            <w:pPr>
              <w:spacing w:line="360" w:lineRule="auto"/>
              <w:rPr>
                <w:rFonts w:hint="eastAsia" w:ascii="宋体" w:hAnsi="宋体"/>
                <w:color w:val="auto"/>
                <w:szCs w:val="21"/>
                <w:highlight w:val="none"/>
              </w:rPr>
            </w:pPr>
            <w:r>
              <w:rPr>
                <w:rFonts w:hint="eastAsia" w:ascii="宋体" w:hAnsi="宋体"/>
                <w:color w:val="auto"/>
                <w:szCs w:val="21"/>
                <w:highlight w:val="none"/>
              </w:rPr>
              <w:t>电话：0769-88307128</w:t>
            </w:r>
          </w:p>
        </w:tc>
      </w:tr>
      <w:tr w14:paraId="59D8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262BD061">
            <w:pPr>
              <w:spacing w:line="360" w:lineRule="auto"/>
              <w:jc w:val="center"/>
              <w:rPr>
                <w:rFonts w:hint="eastAsia" w:ascii="宋体" w:hAnsi="宋体"/>
                <w:color w:val="auto"/>
                <w:szCs w:val="21"/>
                <w:highlight w:val="none"/>
              </w:rPr>
            </w:pPr>
            <w:r>
              <w:rPr>
                <w:rFonts w:ascii="宋体" w:hAnsi="宋体"/>
                <w:color w:val="auto"/>
                <w:szCs w:val="21"/>
                <w:highlight w:val="none"/>
              </w:rPr>
              <w:t>1.1.3</w:t>
            </w:r>
          </w:p>
        </w:tc>
        <w:tc>
          <w:tcPr>
            <w:tcW w:w="2566" w:type="dxa"/>
            <w:tcBorders>
              <w:top w:val="single" w:color="auto" w:sz="4" w:space="0"/>
              <w:left w:val="single" w:color="auto" w:sz="4" w:space="0"/>
              <w:bottom w:val="single" w:color="auto" w:sz="4" w:space="0"/>
              <w:right w:val="single" w:color="auto" w:sz="4" w:space="0"/>
            </w:tcBorders>
            <w:vAlign w:val="center"/>
          </w:tcPr>
          <w:p w14:paraId="0518A54B">
            <w:pPr>
              <w:spacing w:line="360" w:lineRule="auto"/>
              <w:rPr>
                <w:rFonts w:hint="eastAsia" w:ascii="宋体" w:hAnsi="宋体"/>
                <w:color w:val="auto"/>
                <w:szCs w:val="21"/>
                <w:highlight w:val="none"/>
              </w:rPr>
            </w:pPr>
            <w:r>
              <w:rPr>
                <w:rFonts w:hint="eastAsia" w:ascii="宋体" w:hAnsi="宋体"/>
                <w:color w:val="auto"/>
                <w:szCs w:val="21"/>
                <w:highlight w:val="none"/>
              </w:rPr>
              <w:t>招标代理机构</w:t>
            </w:r>
          </w:p>
        </w:tc>
        <w:tc>
          <w:tcPr>
            <w:tcW w:w="5938" w:type="dxa"/>
            <w:tcBorders>
              <w:top w:val="single" w:color="auto" w:sz="4" w:space="0"/>
              <w:left w:val="single" w:color="auto" w:sz="4" w:space="0"/>
              <w:bottom w:val="single" w:color="auto" w:sz="4" w:space="0"/>
              <w:right w:val="single" w:color="auto" w:sz="4" w:space="0"/>
            </w:tcBorders>
            <w:vAlign w:val="center"/>
          </w:tcPr>
          <w:p w14:paraId="4F78DD79">
            <w:pPr>
              <w:snapToGrid w:val="0"/>
              <w:spacing w:line="360" w:lineRule="auto"/>
              <w:rPr>
                <w:color w:val="auto"/>
                <w:highlight w:val="none"/>
              </w:rPr>
            </w:pPr>
            <w:r>
              <w:rPr>
                <w:rFonts w:hint="eastAsia" w:ascii="宋体" w:hAnsi="宋体"/>
                <w:color w:val="auto"/>
                <w:szCs w:val="21"/>
                <w:highlight w:val="none"/>
              </w:rPr>
              <w:t>名称：广东华工工程建设监理有限公司</w:t>
            </w:r>
          </w:p>
          <w:p w14:paraId="0617C6E7">
            <w:pPr>
              <w:snapToGrid w:val="0"/>
              <w:spacing w:line="360" w:lineRule="auto"/>
              <w:rPr>
                <w:rFonts w:hint="eastAsia" w:ascii="宋体" w:hAnsi="宋体"/>
                <w:bCs/>
                <w:color w:val="auto"/>
                <w:sz w:val="22"/>
                <w:szCs w:val="22"/>
                <w:highlight w:val="none"/>
              </w:rPr>
            </w:pPr>
            <w:r>
              <w:rPr>
                <w:rFonts w:hint="eastAsia" w:ascii="宋体" w:hAnsi="宋体"/>
                <w:color w:val="auto"/>
                <w:szCs w:val="21"/>
                <w:highlight w:val="none"/>
              </w:rPr>
              <w:t>地址：广东省东莞市南城街道东莞大道南城段428号寰宇汇金中心9栋1单元4001室</w:t>
            </w:r>
          </w:p>
          <w:p w14:paraId="25509EC7">
            <w:pPr>
              <w:spacing w:line="360" w:lineRule="auto"/>
              <w:rPr>
                <w:rFonts w:hint="eastAsia" w:ascii="宋体" w:hAnsi="宋体"/>
                <w:color w:val="auto"/>
                <w:szCs w:val="21"/>
                <w:highlight w:val="none"/>
                <w:u w:val="single"/>
              </w:rPr>
            </w:pPr>
            <w:r>
              <w:rPr>
                <w:rFonts w:hint="eastAsia" w:ascii="宋体" w:hAnsi="宋体"/>
                <w:color w:val="auto"/>
                <w:szCs w:val="21"/>
                <w:highlight w:val="none"/>
              </w:rPr>
              <w:t>联系人：李工</w:t>
            </w:r>
          </w:p>
          <w:p w14:paraId="19FEC500">
            <w:pPr>
              <w:spacing w:line="360" w:lineRule="auto"/>
              <w:rPr>
                <w:rFonts w:hint="eastAsia" w:ascii="宋体" w:hAnsi="宋体"/>
                <w:color w:val="auto"/>
                <w:szCs w:val="21"/>
                <w:highlight w:val="none"/>
              </w:rPr>
            </w:pPr>
            <w:r>
              <w:rPr>
                <w:rFonts w:hint="eastAsia" w:ascii="宋体" w:hAnsi="宋体"/>
                <w:color w:val="auto"/>
                <w:szCs w:val="21"/>
                <w:highlight w:val="none"/>
              </w:rPr>
              <w:t>电话：0769-22011815</w:t>
            </w:r>
          </w:p>
        </w:tc>
      </w:tr>
      <w:tr w14:paraId="73F8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5B45A340">
            <w:pPr>
              <w:spacing w:line="360" w:lineRule="auto"/>
              <w:jc w:val="center"/>
              <w:rPr>
                <w:rFonts w:hint="eastAsia" w:ascii="宋体" w:hAnsi="宋体"/>
                <w:color w:val="auto"/>
                <w:szCs w:val="21"/>
                <w:highlight w:val="none"/>
              </w:rPr>
            </w:pPr>
            <w:r>
              <w:rPr>
                <w:rFonts w:ascii="宋体" w:hAnsi="宋体"/>
                <w:color w:val="auto"/>
                <w:szCs w:val="21"/>
                <w:highlight w:val="none"/>
              </w:rPr>
              <w:t>1.1.4</w:t>
            </w:r>
          </w:p>
        </w:tc>
        <w:tc>
          <w:tcPr>
            <w:tcW w:w="2566" w:type="dxa"/>
            <w:tcBorders>
              <w:top w:val="single" w:color="auto" w:sz="4" w:space="0"/>
              <w:left w:val="single" w:color="auto" w:sz="4" w:space="0"/>
              <w:bottom w:val="single" w:color="auto" w:sz="4" w:space="0"/>
              <w:right w:val="single" w:color="auto" w:sz="4" w:space="0"/>
            </w:tcBorders>
            <w:vAlign w:val="center"/>
          </w:tcPr>
          <w:p w14:paraId="04A8DDBF">
            <w:pPr>
              <w:spacing w:line="360" w:lineRule="auto"/>
              <w:rPr>
                <w:rFonts w:hint="eastAsia" w:ascii="宋体" w:hAnsi="宋体"/>
                <w:color w:val="auto"/>
                <w:szCs w:val="21"/>
                <w:highlight w:val="none"/>
              </w:rPr>
            </w:pPr>
            <w:r>
              <w:rPr>
                <w:rFonts w:hint="eastAsia" w:ascii="宋体" w:hAnsi="宋体"/>
                <w:color w:val="auto"/>
                <w:szCs w:val="21"/>
                <w:highlight w:val="none"/>
              </w:rPr>
              <w:t>招标项目名称</w:t>
            </w:r>
          </w:p>
        </w:tc>
        <w:tc>
          <w:tcPr>
            <w:tcW w:w="5938" w:type="dxa"/>
            <w:tcBorders>
              <w:top w:val="single" w:color="auto" w:sz="4" w:space="0"/>
              <w:left w:val="single" w:color="auto" w:sz="4" w:space="0"/>
              <w:bottom w:val="single" w:color="auto" w:sz="4" w:space="0"/>
              <w:right w:val="single" w:color="auto" w:sz="4" w:space="0"/>
            </w:tcBorders>
            <w:vAlign w:val="center"/>
          </w:tcPr>
          <w:p w14:paraId="6341741F">
            <w:pPr>
              <w:spacing w:line="360" w:lineRule="auto"/>
              <w:rPr>
                <w:rFonts w:hint="eastAsia" w:ascii="宋体" w:hAnsi="宋体"/>
                <w:color w:val="auto"/>
                <w:szCs w:val="21"/>
                <w:highlight w:val="none"/>
              </w:rPr>
            </w:pPr>
            <w:r>
              <w:rPr>
                <w:rFonts w:hint="eastAsia" w:ascii="宋体" w:hAnsi="宋体"/>
                <w:color w:val="auto"/>
                <w:szCs w:val="21"/>
                <w:highlight w:val="none"/>
              </w:rPr>
              <w:t>东莞市轨道交通1号线运营期地铁控制保护区综合管理系统项目</w:t>
            </w:r>
          </w:p>
        </w:tc>
      </w:tr>
      <w:tr w14:paraId="4A26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5839E03C">
            <w:pPr>
              <w:spacing w:line="360" w:lineRule="auto"/>
              <w:jc w:val="center"/>
              <w:rPr>
                <w:rFonts w:hint="eastAsia" w:ascii="宋体" w:hAnsi="宋体"/>
                <w:color w:val="auto"/>
                <w:szCs w:val="21"/>
                <w:highlight w:val="none"/>
              </w:rPr>
            </w:pPr>
            <w:r>
              <w:rPr>
                <w:rFonts w:ascii="宋体" w:hAnsi="宋体"/>
                <w:color w:val="auto"/>
                <w:szCs w:val="21"/>
                <w:highlight w:val="none"/>
              </w:rPr>
              <w:t>1.1.5</w:t>
            </w:r>
          </w:p>
        </w:tc>
        <w:tc>
          <w:tcPr>
            <w:tcW w:w="2566" w:type="dxa"/>
            <w:tcBorders>
              <w:top w:val="single" w:color="auto" w:sz="4" w:space="0"/>
              <w:left w:val="single" w:color="auto" w:sz="4" w:space="0"/>
              <w:bottom w:val="single" w:color="auto" w:sz="4" w:space="0"/>
              <w:right w:val="single" w:color="auto" w:sz="4" w:space="0"/>
            </w:tcBorders>
            <w:vAlign w:val="center"/>
          </w:tcPr>
          <w:p w14:paraId="1092B0A0">
            <w:pPr>
              <w:spacing w:line="360" w:lineRule="auto"/>
              <w:rPr>
                <w:rFonts w:hint="eastAsia" w:ascii="宋体" w:hAnsi="宋体"/>
                <w:color w:val="auto"/>
                <w:szCs w:val="21"/>
                <w:highlight w:val="none"/>
              </w:rPr>
            </w:pPr>
            <w:r>
              <w:rPr>
                <w:rFonts w:hint="eastAsia" w:ascii="宋体" w:hAnsi="宋体"/>
                <w:color w:val="auto"/>
                <w:szCs w:val="21"/>
                <w:highlight w:val="none"/>
              </w:rPr>
              <w:t>项目建设地点</w:t>
            </w:r>
          </w:p>
        </w:tc>
        <w:tc>
          <w:tcPr>
            <w:tcW w:w="5938" w:type="dxa"/>
            <w:tcBorders>
              <w:top w:val="single" w:color="auto" w:sz="4" w:space="0"/>
              <w:left w:val="single" w:color="auto" w:sz="4" w:space="0"/>
              <w:bottom w:val="single" w:color="auto" w:sz="4" w:space="0"/>
              <w:right w:val="single" w:color="auto" w:sz="4" w:space="0"/>
            </w:tcBorders>
            <w:vAlign w:val="center"/>
          </w:tcPr>
          <w:p w14:paraId="3BE8F7C9">
            <w:pPr>
              <w:spacing w:line="360" w:lineRule="auto"/>
              <w:rPr>
                <w:rFonts w:hint="eastAsia" w:ascii="宋体" w:hAnsi="宋体"/>
                <w:color w:val="auto"/>
                <w:szCs w:val="21"/>
                <w:highlight w:val="none"/>
              </w:rPr>
            </w:pPr>
            <w:r>
              <w:rPr>
                <w:rFonts w:hint="eastAsia" w:ascii="宋体" w:hAnsi="宋体"/>
                <w:color w:val="auto"/>
                <w:szCs w:val="21"/>
                <w:highlight w:val="none"/>
              </w:rPr>
              <w:t>详见招标公告</w:t>
            </w:r>
          </w:p>
        </w:tc>
      </w:tr>
      <w:tr w14:paraId="0472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3C317CB0">
            <w:pPr>
              <w:spacing w:line="360" w:lineRule="auto"/>
              <w:jc w:val="center"/>
              <w:rPr>
                <w:rFonts w:hint="eastAsia" w:ascii="宋体" w:hAnsi="宋体"/>
                <w:color w:val="auto"/>
                <w:szCs w:val="21"/>
                <w:highlight w:val="none"/>
              </w:rPr>
            </w:pPr>
            <w:r>
              <w:rPr>
                <w:rFonts w:ascii="宋体" w:hAnsi="宋体"/>
                <w:color w:val="auto"/>
                <w:szCs w:val="21"/>
                <w:highlight w:val="none"/>
              </w:rPr>
              <w:t>1.1.6</w:t>
            </w:r>
          </w:p>
        </w:tc>
        <w:tc>
          <w:tcPr>
            <w:tcW w:w="2566" w:type="dxa"/>
            <w:tcBorders>
              <w:top w:val="single" w:color="auto" w:sz="4" w:space="0"/>
              <w:left w:val="single" w:color="auto" w:sz="4" w:space="0"/>
              <w:bottom w:val="single" w:color="auto" w:sz="4" w:space="0"/>
              <w:right w:val="single" w:color="auto" w:sz="4" w:space="0"/>
            </w:tcBorders>
            <w:vAlign w:val="center"/>
          </w:tcPr>
          <w:p w14:paraId="2BBE7419">
            <w:pPr>
              <w:spacing w:line="360" w:lineRule="auto"/>
              <w:rPr>
                <w:rFonts w:hint="eastAsia" w:ascii="宋体" w:hAnsi="宋体"/>
                <w:color w:val="auto"/>
                <w:szCs w:val="21"/>
                <w:highlight w:val="none"/>
              </w:rPr>
            </w:pPr>
            <w:r>
              <w:rPr>
                <w:rFonts w:hint="eastAsia" w:ascii="宋体" w:hAnsi="宋体"/>
                <w:color w:val="auto"/>
                <w:szCs w:val="21"/>
                <w:highlight w:val="none"/>
              </w:rPr>
              <w:t>项目建设规模</w:t>
            </w:r>
          </w:p>
        </w:tc>
        <w:tc>
          <w:tcPr>
            <w:tcW w:w="5938" w:type="dxa"/>
            <w:tcBorders>
              <w:top w:val="single" w:color="auto" w:sz="4" w:space="0"/>
              <w:left w:val="single" w:color="auto" w:sz="4" w:space="0"/>
              <w:bottom w:val="single" w:color="auto" w:sz="4" w:space="0"/>
              <w:right w:val="single" w:color="auto" w:sz="4" w:space="0"/>
            </w:tcBorders>
            <w:vAlign w:val="center"/>
          </w:tcPr>
          <w:p w14:paraId="44131A65">
            <w:pPr>
              <w:spacing w:line="360" w:lineRule="auto"/>
              <w:rPr>
                <w:rFonts w:hint="eastAsia" w:ascii="宋体" w:hAnsi="宋体"/>
                <w:color w:val="auto"/>
                <w:szCs w:val="21"/>
                <w:highlight w:val="none"/>
              </w:rPr>
            </w:pPr>
            <w:r>
              <w:rPr>
                <w:rFonts w:hint="eastAsia" w:ascii="宋体" w:hAnsi="宋体"/>
                <w:color w:val="auto"/>
                <w:szCs w:val="21"/>
                <w:highlight w:val="none"/>
              </w:rPr>
              <w:t>详见招标公告</w:t>
            </w:r>
          </w:p>
        </w:tc>
      </w:tr>
      <w:tr w14:paraId="1EE6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16EC30E5">
            <w:pPr>
              <w:spacing w:line="360" w:lineRule="auto"/>
              <w:jc w:val="center"/>
              <w:rPr>
                <w:rFonts w:hint="eastAsia" w:ascii="宋体" w:hAnsi="宋体"/>
                <w:color w:val="auto"/>
                <w:szCs w:val="21"/>
                <w:highlight w:val="none"/>
              </w:rPr>
            </w:pPr>
            <w:r>
              <w:rPr>
                <w:rFonts w:ascii="宋体" w:hAnsi="宋体"/>
                <w:color w:val="auto"/>
                <w:szCs w:val="21"/>
                <w:highlight w:val="none"/>
              </w:rPr>
              <w:t>1.1.7</w:t>
            </w:r>
          </w:p>
        </w:tc>
        <w:tc>
          <w:tcPr>
            <w:tcW w:w="2566" w:type="dxa"/>
            <w:tcBorders>
              <w:top w:val="single" w:color="auto" w:sz="4" w:space="0"/>
              <w:left w:val="single" w:color="auto" w:sz="4" w:space="0"/>
              <w:bottom w:val="single" w:color="auto" w:sz="4" w:space="0"/>
              <w:right w:val="single" w:color="auto" w:sz="4" w:space="0"/>
            </w:tcBorders>
            <w:vAlign w:val="center"/>
          </w:tcPr>
          <w:p w14:paraId="3F037713">
            <w:pPr>
              <w:spacing w:line="360" w:lineRule="auto"/>
              <w:rPr>
                <w:rFonts w:hint="eastAsia" w:ascii="宋体" w:hAnsi="宋体"/>
                <w:color w:val="auto"/>
                <w:szCs w:val="21"/>
                <w:highlight w:val="none"/>
              </w:rPr>
            </w:pPr>
            <w:r>
              <w:rPr>
                <w:rFonts w:hint="eastAsia" w:ascii="宋体" w:hAnsi="宋体"/>
                <w:color w:val="auto"/>
                <w:szCs w:val="21"/>
                <w:highlight w:val="none"/>
              </w:rPr>
              <w:t>项目服务工期</w:t>
            </w:r>
          </w:p>
        </w:tc>
        <w:tc>
          <w:tcPr>
            <w:tcW w:w="5938" w:type="dxa"/>
            <w:tcBorders>
              <w:top w:val="single" w:color="auto" w:sz="4" w:space="0"/>
              <w:left w:val="single" w:color="auto" w:sz="4" w:space="0"/>
              <w:bottom w:val="single" w:color="auto" w:sz="4" w:space="0"/>
              <w:right w:val="single" w:color="auto" w:sz="4" w:space="0"/>
            </w:tcBorders>
            <w:vAlign w:val="center"/>
          </w:tcPr>
          <w:p w14:paraId="547793EE">
            <w:pPr>
              <w:pStyle w:val="19"/>
              <w:spacing w:after="0" w:line="36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1.本项目要求在合同签订起1周内，</w:t>
            </w:r>
            <w:r>
              <w:rPr>
                <w:rFonts w:hint="eastAsia" w:ascii="宋体" w:hAnsi="宋体" w:cs="宋体"/>
                <w:color w:val="auto"/>
                <w:sz w:val="22"/>
                <w:szCs w:val="22"/>
                <w:highlight w:val="none"/>
                <w:lang w:val="en-US" w:eastAsia="zh-CN"/>
              </w:rPr>
              <w:t>投标人</w:t>
            </w:r>
            <w:r>
              <w:rPr>
                <w:rFonts w:hint="eastAsia" w:ascii="宋体" w:hAnsi="宋体" w:cs="宋体"/>
                <w:color w:val="auto"/>
                <w:sz w:val="22"/>
                <w:szCs w:val="22"/>
                <w:highlight w:val="none"/>
              </w:rPr>
              <w:t>提交工作实施方案。</w:t>
            </w:r>
          </w:p>
          <w:p w14:paraId="71F832CD">
            <w:pPr>
              <w:spacing w:line="360" w:lineRule="auto"/>
              <w:rPr>
                <w:rFonts w:hint="eastAsia" w:ascii="宋体" w:hAnsi="宋体" w:eastAsia="宋体"/>
                <w:color w:val="auto"/>
                <w:szCs w:val="21"/>
                <w:highlight w:val="none"/>
                <w:lang w:eastAsia="zh-CN"/>
              </w:rPr>
            </w:pPr>
            <w:r>
              <w:rPr>
                <w:rFonts w:hint="eastAsia" w:ascii="宋体" w:hAnsi="宋体" w:cs="宋体"/>
                <w:color w:val="auto"/>
                <w:sz w:val="22"/>
                <w:szCs w:val="22"/>
                <w:highlight w:val="none"/>
              </w:rPr>
              <w:t>2.本项目要求在合同签订后，原则上</w:t>
            </w:r>
            <w:r>
              <w:rPr>
                <w:rFonts w:hint="eastAsia" w:ascii="宋体" w:hAnsi="宋体" w:cs="宋体"/>
                <w:color w:val="auto"/>
                <w:sz w:val="22"/>
                <w:szCs w:val="22"/>
                <w:highlight w:val="none"/>
                <w:lang w:val="en-US" w:eastAsia="zh-CN"/>
              </w:rPr>
              <w:t>投标人</w:t>
            </w:r>
            <w:r>
              <w:rPr>
                <w:rFonts w:hint="eastAsia" w:ascii="宋体" w:hAnsi="宋体" w:cs="宋体"/>
                <w:color w:val="auto"/>
                <w:sz w:val="22"/>
                <w:szCs w:val="22"/>
                <w:highlight w:val="none"/>
              </w:rPr>
              <w:t>应于6个月内完成“工作量清单”中的所有工作。如因1号线一期工程建设工期调整，导致无人机场无法完成建设，则完成时间相应进行调整，</w:t>
            </w:r>
            <w:r>
              <w:rPr>
                <w:rFonts w:hint="eastAsia" w:ascii="宋体" w:hAnsi="宋体" w:cs="宋体"/>
                <w:color w:val="auto"/>
                <w:sz w:val="22"/>
                <w:szCs w:val="22"/>
                <w:highlight w:val="none"/>
                <w:lang w:val="en-US" w:eastAsia="zh-CN"/>
              </w:rPr>
              <w:t>投标人</w:t>
            </w:r>
            <w:r>
              <w:rPr>
                <w:rFonts w:hint="eastAsia" w:ascii="宋体" w:hAnsi="宋体" w:cs="宋体"/>
                <w:color w:val="auto"/>
                <w:sz w:val="22"/>
                <w:szCs w:val="22"/>
                <w:highlight w:val="none"/>
              </w:rPr>
              <w:t>应按照</w:t>
            </w:r>
            <w:r>
              <w:rPr>
                <w:rFonts w:hint="eastAsia" w:ascii="宋体" w:hAnsi="宋体" w:cs="宋体"/>
                <w:color w:val="auto"/>
                <w:sz w:val="22"/>
                <w:szCs w:val="22"/>
                <w:highlight w:val="none"/>
                <w:lang w:val="en-US" w:eastAsia="zh-CN"/>
              </w:rPr>
              <w:t>招标人</w:t>
            </w:r>
            <w:r>
              <w:rPr>
                <w:rFonts w:hint="eastAsia" w:ascii="宋体" w:hAnsi="宋体" w:cs="宋体"/>
                <w:color w:val="auto"/>
                <w:sz w:val="22"/>
                <w:szCs w:val="22"/>
                <w:highlight w:val="none"/>
              </w:rPr>
              <w:t>要求在规定时限内完成</w:t>
            </w:r>
            <w:r>
              <w:rPr>
                <w:rFonts w:hint="eastAsia" w:ascii="宋体" w:hAnsi="宋体" w:cs="宋体"/>
                <w:color w:val="auto"/>
                <w:sz w:val="22"/>
                <w:szCs w:val="22"/>
                <w:highlight w:val="none"/>
                <w:lang w:eastAsia="zh-CN"/>
              </w:rPr>
              <w:t>，</w:t>
            </w:r>
            <w:r>
              <w:rPr>
                <w:rFonts w:hint="eastAsia" w:ascii="宋体" w:hAnsi="宋体" w:cs="Arial"/>
                <w:bCs/>
                <w:color w:val="auto"/>
                <w:sz w:val="24"/>
                <w:highlight w:val="none"/>
              </w:rPr>
              <w:t>招标人保留根据项目建设调整执行期的权利。</w:t>
            </w:r>
          </w:p>
        </w:tc>
      </w:tr>
      <w:tr w14:paraId="0491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04C13C2D">
            <w:pPr>
              <w:spacing w:line="360" w:lineRule="auto"/>
              <w:jc w:val="center"/>
              <w:rPr>
                <w:rFonts w:hint="eastAsia" w:ascii="宋体" w:hAnsi="宋体"/>
                <w:color w:val="auto"/>
                <w:szCs w:val="21"/>
                <w:highlight w:val="none"/>
              </w:rPr>
            </w:pPr>
            <w:r>
              <w:rPr>
                <w:rFonts w:ascii="宋体" w:hAnsi="宋体"/>
                <w:color w:val="auto"/>
                <w:szCs w:val="21"/>
                <w:highlight w:val="none"/>
              </w:rPr>
              <w:t>1.2.1</w:t>
            </w:r>
          </w:p>
        </w:tc>
        <w:tc>
          <w:tcPr>
            <w:tcW w:w="2566" w:type="dxa"/>
            <w:tcBorders>
              <w:top w:val="single" w:color="auto" w:sz="4" w:space="0"/>
              <w:left w:val="single" w:color="auto" w:sz="4" w:space="0"/>
              <w:bottom w:val="single" w:color="auto" w:sz="4" w:space="0"/>
              <w:right w:val="single" w:color="auto" w:sz="4" w:space="0"/>
            </w:tcBorders>
            <w:vAlign w:val="center"/>
          </w:tcPr>
          <w:p w14:paraId="282A8033">
            <w:pPr>
              <w:spacing w:line="360" w:lineRule="auto"/>
              <w:rPr>
                <w:rFonts w:hint="eastAsia" w:ascii="宋体" w:hAnsi="宋体"/>
                <w:color w:val="auto"/>
                <w:szCs w:val="21"/>
                <w:highlight w:val="none"/>
              </w:rPr>
            </w:pPr>
            <w:r>
              <w:rPr>
                <w:rFonts w:hint="eastAsia" w:ascii="宋体" w:hAnsi="宋体"/>
                <w:color w:val="auto"/>
                <w:szCs w:val="21"/>
                <w:highlight w:val="none"/>
              </w:rPr>
              <w:t>资金来源</w:t>
            </w:r>
          </w:p>
        </w:tc>
        <w:tc>
          <w:tcPr>
            <w:tcW w:w="5938" w:type="dxa"/>
            <w:tcBorders>
              <w:top w:val="single" w:color="auto" w:sz="4" w:space="0"/>
              <w:left w:val="single" w:color="auto" w:sz="4" w:space="0"/>
              <w:bottom w:val="single" w:color="auto" w:sz="4" w:space="0"/>
              <w:right w:val="single" w:color="auto" w:sz="4" w:space="0"/>
            </w:tcBorders>
            <w:vAlign w:val="center"/>
          </w:tcPr>
          <w:p w14:paraId="44F5E740">
            <w:pPr>
              <w:spacing w:line="360" w:lineRule="auto"/>
              <w:rPr>
                <w:rFonts w:hint="eastAsia" w:ascii="宋体" w:hAnsi="宋体"/>
                <w:color w:val="auto"/>
                <w:szCs w:val="21"/>
                <w:highlight w:val="none"/>
              </w:rPr>
            </w:pPr>
            <w:r>
              <w:rPr>
                <w:rFonts w:hint="eastAsia" w:ascii="宋体" w:hAnsi="宋体"/>
                <w:color w:val="auto"/>
                <w:szCs w:val="21"/>
                <w:highlight w:val="none"/>
              </w:rPr>
              <w:t>详见招标公告</w:t>
            </w:r>
          </w:p>
        </w:tc>
      </w:tr>
      <w:tr w14:paraId="6901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7EA3C6C5">
            <w:pPr>
              <w:spacing w:line="360" w:lineRule="auto"/>
              <w:jc w:val="center"/>
              <w:rPr>
                <w:rFonts w:hint="eastAsia" w:ascii="宋体" w:hAnsi="宋体"/>
                <w:color w:val="auto"/>
                <w:szCs w:val="21"/>
                <w:highlight w:val="none"/>
              </w:rPr>
            </w:pPr>
            <w:r>
              <w:rPr>
                <w:rFonts w:ascii="宋体" w:hAnsi="宋体"/>
                <w:color w:val="auto"/>
                <w:szCs w:val="21"/>
                <w:highlight w:val="none"/>
              </w:rPr>
              <w:t>1.2.2</w:t>
            </w:r>
          </w:p>
        </w:tc>
        <w:tc>
          <w:tcPr>
            <w:tcW w:w="2566" w:type="dxa"/>
            <w:tcBorders>
              <w:top w:val="single" w:color="auto" w:sz="4" w:space="0"/>
              <w:left w:val="single" w:color="auto" w:sz="4" w:space="0"/>
              <w:bottom w:val="single" w:color="auto" w:sz="4" w:space="0"/>
              <w:right w:val="single" w:color="auto" w:sz="4" w:space="0"/>
            </w:tcBorders>
            <w:vAlign w:val="center"/>
          </w:tcPr>
          <w:p w14:paraId="310B8FE4">
            <w:pPr>
              <w:spacing w:line="360" w:lineRule="auto"/>
              <w:rPr>
                <w:rFonts w:hint="eastAsia" w:ascii="宋体" w:hAnsi="宋体"/>
                <w:color w:val="auto"/>
                <w:szCs w:val="21"/>
                <w:highlight w:val="none"/>
              </w:rPr>
            </w:pPr>
            <w:r>
              <w:rPr>
                <w:rFonts w:hint="eastAsia" w:ascii="宋体" w:hAnsi="宋体"/>
                <w:color w:val="auto"/>
                <w:szCs w:val="21"/>
                <w:highlight w:val="none"/>
              </w:rPr>
              <w:t>资金落实情况</w:t>
            </w:r>
          </w:p>
        </w:tc>
        <w:tc>
          <w:tcPr>
            <w:tcW w:w="5938" w:type="dxa"/>
            <w:tcBorders>
              <w:top w:val="single" w:color="auto" w:sz="4" w:space="0"/>
              <w:left w:val="single" w:color="auto" w:sz="4" w:space="0"/>
              <w:bottom w:val="single" w:color="auto" w:sz="4" w:space="0"/>
              <w:right w:val="single" w:color="auto" w:sz="4" w:space="0"/>
            </w:tcBorders>
            <w:vAlign w:val="center"/>
          </w:tcPr>
          <w:p w14:paraId="14F229F3">
            <w:pPr>
              <w:spacing w:line="360" w:lineRule="auto"/>
              <w:rPr>
                <w:rFonts w:hint="eastAsia" w:ascii="宋体" w:hAnsi="宋体"/>
                <w:color w:val="auto"/>
                <w:szCs w:val="21"/>
                <w:highlight w:val="none"/>
              </w:rPr>
            </w:pPr>
            <w:r>
              <w:rPr>
                <w:rFonts w:hint="eastAsia" w:ascii="宋体" w:hAnsi="宋体"/>
                <w:color w:val="auto"/>
                <w:szCs w:val="21"/>
                <w:highlight w:val="none"/>
              </w:rPr>
              <w:t>资金来源已经落实</w:t>
            </w:r>
          </w:p>
        </w:tc>
      </w:tr>
      <w:tr w14:paraId="0F96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3C39AEEC">
            <w:pPr>
              <w:spacing w:line="360" w:lineRule="auto"/>
              <w:jc w:val="center"/>
              <w:rPr>
                <w:rFonts w:hint="eastAsia" w:ascii="宋体" w:hAnsi="宋体"/>
                <w:color w:val="auto"/>
                <w:szCs w:val="21"/>
                <w:highlight w:val="none"/>
              </w:rPr>
            </w:pPr>
            <w:r>
              <w:rPr>
                <w:rFonts w:ascii="宋体" w:hAnsi="宋体"/>
                <w:color w:val="auto"/>
                <w:szCs w:val="21"/>
                <w:highlight w:val="none"/>
              </w:rPr>
              <w:t>1.3.1</w:t>
            </w:r>
          </w:p>
        </w:tc>
        <w:tc>
          <w:tcPr>
            <w:tcW w:w="2566" w:type="dxa"/>
            <w:tcBorders>
              <w:top w:val="single" w:color="auto" w:sz="4" w:space="0"/>
              <w:left w:val="single" w:color="auto" w:sz="4" w:space="0"/>
              <w:bottom w:val="single" w:color="auto" w:sz="4" w:space="0"/>
              <w:right w:val="single" w:color="auto" w:sz="4" w:space="0"/>
            </w:tcBorders>
            <w:vAlign w:val="center"/>
          </w:tcPr>
          <w:p w14:paraId="6D3D7DB9">
            <w:pPr>
              <w:spacing w:line="360" w:lineRule="auto"/>
              <w:rPr>
                <w:rFonts w:hint="eastAsia" w:ascii="宋体" w:hAnsi="宋体"/>
                <w:color w:val="auto"/>
                <w:szCs w:val="21"/>
                <w:highlight w:val="none"/>
              </w:rPr>
            </w:pPr>
            <w:r>
              <w:rPr>
                <w:rFonts w:hint="eastAsia" w:ascii="宋体" w:hAnsi="宋体"/>
                <w:color w:val="auto"/>
                <w:szCs w:val="21"/>
                <w:highlight w:val="none"/>
              </w:rPr>
              <w:t>招标范围</w:t>
            </w:r>
          </w:p>
        </w:tc>
        <w:tc>
          <w:tcPr>
            <w:tcW w:w="5938" w:type="dxa"/>
            <w:tcBorders>
              <w:top w:val="single" w:color="auto" w:sz="4" w:space="0"/>
              <w:left w:val="single" w:color="auto" w:sz="4" w:space="0"/>
              <w:bottom w:val="single" w:color="auto" w:sz="4" w:space="0"/>
              <w:right w:val="single" w:color="auto" w:sz="4" w:space="0"/>
            </w:tcBorders>
            <w:vAlign w:val="center"/>
          </w:tcPr>
          <w:p w14:paraId="3748A753">
            <w:pPr>
              <w:spacing w:line="360" w:lineRule="auto"/>
              <w:rPr>
                <w:rFonts w:hint="eastAsia" w:ascii="宋体" w:hAnsi="宋体"/>
                <w:color w:val="auto"/>
                <w:szCs w:val="21"/>
                <w:highlight w:val="none"/>
              </w:rPr>
            </w:pPr>
            <w:r>
              <w:rPr>
                <w:rFonts w:hint="eastAsia" w:ascii="宋体" w:hAnsi="宋体"/>
                <w:color w:val="auto"/>
                <w:szCs w:val="21"/>
                <w:highlight w:val="none"/>
              </w:rPr>
              <w:t>详见招标公告</w:t>
            </w:r>
          </w:p>
        </w:tc>
      </w:tr>
      <w:tr w14:paraId="3ACA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5F782E06">
            <w:pPr>
              <w:spacing w:line="360" w:lineRule="auto"/>
              <w:jc w:val="center"/>
              <w:rPr>
                <w:rFonts w:hint="eastAsia" w:ascii="宋体" w:hAnsi="宋体"/>
                <w:color w:val="auto"/>
                <w:szCs w:val="21"/>
                <w:highlight w:val="none"/>
              </w:rPr>
            </w:pPr>
            <w:r>
              <w:rPr>
                <w:rFonts w:ascii="宋体" w:hAnsi="宋体"/>
                <w:color w:val="auto"/>
                <w:szCs w:val="21"/>
                <w:highlight w:val="none"/>
              </w:rPr>
              <w:t>1.3.</w:t>
            </w:r>
            <w:r>
              <w:rPr>
                <w:rFonts w:hint="eastAsia" w:ascii="宋体" w:hAnsi="宋体"/>
                <w:color w:val="auto"/>
                <w:szCs w:val="21"/>
                <w:highlight w:val="none"/>
              </w:rPr>
              <w:t>2</w:t>
            </w:r>
          </w:p>
        </w:tc>
        <w:tc>
          <w:tcPr>
            <w:tcW w:w="2566" w:type="dxa"/>
            <w:tcBorders>
              <w:top w:val="single" w:color="auto" w:sz="4" w:space="0"/>
              <w:left w:val="single" w:color="auto" w:sz="4" w:space="0"/>
              <w:bottom w:val="single" w:color="auto" w:sz="4" w:space="0"/>
              <w:right w:val="single" w:color="auto" w:sz="4" w:space="0"/>
            </w:tcBorders>
            <w:vAlign w:val="center"/>
          </w:tcPr>
          <w:p w14:paraId="4CE9C531">
            <w:pPr>
              <w:spacing w:line="360" w:lineRule="auto"/>
              <w:rPr>
                <w:rFonts w:hint="eastAsia" w:ascii="宋体" w:hAnsi="宋体"/>
                <w:color w:val="auto"/>
                <w:szCs w:val="21"/>
                <w:highlight w:val="none"/>
              </w:rPr>
            </w:pPr>
            <w:r>
              <w:rPr>
                <w:rFonts w:hint="eastAsia" w:ascii="宋体" w:hAnsi="宋体"/>
                <w:color w:val="auto"/>
                <w:szCs w:val="21"/>
                <w:highlight w:val="none"/>
              </w:rPr>
              <w:t>质量标准</w:t>
            </w:r>
          </w:p>
        </w:tc>
        <w:tc>
          <w:tcPr>
            <w:tcW w:w="5938" w:type="dxa"/>
            <w:tcBorders>
              <w:top w:val="single" w:color="auto" w:sz="4" w:space="0"/>
              <w:left w:val="single" w:color="auto" w:sz="4" w:space="0"/>
              <w:bottom w:val="single" w:color="auto" w:sz="4" w:space="0"/>
              <w:right w:val="single" w:color="auto" w:sz="4" w:space="0"/>
            </w:tcBorders>
            <w:vAlign w:val="center"/>
          </w:tcPr>
          <w:p w14:paraId="4B73FEF1">
            <w:pPr>
              <w:spacing w:line="360" w:lineRule="auto"/>
              <w:rPr>
                <w:rFonts w:hint="eastAsia" w:ascii="宋体" w:hAnsi="宋体"/>
                <w:color w:val="auto"/>
                <w:szCs w:val="21"/>
                <w:highlight w:val="none"/>
              </w:rPr>
            </w:pPr>
            <w:bookmarkStart w:id="36" w:name="_Toc29997835"/>
            <w:bookmarkStart w:id="37" w:name="_Toc8988"/>
            <w:bookmarkStart w:id="38" w:name="_Toc33535007"/>
            <w:bookmarkStart w:id="39" w:name="_Toc29997665"/>
            <w:bookmarkStart w:id="40" w:name="_Toc29998098"/>
            <w:r>
              <w:rPr>
                <w:rFonts w:hint="eastAsia" w:ascii="宋体" w:hAnsi="宋体"/>
                <w:color w:val="auto"/>
                <w:szCs w:val="21"/>
                <w:highlight w:val="none"/>
              </w:rPr>
              <w:t>详见招标公告</w:t>
            </w:r>
            <w:bookmarkEnd w:id="36"/>
            <w:bookmarkEnd w:id="37"/>
            <w:bookmarkEnd w:id="38"/>
            <w:bookmarkEnd w:id="39"/>
            <w:bookmarkEnd w:id="40"/>
          </w:p>
        </w:tc>
      </w:tr>
      <w:tr w14:paraId="6D81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032DE9AA">
            <w:pPr>
              <w:spacing w:line="360" w:lineRule="auto"/>
              <w:jc w:val="center"/>
              <w:rPr>
                <w:rFonts w:hint="eastAsia" w:ascii="宋体" w:hAnsi="宋体"/>
                <w:color w:val="auto"/>
                <w:szCs w:val="21"/>
                <w:highlight w:val="none"/>
              </w:rPr>
            </w:pPr>
            <w:r>
              <w:rPr>
                <w:rFonts w:ascii="宋体" w:hAnsi="宋体"/>
                <w:color w:val="auto"/>
                <w:szCs w:val="21"/>
                <w:highlight w:val="none"/>
              </w:rPr>
              <w:t>1.4.1</w:t>
            </w:r>
          </w:p>
        </w:tc>
        <w:tc>
          <w:tcPr>
            <w:tcW w:w="2566" w:type="dxa"/>
            <w:tcBorders>
              <w:top w:val="single" w:color="auto" w:sz="4" w:space="0"/>
              <w:left w:val="single" w:color="auto" w:sz="4" w:space="0"/>
              <w:bottom w:val="single" w:color="auto" w:sz="4" w:space="0"/>
              <w:right w:val="single" w:color="auto" w:sz="4" w:space="0"/>
            </w:tcBorders>
            <w:vAlign w:val="center"/>
          </w:tcPr>
          <w:p w14:paraId="5E539802">
            <w:pPr>
              <w:spacing w:line="360" w:lineRule="auto"/>
              <w:rPr>
                <w:rFonts w:hint="eastAsia" w:ascii="宋体" w:hAnsi="宋体"/>
                <w:color w:val="auto"/>
                <w:szCs w:val="21"/>
                <w:highlight w:val="none"/>
              </w:rPr>
            </w:pPr>
            <w:r>
              <w:rPr>
                <w:rFonts w:hint="eastAsia" w:ascii="宋体" w:hAnsi="宋体"/>
                <w:color w:val="auto"/>
                <w:szCs w:val="21"/>
                <w:highlight w:val="none"/>
              </w:rPr>
              <w:t>投标人资质条件、能力、信誉</w:t>
            </w:r>
          </w:p>
        </w:tc>
        <w:tc>
          <w:tcPr>
            <w:tcW w:w="5938" w:type="dxa"/>
            <w:tcBorders>
              <w:top w:val="single" w:color="auto" w:sz="4" w:space="0"/>
              <w:left w:val="single" w:color="auto" w:sz="4" w:space="0"/>
              <w:bottom w:val="single" w:color="auto" w:sz="4" w:space="0"/>
              <w:right w:val="single" w:color="auto" w:sz="4" w:space="0"/>
            </w:tcBorders>
            <w:vAlign w:val="center"/>
          </w:tcPr>
          <w:p w14:paraId="054B9120">
            <w:pPr>
              <w:spacing w:line="360" w:lineRule="auto"/>
              <w:ind w:left="210" w:hanging="210" w:hangingChars="100"/>
              <w:rPr>
                <w:rFonts w:hint="eastAsia" w:ascii="宋体" w:hAnsi="宋体"/>
                <w:color w:val="auto"/>
                <w:szCs w:val="21"/>
                <w:highlight w:val="none"/>
              </w:rPr>
            </w:pPr>
            <w:r>
              <w:rPr>
                <w:rFonts w:ascii="宋体" w:hAnsi="宋体"/>
                <w:color w:val="auto"/>
                <w:szCs w:val="21"/>
                <w:highlight w:val="none"/>
              </w:rPr>
              <w:t>（1）资质要求：</w:t>
            </w:r>
            <w:r>
              <w:rPr>
                <w:rFonts w:hint="eastAsia" w:ascii="宋体" w:hAnsi="宋体"/>
                <w:color w:val="auto"/>
                <w:szCs w:val="21"/>
                <w:highlight w:val="none"/>
              </w:rPr>
              <w:t>详见招标公告</w:t>
            </w:r>
            <w:r>
              <w:rPr>
                <w:rFonts w:hint="eastAsia" w:ascii="宋体" w:hAnsi="宋体"/>
                <w:color w:val="auto"/>
                <w:sz w:val="22"/>
                <w:szCs w:val="22"/>
                <w:highlight w:val="none"/>
                <w:lang w:val="zh-CN"/>
              </w:rPr>
              <w:t>。</w:t>
            </w:r>
          </w:p>
          <w:p w14:paraId="7934DAB4">
            <w:pPr>
              <w:spacing w:line="360" w:lineRule="auto"/>
              <w:rPr>
                <w:rFonts w:hint="eastAsia" w:ascii="宋体" w:hAnsi="宋体"/>
                <w:color w:val="auto"/>
                <w:szCs w:val="21"/>
                <w:highlight w:val="none"/>
              </w:rPr>
            </w:pPr>
            <w:r>
              <w:rPr>
                <w:rFonts w:ascii="宋体" w:hAnsi="宋体"/>
                <w:color w:val="auto"/>
                <w:szCs w:val="21"/>
                <w:highlight w:val="none"/>
              </w:rPr>
              <w:t>（2）财务要求：</w:t>
            </w:r>
            <w:r>
              <w:rPr>
                <w:rFonts w:hint="eastAsia" w:ascii="宋体" w:hAnsi="宋体"/>
                <w:color w:val="auto"/>
                <w:szCs w:val="21"/>
                <w:highlight w:val="none"/>
              </w:rPr>
              <w:t>/。</w:t>
            </w:r>
          </w:p>
          <w:p w14:paraId="17603E78">
            <w:pPr>
              <w:spacing w:line="360" w:lineRule="auto"/>
              <w:rPr>
                <w:rFonts w:hint="eastAsia" w:ascii="宋体" w:hAnsi="宋体"/>
                <w:color w:val="auto"/>
                <w:szCs w:val="21"/>
                <w:highlight w:val="none"/>
              </w:rPr>
            </w:pPr>
            <w:r>
              <w:rPr>
                <w:rFonts w:ascii="宋体" w:hAnsi="宋体"/>
                <w:color w:val="auto"/>
                <w:szCs w:val="21"/>
                <w:highlight w:val="none"/>
              </w:rPr>
              <w:t>（3）业绩要求：</w:t>
            </w:r>
            <w:r>
              <w:rPr>
                <w:rFonts w:hint="eastAsia" w:ascii="宋体" w:hAnsi="宋体"/>
                <w:color w:val="auto"/>
                <w:szCs w:val="21"/>
                <w:highlight w:val="none"/>
              </w:rPr>
              <w:t>/。</w:t>
            </w:r>
          </w:p>
          <w:p w14:paraId="634BFF3A">
            <w:pPr>
              <w:spacing w:line="360" w:lineRule="auto"/>
              <w:rPr>
                <w:rFonts w:hint="eastAsia" w:ascii="宋体" w:hAnsi="宋体"/>
                <w:color w:val="auto"/>
                <w:szCs w:val="21"/>
                <w:highlight w:val="none"/>
              </w:rPr>
            </w:pPr>
            <w:r>
              <w:rPr>
                <w:rFonts w:ascii="宋体" w:hAnsi="宋体"/>
                <w:color w:val="auto"/>
                <w:szCs w:val="21"/>
                <w:highlight w:val="none"/>
              </w:rPr>
              <w:t>（4）信誉要求：</w:t>
            </w:r>
            <w:r>
              <w:rPr>
                <w:rFonts w:hint="eastAsia" w:ascii="宋体" w:hAnsi="宋体"/>
                <w:color w:val="auto"/>
                <w:szCs w:val="21"/>
                <w:highlight w:val="none"/>
              </w:rPr>
              <w:t>/。</w:t>
            </w:r>
          </w:p>
          <w:p w14:paraId="7075409C">
            <w:pPr>
              <w:spacing w:line="360" w:lineRule="auto"/>
              <w:rPr>
                <w:rFonts w:hint="default" w:ascii="宋体" w:hAnsi="宋体" w:eastAsia="宋体"/>
                <w:color w:val="auto"/>
                <w:szCs w:val="21"/>
                <w:highlight w:val="none"/>
                <w:lang w:val="en-US" w:eastAsia="zh-CN"/>
              </w:rPr>
            </w:pPr>
            <w:r>
              <w:rPr>
                <w:rFonts w:ascii="宋体" w:hAnsi="宋体"/>
                <w:color w:val="auto"/>
                <w:szCs w:val="21"/>
                <w:highlight w:val="none"/>
              </w:rPr>
              <w:t>（5）</w:t>
            </w:r>
            <w:r>
              <w:rPr>
                <w:rFonts w:hint="eastAsia" w:ascii="宋体" w:hAnsi="宋体"/>
                <w:color w:val="auto"/>
                <w:szCs w:val="21"/>
                <w:highlight w:val="none"/>
              </w:rPr>
              <w:t>项目负责人</w:t>
            </w:r>
            <w:r>
              <w:rPr>
                <w:rFonts w:ascii="宋体" w:hAnsi="宋体"/>
                <w:color w:val="auto"/>
                <w:szCs w:val="21"/>
                <w:highlight w:val="none"/>
              </w:rPr>
              <w:t>的资格要求：</w:t>
            </w:r>
            <w:r>
              <w:rPr>
                <w:rFonts w:hint="eastAsia" w:ascii="宋体" w:hAnsi="宋体"/>
                <w:color w:val="auto"/>
                <w:szCs w:val="21"/>
                <w:highlight w:val="none"/>
                <w:lang w:val="en-US" w:eastAsia="zh-CN"/>
              </w:rPr>
              <w:t>/。</w:t>
            </w:r>
          </w:p>
          <w:p w14:paraId="5A329799">
            <w:pPr>
              <w:spacing w:line="360" w:lineRule="auto"/>
              <w:rPr>
                <w:rFonts w:hint="eastAsia" w:ascii="宋体" w:hAnsi="宋体"/>
                <w:color w:val="auto"/>
                <w:szCs w:val="21"/>
                <w:highlight w:val="none"/>
              </w:rPr>
            </w:pPr>
            <w:r>
              <w:rPr>
                <w:rFonts w:ascii="宋体" w:hAnsi="宋体"/>
                <w:color w:val="auto"/>
                <w:szCs w:val="21"/>
                <w:highlight w:val="none"/>
              </w:rPr>
              <w:t>（6）其他</w:t>
            </w:r>
            <w:r>
              <w:rPr>
                <w:rFonts w:hint="eastAsia" w:ascii="宋体" w:hAnsi="宋体"/>
                <w:color w:val="auto"/>
                <w:szCs w:val="21"/>
                <w:highlight w:val="none"/>
              </w:rPr>
              <w:t>主要人员要求</w:t>
            </w:r>
            <w:r>
              <w:rPr>
                <w:rFonts w:ascii="宋体" w:hAnsi="宋体"/>
                <w:color w:val="auto"/>
                <w:szCs w:val="21"/>
                <w:highlight w:val="none"/>
              </w:rPr>
              <w:t>：</w:t>
            </w:r>
            <w:r>
              <w:rPr>
                <w:rFonts w:hint="eastAsia" w:ascii="宋体" w:hAnsi="宋体"/>
                <w:color w:val="auto"/>
                <w:szCs w:val="21"/>
                <w:highlight w:val="none"/>
                <w:lang w:val="en-US" w:eastAsia="zh-CN"/>
              </w:rPr>
              <w:t>/</w:t>
            </w:r>
            <w:r>
              <w:rPr>
                <w:rFonts w:ascii="宋体" w:hAnsi="宋体"/>
                <w:color w:val="auto"/>
                <w:szCs w:val="21"/>
                <w:highlight w:val="none"/>
              </w:rPr>
              <w:t>。</w:t>
            </w:r>
          </w:p>
          <w:p w14:paraId="047EDD05">
            <w:pPr>
              <w:spacing w:line="360" w:lineRule="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7</w:t>
            </w:r>
            <w:r>
              <w:rPr>
                <w:rFonts w:ascii="宋体" w:hAnsi="宋体"/>
                <w:color w:val="auto"/>
                <w:szCs w:val="21"/>
                <w:highlight w:val="none"/>
              </w:rPr>
              <w:t>）其他要求：详见招标公告。</w:t>
            </w:r>
          </w:p>
        </w:tc>
      </w:tr>
      <w:tr w14:paraId="0FEF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3FB3D241">
            <w:pPr>
              <w:spacing w:line="360" w:lineRule="auto"/>
              <w:jc w:val="center"/>
              <w:rPr>
                <w:rFonts w:hint="eastAsia" w:ascii="宋体" w:hAnsi="宋体"/>
                <w:color w:val="auto"/>
                <w:szCs w:val="21"/>
                <w:highlight w:val="none"/>
              </w:rPr>
            </w:pPr>
            <w:r>
              <w:rPr>
                <w:rFonts w:ascii="宋体" w:hAnsi="宋体"/>
                <w:color w:val="auto"/>
                <w:szCs w:val="21"/>
                <w:highlight w:val="none"/>
              </w:rPr>
              <w:t>1.4.2</w:t>
            </w:r>
          </w:p>
        </w:tc>
        <w:tc>
          <w:tcPr>
            <w:tcW w:w="2566" w:type="dxa"/>
            <w:tcBorders>
              <w:top w:val="single" w:color="auto" w:sz="4" w:space="0"/>
              <w:left w:val="single" w:color="auto" w:sz="4" w:space="0"/>
              <w:bottom w:val="single" w:color="auto" w:sz="4" w:space="0"/>
              <w:right w:val="single" w:color="auto" w:sz="4" w:space="0"/>
            </w:tcBorders>
            <w:vAlign w:val="center"/>
          </w:tcPr>
          <w:p w14:paraId="78C626D7">
            <w:pPr>
              <w:spacing w:line="360" w:lineRule="auto"/>
              <w:rPr>
                <w:rFonts w:hint="eastAsia" w:ascii="宋体" w:hAnsi="宋体"/>
                <w:color w:val="auto"/>
                <w:szCs w:val="21"/>
                <w:highlight w:val="none"/>
              </w:rPr>
            </w:pPr>
            <w:r>
              <w:rPr>
                <w:rFonts w:hint="eastAsia" w:ascii="宋体" w:hAnsi="宋体"/>
                <w:color w:val="auto"/>
                <w:szCs w:val="21"/>
                <w:highlight w:val="none"/>
              </w:rPr>
              <w:t>是否接受联合体投标</w:t>
            </w:r>
          </w:p>
        </w:tc>
        <w:tc>
          <w:tcPr>
            <w:tcW w:w="5938" w:type="dxa"/>
            <w:tcBorders>
              <w:top w:val="single" w:color="auto" w:sz="4" w:space="0"/>
              <w:left w:val="single" w:color="auto" w:sz="4" w:space="0"/>
              <w:bottom w:val="single" w:color="auto" w:sz="4" w:space="0"/>
              <w:right w:val="single" w:color="auto" w:sz="4" w:space="0"/>
            </w:tcBorders>
            <w:vAlign w:val="center"/>
          </w:tcPr>
          <w:p w14:paraId="467DA01F">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不接受</w:t>
            </w:r>
          </w:p>
          <w:p w14:paraId="327E03EB">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接受</w:t>
            </w:r>
          </w:p>
        </w:tc>
      </w:tr>
      <w:tr w14:paraId="349C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562E3140">
            <w:pPr>
              <w:spacing w:line="360" w:lineRule="auto"/>
              <w:jc w:val="center"/>
              <w:rPr>
                <w:rFonts w:hint="eastAsia" w:ascii="宋体" w:hAnsi="宋体"/>
                <w:color w:val="auto"/>
                <w:szCs w:val="21"/>
                <w:highlight w:val="none"/>
              </w:rPr>
            </w:pPr>
            <w:r>
              <w:rPr>
                <w:rFonts w:ascii="宋体" w:hAnsi="宋体"/>
                <w:color w:val="auto"/>
                <w:szCs w:val="21"/>
                <w:highlight w:val="none"/>
              </w:rPr>
              <w:t>1.4.3</w:t>
            </w:r>
          </w:p>
        </w:tc>
        <w:tc>
          <w:tcPr>
            <w:tcW w:w="2566" w:type="dxa"/>
            <w:tcBorders>
              <w:top w:val="single" w:color="auto" w:sz="4" w:space="0"/>
              <w:left w:val="single" w:color="auto" w:sz="4" w:space="0"/>
              <w:bottom w:val="single" w:color="auto" w:sz="4" w:space="0"/>
              <w:right w:val="single" w:color="auto" w:sz="4" w:space="0"/>
            </w:tcBorders>
            <w:vAlign w:val="center"/>
          </w:tcPr>
          <w:p w14:paraId="22677CAC">
            <w:pPr>
              <w:spacing w:line="360" w:lineRule="auto"/>
              <w:rPr>
                <w:rFonts w:hint="eastAsia" w:ascii="宋体" w:hAnsi="宋体"/>
                <w:color w:val="auto"/>
                <w:szCs w:val="21"/>
                <w:highlight w:val="none"/>
              </w:rPr>
            </w:pPr>
            <w:r>
              <w:rPr>
                <w:rFonts w:hint="eastAsia" w:ascii="宋体" w:hAnsi="宋体"/>
                <w:color w:val="auto"/>
                <w:szCs w:val="21"/>
                <w:highlight w:val="none"/>
              </w:rPr>
              <w:t>投标人不得存在的其他情形</w:t>
            </w:r>
          </w:p>
        </w:tc>
        <w:tc>
          <w:tcPr>
            <w:tcW w:w="5938" w:type="dxa"/>
            <w:tcBorders>
              <w:top w:val="single" w:color="auto" w:sz="4" w:space="0"/>
              <w:left w:val="single" w:color="auto" w:sz="4" w:space="0"/>
              <w:bottom w:val="single" w:color="auto" w:sz="4" w:space="0"/>
              <w:right w:val="single" w:color="auto" w:sz="4" w:space="0"/>
            </w:tcBorders>
            <w:vAlign w:val="center"/>
          </w:tcPr>
          <w:p w14:paraId="0C61EB2A">
            <w:pPr>
              <w:spacing w:line="360" w:lineRule="auto"/>
              <w:rPr>
                <w:rFonts w:hint="eastAsia" w:ascii="宋体" w:hAnsi="宋体"/>
                <w:color w:val="auto"/>
                <w:szCs w:val="21"/>
                <w:highlight w:val="none"/>
              </w:rPr>
            </w:pPr>
            <w:r>
              <w:rPr>
                <w:rFonts w:hint="eastAsia" w:ascii="宋体" w:hAnsi="宋体"/>
                <w:color w:val="auto"/>
                <w:szCs w:val="21"/>
                <w:highlight w:val="none"/>
              </w:rPr>
              <w:t>详见投标人须知1.4.</w:t>
            </w:r>
            <w:r>
              <w:rPr>
                <w:rFonts w:ascii="宋体" w:hAnsi="宋体"/>
                <w:color w:val="auto"/>
                <w:szCs w:val="21"/>
                <w:highlight w:val="none"/>
              </w:rPr>
              <w:t>3</w:t>
            </w:r>
          </w:p>
        </w:tc>
      </w:tr>
      <w:tr w14:paraId="769F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06B74FCE">
            <w:pPr>
              <w:spacing w:line="360" w:lineRule="auto"/>
              <w:jc w:val="center"/>
              <w:rPr>
                <w:rFonts w:hint="eastAsia" w:ascii="宋体" w:hAnsi="宋体"/>
                <w:color w:val="auto"/>
                <w:szCs w:val="21"/>
                <w:highlight w:val="none"/>
              </w:rPr>
            </w:pPr>
            <w:r>
              <w:rPr>
                <w:rFonts w:ascii="宋体" w:hAnsi="宋体"/>
                <w:color w:val="auto"/>
                <w:szCs w:val="21"/>
                <w:highlight w:val="none"/>
              </w:rPr>
              <w:t>1.9.1</w:t>
            </w:r>
          </w:p>
        </w:tc>
        <w:tc>
          <w:tcPr>
            <w:tcW w:w="2566" w:type="dxa"/>
            <w:tcBorders>
              <w:top w:val="single" w:color="auto" w:sz="4" w:space="0"/>
              <w:left w:val="single" w:color="auto" w:sz="4" w:space="0"/>
              <w:bottom w:val="single" w:color="auto" w:sz="4" w:space="0"/>
              <w:right w:val="single" w:color="auto" w:sz="4" w:space="0"/>
            </w:tcBorders>
            <w:vAlign w:val="center"/>
          </w:tcPr>
          <w:p w14:paraId="7B68CD18">
            <w:pPr>
              <w:spacing w:line="360" w:lineRule="auto"/>
              <w:rPr>
                <w:rFonts w:hint="eastAsia" w:ascii="宋体" w:hAnsi="宋体"/>
                <w:color w:val="auto"/>
                <w:szCs w:val="21"/>
                <w:highlight w:val="none"/>
              </w:rPr>
            </w:pPr>
            <w:r>
              <w:rPr>
                <w:rFonts w:hint="eastAsia" w:ascii="宋体" w:hAnsi="宋体"/>
                <w:color w:val="auto"/>
                <w:szCs w:val="21"/>
                <w:highlight w:val="none"/>
              </w:rPr>
              <w:t>踏勘现场</w:t>
            </w:r>
          </w:p>
        </w:tc>
        <w:tc>
          <w:tcPr>
            <w:tcW w:w="5938" w:type="dxa"/>
            <w:tcBorders>
              <w:top w:val="single" w:color="auto" w:sz="4" w:space="0"/>
              <w:left w:val="single" w:color="auto" w:sz="4" w:space="0"/>
              <w:bottom w:val="single" w:color="auto" w:sz="4" w:space="0"/>
              <w:right w:val="single" w:color="auto" w:sz="4" w:space="0"/>
            </w:tcBorders>
            <w:vAlign w:val="center"/>
          </w:tcPr>
          <w:p w14:paraId="33091367">
            <w:pPr>
              <w:pStyle w:val="10"/>
              <w:topLinePunct/>
              <w:spacing w:after="0" w:line="360" w:lineRule="auto"/>
              <w:rPr>
                <w:rFonts w:hint="eastAsia" w:ascii="宋体" w:hAnsi="宋体"/>
                <w:color w:val="auto"/>
                <w:sz w:val="21"/>
                <w:szCs w:val="21"/>
                <w:highlight w:val="none"/>
              </w:rPr>
            </w:pPr>
            <w:r>
              <w:rPr>
                <w:rFonts w:hint="eastAsia" w:ascii="宋体" w:hAnsi="宋体"/>
                <w:color w:val="auto"/>
                <w:sz w:val="21"/>
                <w:szCs w:val="21"/>
                <w:highlight w:val="none"/>
              </w:rPr>
              <w:t>不组织，由投标人自行踏勘，招标人在投标人及其代表踏勘过程中不负任何责任。</w:t>
            </w:r>
          </w:p>
        </w:tc>
      </w:tr>
      <w:tr w14:paraId="3C1D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2AF8101B">
            <w:pPr>
              <w:spacing w:line="360" w:lineRule="auto"/>
              <w:jc w:val="center"/>
              <w:rPr>
                <w:rFonts w:hint="eastAsia" w:ascii="宋体" w:hAnsi="宋体"/>
                <w:color w:val="auto"/>
                <w:szCs w:val="21"/>
                <w:highlight w:val="none"/>
              </w:rPr>
            </w:pPr>
            <w:r>
              <w:rPr>
                <w:rFonts w:ascii="宋体" w:hAnsi="宋体"/>
                <w:color w:val="auto"/>
                <w:szCs w:val="21"/>
                <w:highlight w:val="none"/>
              </w:rPr>
              <w:t>1.10.1</w:t>
            </w:r>
          </w:p>
        </w:tc>
        <w:tc>
          <w:tcPr>
            <w:tcW w:w="2566" w:type="dxa"/>
            <w:tcBorders>
              <w:top w:val="single" w:color="auto" w:sz="4" w:space="0"/>
              <w:left w:val="single" w:color="auto" w:sz="4" w:space="0"/>
              <w:bottom w:val="single" w:color="auto" w:sz="4" w:space="0"/>
              <w:right w:val="single" w:color="auto" w:sz="4" w:space="0"/>
            </w:tcBorders>
            <w:vAlign w:val="center"/>
          </w:tcPr>
          <w:p w14:paraId="420B6FF0">
            <w:pPr>
              <w:spacing w:line="360" w:lineRule="auto"/>
              <w:rPr>
                <w:rFonts w:hint="eastAsia" w:ascii="宋体" w:hAnsi="宋体"/>
                <w:color w:val="auto"/>
                <w:szCs w:val="21"/>
                <w:highlight w:val="none"/>
              </w:rPr>
            </w:pPr>
            <w:r>
              <w:rPr>
                <w:rFonts w:hint="eastAsia" w:ascii="宋体" w:hAnsi="宋体"/>
                <w:color w:val="auto"/>
                <w:szCs w:val="21"/>
                <w:highlight w:val="none"/>
              </w:rPr>
              <w:t>投标预备会</w:t>
            </w:r>
          </w:p>
        </w:tc>
        <w:tc>
          <w:tcPr>
            <w:tcW w:w="5938" w:type="dxa"/>
            <w:tcBorders>
              <w:top w:val="single" w:color="auto" w:sz="4" w:space="0"/>
              <w:left w:val="single" w:color="auto" w:sz="4" w:space="0"/>
              <w:bottom w:val="single" w:color="auto" w:sz="4" w:space="0"/>
              <w:right w:val="single" w:color="auto" w:sz="4" w:space="0"/>
            </w:tcBorders>
            <w:vAlign w:val="center"/>
          </w:tcPr>
          <w:p w14:paraId="15941013">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不召开</w:t>
            </w:r>
          </w:p>
        </w:tc>
      </w:tr>
      <w:tr w14:paraId="0E7D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02A1AFB2">
            <w:pPr>
              <w:spacing w:line="360" w:lineRule="auto"/>
              <w:jc w:val="center"/>
              <w:rPr>
                <w:rFonts w:hint="eastAsia" w:ascii="宋体" w:hAnsi="宋体"/>
                <w:color w:val="auto"/>
                <w:szCs w:val="21"/>
                <w:highlight w:val="none"/>
              </w:rPr>
            </w:pPr>
            <w:r>
              <w:rPr>
                <w:rFonts w:hint="eastAsia" w:ascii="宋体" w:hAnsi="宋体"/>
                <w:color w:val="auto"/>
                <w:szCs w:val="21"/>
                <w:highlight w:val="none"/>
              </w:rPr>
              <w:t>1.11</w:t>
            </w:r>
          </w:p>
        </w:tc>
        <w:tc>
          <w:tcPr>
            <w:tcW w:w="2566" w:type="dxa"/>
            <w:tcBorders>
              <w:top w:val="single" w:color="auto" w:sz="4" w:space="0"/>
              <w:left w:val="single" w:color="auto" w:sz="4" w:space="0"/>
              <w:bottom w:val="single" w:color="auto" w:sz="4" w:space="0"/>
              <w:right w:val="single" w:color="auto" w:sz="4" w:space="0"/>
            </w:tcBorders>
            <w:vAlign w:val="center"/>
          </w:tcPr>
          <w:p w14:paraId="142640CD">
            <w:pPr>
              <w:spacing w:line="360" w:lineRule="auto"/>
              <w:rPr>
                <w:rFonts w:hint="eastAsia" w:ascii="宋体" w:hAnsi="宋体"/>
                <w:color w:val="auto"/>
                <w:szCs w:val="21"/>
                <w:highlight w:val="none"/>
              </w:rPr>
            </w:pPr>
            <w:r>
              <w:rPr>
                <w:rFonts w:hint="eastAsia" w:ascii="宋体" w:hAnsi="宋体"/>
                <w:color w:val="auto"/>
                <w:szCs w:val="21"/>
                <w:highlight w:val="none"/>
              </w:rPr>
              <w:t>分包</w:t>
            </w:r>
          </w:p>
        </w:tc>
        <w:tc>
          <w:tcPr>
            <w:tcW w:w="5938" w:type="dxa"/>
            <w:tcBorders>
              <w:top w:val="single" w:color="auto" w:sz="4" w:space="0"/>
              <w:left w:val="single" w:color="auto" w:sz="4" w:space="0"/>
              <w:bottom w:val="single" w:color="auto" w:sz="4" w:space="0"/>
              <w:right w:val="single" w:color="auto" w:sz="4" w:space="0"/>
            </w:tcBorders>
            <w:vAlign w:val="center"/>
          </w:tcPr>
          <w:p w14:paraId="0FB1355C">
            <w:pPr>
              <w:spacing w:line="44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rPr>
              <w:t>☑不允许</w:t>
            </w:r>
            <w:r>
              <w:rPr>
                <w:rFonts w:hint="eastAsia" w:ascii="宋体" w:hAnsi="宋体"/>
                <w:color w:val="auto"/>
                <w:szCs w:val="21"/>
                <w:highlight w:val="none"/>
                <w:lang w:eastAsia="zh-CN"/>
              </w:rPr>
              <w:t>，</w:t>
            </w:r>
          </w:p>
          <w:p w14:paraId="43E73447">
            <w:pPr>
              <w:spacing w:line="440" w:lineRule="exact"/>
              <w:rPr>
                <w:rFonts w:hint="eastAsia" w:ascii="宋体" w:hAnsi="宋体"/>
                <w:color w:val="auto"/>
                <w:szCs w:val="21"/>
                <w:highlight w:val="none"/>
              </w:rPr>
            </w:pPr>
            <w:r>
              <w:rPr>
                <w:rFonts w:hint="eastAsia" w:ascii="宋体" w:hAnsi="宋体"/>
                <w:color w:val="auto"/>
                <w:szCs w:val="21"/>
                <w:highlight w:val="none"/>
              </w:rPr>
              <w:t>□允许，</w:t>
            </w:r>
          </w:p>
        </w:tc>
      </w:tr>
      <w:tr w14:paraId="09B8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4A7DE70F">
            <w:pPr>
              <w:spacing w:line="360" w:lineRule="auto"/>
              <w:jc w:val="center"/>
              <w:rPr>
                <w:rFonts w:hint="eastAsia" w:ascii="宋体" w:hAnsi="宋体"/>
                <w:color w:val="auto"/>
                <w:szCs w:val="21"/>
                <w:highlight w:val="none"/>
              </w:rPr>
            </w:pPr>
            <w:r>
              <w:rPr>
                <w:rFonts w:ascii="宋体" w:hAnsi="宋体"/>
                <w:color w:val="auto"/>
                <w:szCs w:val="21"/>
                <w:highlight w:val="none"/>
              </w:rPr>
              <w:t>1.12.3</w:t>
            </w:r>
          </w:p>
        </w:tc>
        <w:tc>
          <w:tcPr>
            <w:tcW w:w="2566" w:type="dxa"/>
            <w:tcBorders>
              <w:top w:val="single" w:color="auto" w:sz="4" w:space="0"/>
              <w:left w:val="single" w:color="auto" w:sz="4" w:space="0"/>
              <w:bottom w:val="single" w:color="auto" w:sz="4" w:space="0"/>
              <w:right w:val="single" w:color="auto" w:sz="4" w:space="0"/>
            </w:tcBorders>
            <w:vAlign w:val="center"/>
          </w:tcPr>
          <w:p w14:paraId="3E73D6F4">
            <w:pPr>
              <w:spacing w:line="360" w:lineRule="auto"/>
              <w:rPr>
                <w:rFonts w:hint="eastAsia" w:ascii="宋体" w:hAnsi="宋体"/>
                <w:color w:val="auto"/>
                <w:szCs w:val="21"/>
                <w:highlight w:val="none"/>
              </w:rPr>
            </w:pPr>
            <w:r>
              <w:rPr>
                <w:rFonts w:hint="eastAsia" w:ascii="宋体" w:hAnsi="宋体"/>
                <w:color w:val="auto"/>
                <w:szCs w:val="21"/>
                <w:highlight w:val="none"/>
              </w:rPr>
              <w:t>偏差</w:t>
            </w:r>
          </w:p>
        </w:tc>
        <w:tc>
          <w:tcPr>
            <w:tcW w:w="5938" w:type="dxa"/>
            <w:tcBorders>
              <w:top w:val="single" w:color="auto" w:sz="4" w:space="0"/>
              <w:left w:val="single" w:color="auto" w:sz="4" w:space="0"/>
              <w:bottom w:val="single" w:color="auto" w:sz="4" w:space="0"/>
              <w:right w:val="single" w:color="auto" w:sz="4" w:space="0"/>
            </w:tcBorders>
            <w:vAlign w:val="center"/>
          </w:tcPr>
          <w:p w14:paraId="64AED256">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不允许</w:t>
            </w:r>
          </w:p>
        </w:tc>
      </w:tr>
      <w:tr w14:paraId="1476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62EF778D">
            <w:pPr>
              <w:spacing w:line="360" w:lineRule="auto"/>
              <w:jc w:val="center"/>
              <w:rPr>
                <w:rFonts w:hint="eastAsia" w:ascii="宋体" w:hAnsi="宋体"/>
                <w:color w:val="auto"/>
                <w:szCs w:val="21"/>
                <w:highlight w:val="none"/>
              </w:rPr>
            </w:pPr>
            <w:r>
              <w:rPr>
                <w:rFonts w:ascii="宋体" w:hAnsi="宋体"/>
                <w:color w:val="auto"/>
                <w:szCs w:val="21"/>
                <w:highlight w:val="none"/>
              </w:rPr>
              <w:t>2.1</w:t>
            </w:r>
          </w:p>
        </w:tc>
        <w:tc>
          <w:tcPr>
            <w:tcW w:w="2566" w:type="dxa"/>
            <w:tcBorders>
              <w:top w:val="single" w:color="auto" w:sz="4" w:space="0"/>
              <w:left w:val="single" w:color="auto" w:sz="4" w:space="0"/>
              <w:bottom w:val="single" w:color="auto" w:sz="4" w:space="0"/>
              <w:right w:val="single" w:color="auto" w:sz="4" w:space="0"/>
            </w:tcBorders>
            <w:vAlign w:val="center"/>
          </w:tcPr>
          <w:p w14:paraId="5E526019">
            <w:pPr>
              <w:spacing w:line="360" w:lineRule="auto"/>
              <w:rPr>
                <w:rFonts w:hint="eastAsia" w:ascii="宋体" w:hAnsi="宋体"/>
                <w:color w:val="auto"/>
                <w:szCs w:val="21"/>
                <w:highlight w:val="none"/>
              </w:rPr>
            </w:pPr>
            <w:r>
              <w:rPr>
                <w:rFonts w:hint="eastAsia" w:ascii="宋体" w:hAnsi="宋体"/>
                <w:color w:val="auto"/>
                <w:szCs w:val="21"/>
                <w:highlight w:val="none"/>
              </w:rPr>
              <w:t>构成招标文件的其他资料</w:t>
            </w:r>
          </w:p>
        </w:tc>
        <w:tc>
          <w:tcPr>
            <w:tcW w:w="5938" w:type="dxa"/>
            <w:tcBorders>
              <w:top w:val="single" w:color="auto" w:sz="4" w:space="0"/>
              <w:left w:val="single" w:color="auto" w:sz="4" w:space="0"/>
              <w:bottom w:val="single" w:color="auto" w:sz="4" w:space="0"/>
              <w:right w:val="single" w:color="auto" w:sz="4" w:space="0"/>
            </w:tcBorders>
            <w:vAlign w:val="center"/>
          </w:tcPr>
          <w:p w14:paraId="315A0170">
            <w:pPr>
              <w:spacing w:line="360" w:lineRule="auto"/>
              <w:rPr>
                <w:rFonts w:hint="eastAsia" w:ascii="宋体" w:hAnsi="宋体"/>
                <w:color w:val="auto"/>
                <w:szCs w:val="21"/>
                <w:highlight w:val="none"/>
              </w:rPr>
            </w:pPr>
            <w:r>
              <w:rPr>
                <w:rFonts w:hint="eastAsia" w:ascii="宋体" w:hAnsi="宋体"/>
                <w:color w:val="auto"/>
                <w:szCs w:val="21"/>
                <w:highlight w:val="none"/>
              </w:rPr>
              <w:t>澄清（答疑）、修改、补充通知</w:t>
            </w:r>
          </w:p>
        </w:tc>
      </w:tr>
      <w:tr w14:paraId="27A3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4FD9F084">
            <w:pPr>
              <w:spacing w:line="360" w:lineRule="auto"/>
              <w:jc w:val="center"/>
              <w:rPr>
                <w:rFonts w:hint="eastAsia" w:ascii="宋体" w:hAnsi="宋体"/>
                <w:color w:val="auto"/>
                <w:szCs w:val="21"/>
                <w:highlight w:val="none"/>
              </w:rPr>
            </w:pPr>
            <w:r>
              <w:rPr>
                <w:rFonts w:ascii="宋体" w:hAnsi="宋体"/>
                <w:color w:val="auto"/>
                <w:szCs w:val="21"/>
                <w:highlight w:val="none"/>
              </w:rPr>
              <w:t>2.2.1</w:t>
            </w:r>
          </w:p>
        </w:tc>
        <w:tc>
          <w:tcPr>
            <w:tcW w:w="2566" w:type="dxa"/>
            <w:tcBorders>
              <w:top w:val="single" w:color="auto" w:sz="4" w:space="0"/>
              <w:left w:val="single" w:color="auto" w:sz="4" w:space="0"/>
              <w:bottom w:val="single" w:color="auto" w:sz="4" w:space="0"/>
              <w:right w:val="single" w:color="auto" w:sz="4" w:space="0"/>
            </w:tcBorders>
            <w:vAlign w:val="center"/>
          </w:tcPr>
          <w:p w14:paraId="10BD25F4">
            <w:pPr>
              <w:spacing w:line="360" w:lineRule="auto"/>
              <w:rPr>
                <w:rFonts w:hint="eastAsia" w:ascii="宋体" w:hAnsi="宋体"/>
                <w:color w:val="auto"/>
                <w:szCs w:val="21"/>
                <w:highlight w:val="none"/>
              </w:rPr>
            </w:pPr>
            <w:r>
              <w:rPr>
                <w:rFonts w:hint="eastAsia" w:ascii="宋体" w:hAnsi="宋体"/>
                <w:color w:val="auto"/>
                <w:szCs w:val="21"/>
                <w:highlight w:val="none"/>
              </w:rPr>
              <w:t>投标人要求澄清招标文件</w:t>
            </w:r>
          </w:p>
        </w:tc>
        <w:tc>
          <w:tcPr>
            <w:tcW w:w="5938" w:type="dxa"/>
            <w:tcBorders>
              <w:top w:val="single" w:color="auto" w:sz="4" w:space="0"/>
              <w:left w:val="single" w:color="auto" w:sz="4" w:space="0"/>
              <w:bottom w:val="single" w:color="auto" w:sz="4" w:space="0"/>
              <w:right w:val="single" w:color="auto" w:sz="4" w:space="0"/>
            </w:tcBorders>
            <w:vAlign w:val="center"/>
          </w:tcPr>
          <w:p w14:paraId="350A3C83">
            <w:pPr>
              <w:spacing w:line="360" w:lineRule="auto"/>
              <w:rPr>
                <w:rFonts w:hint="eastAsia" w:ascii="宋体" w:hAnsi="宋体"/>
                <w:color w:val="auto"/>
                <w:szCs w:val="21"/>
                <w:highlight w:val="none"/>
              </w:rPr>
            </w:pPr>
            <w:r>
              <w:rPr>
                <w:rFonts w:hint="eastAsia" w:ascii="宋体" w:hAnsi="宋体"/>
                <w:color w:val="auto"/>
                <w:szCs w:val="21"/>
                <w:highlight w:val="none"/>
              </w:rPr>
              <w:t>提出截止时间：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时（详见</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项目查询-日程安排）</w:t>
            </w:r>
          </w:p>
          <w:p w14:paraId="1EC800F2">
            <w:pPr>
              <w:spacing w:line="360" w:lineRule="auto"/>
              <w:rPr>
                <w:rFonts w:hint="eastAsia" w:ascii="宋体" w:hAnsi="宋体"/>
                <w:color w:val="auto"/>
                <w:szCs w:val="21"/>
                <w:highlight w:val="none"/>
                <w:u w:val="single"/>
              </w:rPr>
            </w:pPr>
            <w:r>
              <w:rPr>
                <w:rFonts w:hint="eastAsia" w:ascii="宋体" w:hAnsi="宋体"/>
                <w:color w:val="auto"/>
                <w:szCs w:val="21"/>
                <w:highlight w:val="none"/>
              </w:rPr>
              <w:t>形式：投标人的疑问通过</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数字交易平台提交。</w:t>
            </w:r>
          </w:p>
          <w:p w14:paraId="358B9286">
            <w:pPr>
              <w:spacing w:line="360" w:lineRule="auto"/>
              <w:rPr>
                <w:rFonts w:hint="eastAsia" w:ascii="宋体" w:hAnsi="宋体"/>
                <w:color w:val="auto"/>
                <w:szCs w:val="21"/>
                <w:highlight w:val="none"/>
                <w:u w:val="single"/>
              </w:rPr>
            </w:pPr>
            <w:r>
              <w:rPr>
                <w:rFonts w:hint="eastAsia" w:ascii="宋体" w:hAnsi="宋体"/>
                <w:color w:val="auto"/>
                <w:szCs w:val="21"/>
                <w:highlight w:val="none"/>
              </w:rPr>
              <w:t>具体要求：操作详见</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网站发布的《房屋建筑和市政基础设施工程全流程电子化项目专章》。提问一律不得署名。</w:t>
            </w:r>
          </w:p>
          <w:p w14:paraId="67C30F95">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招标答疑采用网上答疑方式进行。投标人若对招标文件（包括招标图纸、清单、招标控制价）有疑问的，可在规定的时间内登录广州公共资源交易系统——新建设工程交易平台——招标答疑——选中本项目点击“答疑提问”</w:t>
            </w:r>
          </w:p>
          <w:p w14:paraId="44CFAF19">
            <w:pPr>
              <w:spacing w:line="360" w:lineRule="auto"/>
              <w:rPr>
                <w:color w:val="auto"/>
                <w:highlight w:val="none"/>
              </w:rPr>
            </w:pPr>
            <w:r>
              <w:rPr>
                <w:rFonts w:hint="eastAsia"/>
                <w:color w:val="auto"/>
                <w:highlight w:val="none"/>
              </w:rPr>
              <w:t>网上答疑的操作指南为：登录</w:t>
            </w:r>
            <w:r>
              <w:rPr>
                <w:rFonts w:hint="eastAsia"/>
                <w:color w:val="auto"/>
                <w:highlight w:val="none"/>
                <w:lang w:eastAsia="zh-CN"/>
              </w:rPr>
              <w:t>广州交易集团有限公司（广州公共资源交易中心）</w:t>
            </w:r>
            <w:r>
              <w:rPr>
                <w:rFonts w:hint="eastAsia"/>
                <w:color w:val="auto"/>
                <w:highlight w:val="none"/>
              </w:rPr>
              <w:t>数字交易平台→进入“我的投标”页面→进入“招标答疑提问”页面→通过项目编号或名称找到所需的项目→在上述的答疑时间内点击“答疑提问”→无记名或匿名提出问题。</w:t>
            </w:r>
          </w:p>
          <w:p w14:paraId="5158202F">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）投标人应在投标截止时间</w:t>
            </w:r>
            <w:r>
              <w:rPr>
                <w:rFonts w:ascii="宋体" w:hAnsi="宋体"/>
                <w:color w:val="auto"/>
                <w:szCs w:val="21"/>
                <w:highlight w:val="none"/>
                <w:u w:val="single"/>
              </w:rPr>
              <w:t xml:space="preserve">  18  </w:t>
            </w:r>
            <w:r>
              <w:rPr>
                <w:rFonts w:hint="eastAsia" w:ascii="宋体" w:hAnsi="宋体"/>
                <w:color w:val="auto"/>
                <w:szCs w:val="21"/>
                <w:highlight w:val="none"/>
              </w:rPr>
              <w:t>日前停止质疑。</w:t>
            </w:r>
          </w:p>
        </w:tc>
      </w:tr>
      <w:tr w14:paraId="34EC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5EA82BB1">
            <w:pPr>
              <w:spacing w:line="360" w:lineRule="auto"/>
              <w:jc w:val="center"/>
              <w:rPr>
                <w:rFonts w:hint="eastAsia" w:ascii="宋体" w:hAnsi="宋体"/>
                <w:color w:val="auto"/>
                <w:szCs w:val="21"/>
                <w:highlight w:val="none"/>
              </w:rPr>
            </w:pPr>
            <w:r>
              <w:rPr>
                <w:rFonts w:ascii="宋体" w:hAnsi="宋体"/>
                <w:color w:val="auto"/>
                <w:szCs w:val="21"/>
                <w:highlight w:val="none"/>
              </w:rPr>
              <w:t>2.2.2</w:t>
            </w:r>
          </w:p>
        </w:tc>
        <w:tc>
          <w:tcPr>
            <w:tcW w:w="2566" w:type="dxa"/>
            <w:tcBorders>
              <w:top w:val="single" w:color="auto" w:sz="4" w:space="0"/>
              <w:left w:val="single" w:color="auto" w:sz="4" w:space="0"/>
              <w:bottom w:val="single" w:color="auto" w:sz="4" w:space="0"/>
              <w:right w:val="single" w:color="auto" w:sz="4" w:space="0"/>
            </w:tcBorders>
            <w:vAlign w:val="center"/>
          </w:tcPr>
          <w:p w14:paraId="44A6481B">
            <w:pPr>
              <w:spacing w:line="360" w:lineRule="auto"/>
              <w:rPr>
                <w:rFonts w:hint="eastAsia" w:ascii="宋体" w:hAnsi="宋体"/>
                <w:color w:val="auto"/>
                <w:szCs w:val="21"/>
                <w:highlight w:val="none"/>
              </w:rPr>
            </w:pPr>
            <w:r>
              <w:rPr>
                <w:rFonts w:hint="eastAsia" w:ascii="宋体" w:hAnsi="宋体"/>
                <w:color w:val="auto"/>
                <w:szCs w:val="21"/>
                <w:highlight w:val="none"/>
              </w:rPr>
              <w:t>招标文件澄清发出的形式</w:t>
            </w:r>
          </w:p>
        </w:tc>
        <w:tc>
          <w:tcPr>
            <w:tcW w:w="5938" w:type="dxa"/>
            <w:tcBorders>
              <w:top w:val="single" w:color="auto" w:sz="4" w:space="0"/>
              <w:left w:val="single" w:color="auto" w:sz="4" w:space="0"/>
              <w:bottom w:val="single" w:color="auto" w:sz="4" w:space="0"/>
              <w:right w:val="single" w:color="auto" w:sz="4" w:space="0"/>
            </w:tcBorders>
            <w:vAlign w:val="center"/>
          </w:tcPr>
          <w:p w14:paraId="4F1365E9">
            <w:pPr>
              <w:spacing w:line="360" w:lineRule="auto"/>
              <w:rPr>
                <w:rFonts w:hint="eastAsia" w:ascii="宋体" w:hAnsi="宋体"/>
                <w:color w:val="auto"/>
                <w:szCs w:val="21"/>
                <w:highlight w:val="none"/>
              </w:rPr>
            </w:pPr>
            <w:r>
              <w:rPr>
                <w:rFonts w:hint="eastAsia" w:ascii="宋体" w:hAnsi="宋体"/>
                <w:color w:val="auto"/>
                <w:szCs w:val="21"/>
                <w:highlight w:val="none"/>
              </w:rPr>
              <w:t>本项目的招标文件澄清及答疑文件将在</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网上发布，投标人自行下载。从招标文件澄清及答疑文件发布之日起即视为投标人已确认收到。</w:t>
            </w:r>
          </w:p>
        </w:tc>
      </w:tr>
      <w:tr w14:paraId="489D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5F52E814">
            <w:pPr>
              <w:spacing w:line="360" w:lineRule="auto"/>
              <w:jc w:val="center"/>
              <w:rPr>
                <w:rFonts w:hint="eastAsia" w:ascii="宋体" w:hAnsi="宋体"/>
                <w:color w:val="auto"/>
                <w:szCs w:val="21"/>
                <w:highlight w:val="none"/>
              </w:rPr>
            </w:pPr>
            <w:r>
              <w:rPr>
                <w:rFonts w:ascii="宋体" w:hAnsi="宋体"/>
                <w:color w:val="auto"/>
                <w:szCs w:val="21"/>
                <w:highlight w:val="none"/>
              </w:rPr>
              <w:t>2.2.3</w:t>
            </w:r>
          </w:p>
        </w:tc>
        <w:tc>
          <w:tcPr>
            <w:tcW w:w="2566" w:type="dxa"/>
            <w:tcBorders>
              <w:top w:val="single" w:color="auto" w:sz="4" w:space="0"/>
              <w:left w:val="single" w:color="auto" w:sz="4" w:space="0"/>
              <w:bottom w:val="single" w:color="auto" w:sz="4" w:space="0"/>
              <w:right w:val="single" w:color="auto" w:sz="4" w:space="0"/>
            </w:tcBorders>
            <w:vAlign w:val="center"/>
          </w:tcPr>
          <w:p w14:paraId="6A58C706">
            <w:pPr>
              <w:spacing w:line="360" w:lineRule="auto"/>
              <w:rPr>
                <w:rFonts w:hint="eastAsia" w:ascii="宋体" w:hAnsi="宋体"/>
                <w:color w:val="auto"/>
                <w:szCs w:val="21"/>
                <w:highlight w:val="none"/>
              </w:rPr>
            </w:pPr>
            <w:r>
              <w:rPr>
                <w:rFonts w:hint="eastAsia" w:ascii="宋体" w:hAnsi="宋体"/>
                <w:color w:val="auto"/>
                <w:szCs w:val="21"/>
                <w:highlight w:val="none"/>
              </w:rPr>
              <w:t>投标人确认收到招标文件澄清</w:t>
            </w:r>
          </w:p>
        </w:tc>
        <w:tc>
          <w:tcPr>
            <w:tcW w:w="5938" w:type="dxa"/>
            <w:tcBorders>
              <w:top w:val="single" w:color="auto" w:sz="4" w:space="0"/>
              <w:left w:val="single" w:color="auto" w:sz="4" w:space="0"/>
              <w:bottom w:val="single" w:color="auto" w:sz="4" w:space="0"/>
              <w:right w:val="single" w:color="auto" w:sz="4" w:space="0"/>
            </w:tcBorders>
            <w:vAlign w:val="center"/>
          </w:tcPr>
          <w:p w14:paraId="05029679">
            <w:pPr>
              <w:spacing w:line="360" w:lineRule="auto"/>
              <w:rPr>
                <w:rFonts w:hint="eastAsia" w:ascii="宋体" w:hAnsi="宋体"/>
                <w:color w:val="auto"/>
                <w:szCs w:val="21"/>
                <w:highlight w:val="none"/>
                <w:u w:val="single"/>
              </w:rPr>
            </w:pPr>
            <w:r>
              <w:rPr>
                <w:rFonts w:hint="eastAsia" w:ascii="宋体" w:hAnsi="宋体"/>
                <w:color w:val="auto"/>
                <w:szCs w:val="21"/>
                <w:highlight w:val="none"/>
              </w:rPr>
              <w:t>时间：</w:t>
            </w:r>
            <w:r>
              <w:rPr>
                <w:rFonts w:hint="eastAsia" w:ascii="宋体" w:hAnsi="宋体"/>
                <w:color w:val="auto"/>
                <w:szCs w:val="21"/>
                <w:highlight w:val="none"/>
                <w:u w:val="single"/>
              </w:rPr>
              <w:t>从招标文件澄清及答疑文件发布之日起即视为投标人已确认收到。</w:t>
            </w:r>
          </w:p>
          <w:p w14:paraId="1F06559D">
            <w:pPr>
              <w:spacing w:line="360" w:lineRule="auto"/>
              <w:rPr>
                <w:rFonts w:hint="eastAsia" w:ascii="宋体" w:hAnsi="宋体"/>
                <w:color w:val="auto"/>
                <w:szCs w:val="21"/>
                <w:highlight w:val="none"/>
              </w:rPr>
            </w:pPr>
            <w:r>
              <w:rPr>
                <w:rFonts w:hint="eastAsia" w:ascii="宋体" w:hAnsi="宋体"/>
                <w:color w:val="auto"/>
                <w:szCs w:val="21"/>
                <w:highlight w:val="none"/>
              </w:rPr>
              <w:t>形式：</w:t>
            </w:r>
            <w:r>
              <w:rPr>
                <w:rFonts w:hint="eastAsia" w:ascii="宋体" w:hAnsi="宋体"/>
                <w:color w:val="auto"/>
                <w:szCs w:val="21"/>
                <w:highlight w:val="none"/>
                <w:u w:val="single"/>
              </w:rPr>
              <w:t>本项目的招标文件澄清及答疑文件将在</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网发布，投标人自行下载。</w:t>
            </w:r>
          </w:p>
        </w:tc>
      </w:tr>
      <w:tr w14:paraId="5938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6847F330">
            <w:pPr>
              <w:spacing w:line="360" w:lineRule="auto"/>
              <w:jc w:val="center"/>
              <w:rPr>
                <w:rFonts w:hint="eastAsia" w:ascii="宋体" w:hAnsi="宋体"/>
                <w:color w:val="auto"/>
                <w:szCs w:val="21"/>
                <w:highlight w:val="none"/>
              </w:rPr>
            </w:pPr>
            <w:r>
              <w:rPr>
                <w:rFonts w:ascii="宋体" w:hAnsi="宋体"/>
                <w:color w:val="auto"/>
                <w:szCs w:val="21"/>
                <w:highlight w:val="none"/>
              </w:rPr>
              <w:t>2.3.1</w:t>
            </w:r>
          </w:p>
        </w:tc>
        <w:tc>
          <w:tcPr>
            <w:tcW w:w="2566" w:type="dxa"/>
            <w:tcBorders>
              <w:top w:val="single" w:color="auto" w:sz="4" w:space="0"/>
              <w:left w:val="single" w:color="auto" w:sz="4" w:space="0"/>
              <w:bottom w:val="single" w:color="auto" w:sz="4" w:space="0"/>
              <w:right w:val="single" w:color="auto" w:sz="4" w:space="0"/>
            </w:tcBorders>
            <w:vAlign w:val="center"/>
          </w:tcPr>
          <w:p w14:paraId="6D41E80F">
            <w:pPr>
              <w:spacing w:line="360" w:lineRule="auto"/>
              <w:rPr>
                <w:rFonts w:hint="eastAsia" w:ascii="宋体" w:hAnsi="宋体"/>
                <w:color w:val="auto"/>
                <w:szCs w:val="21"/>
                <w:highlight w:val="none"/>
              </w:rPr>
            </w:pPr>
            <w:r>
              <w:rPr>
                <w:rFonts w:hint="eastAsia" w:ascii="宋体" w:hAnsi="宋体"/>
                <w:color w:val="auto"/>
                <w:szCs w:val="21"/>
                <w:highlight w:val="none"/>
              </w:rPr>
              <w:t>招标文件修改发出的形式</w:t>
            </w:r>
          </w:p>
        </w:tc>
        <w:tc>
          <w:tcPr>
            <w:tcW w:w="5938" w:type="dxa"/>
            <w:tcBorders>
              <w:top w:val="single" w:color="auto" w:sz="4" w:space="0"/>
              <w:left w:val="single" w:color="auto" w:sz="4" w:space="0"/>
              <w:bottom w:val="single" w:color="auto" w:sz="4" w:space="0"/>
              <w:right w:val="single" w:color="auto" w:sz="4" w:space="0"/>
            </w:tcBorders>
            <w:vAlign w:val="center"/>
          </w:tcPr>
          <w:p w14:paraId="0BC82EF9">
            <w:pPr>
              <w:spacing w:line="360" w:lineRule="auto"/>
              <w:rPr>
                <w:rFonts w:hint="eastAsia"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网站项目答疑专区或以补充公告形式发布。</w:t>
            </w:r>
          </w:p>
        </w:tc>
      </w:tr>
      <w:tr w14:paraId="5BCF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7B8D17FA">
            <w:pPr>
              <w:spacing w:line="360" w:lineRule="auto"/>
              <w:jc w:val="center"/>
              <w:rPr>
                <w:rFonts w:hint="eastAsia" w:ascii="宋体" w:hAnsi="宋体"/>
                <w:color w:val="auto"/>
                <w:szCs w:val="21"/>
                <w:highlight w:val="none"/>
              </w:rPr>
            </w:pPr>
            <w:r>
              <w:rPr>
                <w:rFonts w:ascii="宋体" w:hAnsi="宋体"/>
                <w:color w:val="auto"/>
                <w:szCs w:val="21"/>
                <w:highlight w:val="none"/>
              </w:rPr>
              <w:t>2.3.2</w:t>
            </w:r>
          </w:p>
        </w:tc>
        <w:tc>
          <w:tcPr>
            <w:tcW w:w="2566" w:type="dxa"/>
            <w:tcBorders>
              <w:top w:val="single" w:color="auto" w:sz="4" w:space="0"/>
              <w:left w:val="single" w:color="auto" w:sz="4" w:space="0"/>
              <w:bottom w:val="single" w:color="auto" w:sz="4" w:space="0"/>
              <w:right w:val="single" w:color="auto" w:sz="4" w:space="0"/>
            </w:tcBorders>
            <w:vAlign w:val="center"/>
          </w:tcPr>
          <w:p w14:paraId="5C545A95">
            <w:pPr>
              <w:spacing w:line="360" w:lineRule="auto"/>
              <w:rPr>
                <w:rFonts w:hint="eastAsia" w:ascii="宋体" w:hAnsi="宋体"/>
                <w:color w:val="auto"/>
                <w:szCs w:val="21"/>
                <w:highlight w:val="none"/>
              </w:rPr>
            </w:pPr>
            <w:r>
              <w:rPr>
                <w:rFonts w:hint="eastAsia" w:ascii="宋体" w:hAnsi="宋体"/>
                <w:color w:val="auto"/>
                <w:szCs w:val="21"/>
                <w:highlight w:val="none"/>
              </w:rPr>
              <w:t>投标人确认收到招标文件修改</w:t>
            </w:r>
          </w:p>
        </w:tc>
        <w:tc>
          <w:tcPr>
            <w:tcW w:w="5938" w:type="dxa"/>
            <w:tcBorders>
              <w:top w:val="single" w:color="auto" w:sz="4" w:space="0"/>
              <w:left w:val="single" w:color="auto" w:sz="4" w:space="0"/>
              <w:bottom w:val="single" w:color="auto" w:sz="4" w:space="0"/>
              <w:right w:val="single" w:color="auto" w:sz="4" w:space="0"/>
            </w:tcBorders>
            <w:vAlign w:val="center"/>
          </w:tcPr>
          <w:p w14:paraId="26D8BCDA">
            <w:pPr>
              <w:spacing w:line="360" w:lineRule="auto"/>
              <w:rPr>
                <w:rFonts w:hint="eastAsia" w:ascii="宋体" w:hAnsi="宋体"/>
                <w:color w:val="auto"/>
                <w:szCs w:val="21"/>
                <w:highlight w:val="none"/>
              </w:rPr>
            </w:pPr>
            <w:r>
              <w:rPr>
                <w:rFonts w:hint="eastAsia"/>
                <w:color w:val="auto"/>
                <w:highlight w:val="none"/>
              </w:rPr>
              <w:t>招标文件修改一经在</w:t>
            </w:r>
            <w:r>
              <w:rPr>
                <w:rFonts w:hint="eastAsia"/>
                <w:color w:val="auto"/>
                <w:highlight w:val="none"/>
                <w:lang w:eastAsia="zh-CN"/>
              </w:rPr>
              <w:t>广州交易集团有限公司（广州公共资源交易中心）</w:t>
            </w:r>
            <w:r>
              <w:rPr>
                <w:rFonts w:hint="eastAsia"/>
                <w:color w:val="auto"/>
                <w:highlight w:val="none"/>
              </w:rPr>
              <w:t>网站发布，视作已发放给所有投标人，无需确认。潜在投标人应自行关注招标公告公布的网站公告，招标人不再一一通知。投标人因自身贻误行为导致投标失败的，责任自负。</w:t>
            </w:r>
          </w:p>
        </w:tc>
      </w:tr>
      <w:tr w14:paraId="246A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3A9B6969">
            <w:pPr>
              <w:spacing w:line="360" w:lineRule="auto"/>
              <w:jc w:val="center"/>
              <w:rPr>
                <w:rFonts w:hint="eastAsia" w:ascii="宋体" w:hAnsi="宋体"/>
                <w:color w:val="auto"/>
                <w:szCs w:val="21"/>
                <w:highlight w:val="none"/>
              </w:rPr>
            </w:pPr>
            <w:r>
              <w:rPr>
                <w:rFonts w:ascii="宋体" w:hAnsi="宋体"/>
                <w:color w:val="auto"/>
                <w:szCs w:val="21"/>
                <w:highlight w:val="none"/>
              </w:rPr>
              <w:t>3.2.1</w:t>
            </w:r>
          </w:p>
        </w:tc>
        <w:tc>
          <w:tcPr>
            <w:tcW w:w="2566" w:type="dxa"/>
            <w:tcBorders>
              <w:top w:val="single" w:color="auto" w:sz="4" w:space="0"/>
              <w:left w:val="single" w:color="auto" w:sz="4" w:space="0"/>
              <w:bottom w:val="single" w:color="auto" w:sz="4" w:space="0"/>
              <w:right w:val="single" w:color="auto" w:sz="4" w:space="0"/>
            </w:tcBorders>
            <w:vAlign w:val="center"/>
          </w:tcPr>
          <w:p w14:paraId="56EB092C">
            <w:pPr>
              <w:spacing w:line="360" w:lineRule="auto"/>
              <w:rPr>
                <w:rFonts w:hint="eastAsia" w:ascii="宋体" w:hAnsi="宋体"/>
                <w:color w:val="auto"/>
                <w:szCs w:val="21"/>
                <w:highlight w:val="none"/>
              </w:rPr>
            </w:pPr>
            <w:r>
              <w:rPr>
                <w:rFonts w:hint="eastAsia" w:ascii="宋体" w:hAnsi="宋体"/>
                <w:color w:val="auto"/>
                <w:szCs w:val="21"/>
                <w:highlight w:val="none"/>
              </w:rPr>
              <w:t>增值税税金的计算方法</w:t>
            </w:r>
          </w:p>
        </w:tc>
        <w:tc>
          <w:tcPr>
            <w:tcW w:w="5938" w:type="dxa"/>
            <w:tcBorders>
              <w:top w:val="single" w:color="auto" w:sz="4" w:space="0"/>
              <w:left w:val="single" w:color="auto" w:sz="4" w:space="0"/>
              <w:bottom w:val="single" w:color="auto" w:sz="4" w:space="0"/>
              <w:right w:val="single" w:color="auto" w:sz="4" w:space="0"/>
            </w:tcBorders>
            <w:vAlign w:val="center"/>
          </w:tcPr>
          <w:p w14:paraId="13DA9171">
            <w:pPr>
              <w:spacing w:line="360" w:lineRule="auto"/>
              <w:rPr>
                <w:rFonts w:hint="eastAsia" w:ascii="宋体" w:hAnsi="宋体"/>
                <w:strike/>
                <w:color w:val="auto"/>
                <w:szCs w:val="21"/>
                <w:highlight w:val="none"/>
              </w:rPr>
            </w:pPr>
            <w:r>
              <w:rPr>
                <w:rFonts w:ascii="宋体" w:hAnsi="宋体"/>
                <w:color w:val="auto"/>
                <w:szCs w:val="21"/>
                <w:highlight w:val="none"/>
              </w:rPr>
              <w:t>按照税法规定各税目税率计算</w:t>
            </w:r>
          </w:p>
        </w:tc>
      </w:tr>
      <w:tr w14:paraId="3C47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6A18339B">
            <w:pPr>
              <w:spacing w:line="360" w:lineRule="auto"/>
              <w:jc w:val="center"/>
              <w:rPr>
                <w:rFonts w:hint="eastAsia" w:ascii="宋体" w:hAnsi="宋体"/>
                <w:color w:val="auto"/>
                <w:szCs w:val="21"/>
                <w:highlight w:val="none"/>
              </w:rPr>
            </w:pPr>
            <w:r>
              <w:rPr>
                <w:rFonts w:ascii="宋体" w:hAnsi="宋体"/>
                <w:color w:val="auto"/>
                <w:szCs w:val="21"/>
                <w:highlight w:val="none"/>
              </w:rPr>
              <w:t>3.2.3</w:t>
            </w:r>
          </w:p>
        </w:tc>
        <w:tc>
          <w:tcPr>
            <w:tcW w:w="2566" w:type="dxa"/>
            <w:tcBorders>
              <w:top w:val="single" w:color="auto" w:sz="4" w:space="0"/>
              <w:left w:val="single" w:color="auto" w:sz="4" w:space="0"/>
              <w:bottom w:val="single" w:color="auto" w:sz="4" w:space="0"/>
              <w:right w:val="single" w:color="auto" w:sz="4" w:space="0"/>
            </w:tcBorders>
            <w:vAlign w:val="center"/>
          </w:tcPr>
          <w:p w14:paraId="7E7745A8">
            <w:pPr>
              <w:spacing w:line="360" w:lineRule="auto"/>
              <w:rPr>
                <w:rFonts w:hint="eastAsia" w:ascii="宋体" w:hAnsi="宋体"/>
                <w:color w:val="auto"/>
                <w:szCs w:val="21"/>
                <w:highlight w:val="none"/>
              </w:rPr>
            </w:pPr>
            <w:r>
              <w:rPr>
                <w:rFonts w:hint="eastAsia" w:ascii="宋体" w:hAnsi="宋体"/>
                <w:color w:val="auto"/>
                <w:szCs w:val="21"/>
                <w:highlight w:val="none"/>
              </w:rPr>
              <w:t>报价方式</w:t>
            </w:r>
          </w:p>
        </w:tc>
        <w:tc>
          <w:tcPr>
            <w:tcW w:w="5938" w:type="dxa"/>
            <w:tcBorders>
              <w:top w:val="single" w:color="auto" w:sz="4" w:space="0"/>
              <w:left w:val="single" w:color="auto" w:sz="4" w:space="0"/>
              <w:bottom w:val="single" w:color="auto" w:sz="4" w:space="0"/>
              <w:right w:val="single" w:color="auto" w:sz="4" w:space="0"/>
            </w:tcBorders>
            <w:vAlign w:val="center"/>
          </w:tcPr>
          <w:p w14:paraId="1E297E2E">
            <w:pPr>
              <w:spacing w:line="360" w:lineRule="auto"/>
              <w:rPr>
                <w:rFonts w:hint="eastAsia" w:ascii="宋体" w:hAnsi="宋体"/>
                <w:color w:val="auto"/>
                <w:szCs w:val="21"/>
                <w:highlight w:val="none"/>
              </w:rPr>
            </w:pPr>
            <w:r>
              <w:rPr>
                <w:rFonts w:hint="eastAsia" w:ascii="宋体" w:hAnsi="宋体"/>
                <w:color w:val="auto"/>
                <w:szCs w:val="21"/>
                <w:highlight w:val="none"/>
              </w:rPr>
              <w:t>只能有一个有效报价，按报价表自行报价（以“元”为单位，精确到小数位后</w:t>
            </w:r>
            <w:r>
              <w:rPr>
                <w:rFonts w:ascii="宋体" w:hAnsi="宋体"/>
                <w:color w:val="auto"/>
                <w:szCs w:val="21"/>
                <w:highlight w:val="none"/>
              </w:rPr>
              <w:t>2</w:t>
            </w:r>
            <w:r>
              <w:rPr>
                <w:rFonts w:hint="eastAsia" w:ascii="宋体" w:hAnsi="宋体"/>
                <w:color w:val="auto"/>
                <w:szCs w:val="21"/>
                <w:highlight w:val="none"/>
              </w:rPr>
              <w:t>位）</w:t>
            </w:r>
          </w:p>
        </w:tc>
      </w:tr>
      <w:tr w14:paraId="2983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3D7A6F85">
            <w:pPr>
              <w:spacing w:line="360" w:lineRule="auto"/>
              <w:jc w:val="center"/>
              <w:rPr>
                <w:rFonts w:hint="eastAsia" w:ascii="宋体" w:hAnsi="宋体"/>
                <w:color w:val="auto"/>
                <w:szCs w:val="21"/>
                <w:highlight w:val="none"/>
              </w:rPr>
            </w:pPr>
            <w:r>
              <w:rPr>
                <w:rFonts w:ascii="宋体" w:hAnsi="宋体"/>
                <w:color w:val="auto"/>
                <w:szCs w:val="21"/>
                <w:highlight w:val="none"/>
              </w:rPr>
              <w:t>3.2.4</w:t>
            </w:r>
          </w:p>
        </w:tc>
        <w:tc>
          <w:tcPr>
            <w:tcW w:w="2566" w:type="dxa"/>
            <w:tcBorders>
              <w:top w:val="single" w:color="auto" w:sz="4" w:space="0"/>
              <w:left w:val="single" w:color="auto" w:sz="4" w:space="0"/>
              <w:bottom w:val="single" w:color="auto" w:sz="4" w:space="0"/>
              <w:right w:val="single" w:color="auto" w:sz="4" w:space="0"/>
            </w:tcBorders>
            <w:vAlign w:val="center"/>
          </w:tcPr>
          <w:p w14:paraId="275CEFC6">
            <w:pPr>
              <w:spacing w:line="360" w:lineRule="auto"/>
              <w:rPr>
                <w:rFonts w:hint="eastAsia" w:ascii="宋体" w:hAnsi="宋体"/>
                <w:color w:val="auto"/>
                <w:szCs w:val="21"/>
                <w:highlight w:val="none"/>
              </w:rPr>
            </w:pPr>
            <w:r>
              <w:rPr>
                <w:rFonts w:hint="eastAsia" w:ascii="宋体" w:hAnsi="宋体"/>
                <w:color w:val="auto"/>
                <w:szCs w:val="21"/>
                <w:highlight w:val="none"/>
              </w:rPr>
              <w:t>最高投标限价</w:t>
            </w:r>
          </w:p>
        </w:tc>
        <w:tc>
          <w:tcPr>
            <w:tcW w:w="5938" w:type="dxa"/>
            <w:tcBorders>
              <w:top w:val="single" w:color="auto" w:sz="4" w:space="0"/>
              <w:left w:val="single" w:color="auto" w:sz="4" w:space="0"/>
              <w:bottom w:val="single" w:color="auto" w:sz="4" w:space="0"/>
              <w:right w:val="single" w:color="auto" w:sz="4" w:space="0"/>
            </w:tcBorders>
            <w:vAlign w:val="center"/>
          </w:tcPr>
          <w:p w14:paraId="1237C00B">
            <w:pPr>
              <w:spacing w:line="360" w:lineRule="auto"/>
              <w:ind w:left="618" w:hanging="618" w:hangingChars="300"/>
              <w:rPr>
                <w:rFonts w:hint="eastAsia" w:ascii="宋体" w:hAnsi="宋体"/>
                <w:color w:val="auto"/>
                <w:szCs w:val="21"/>
                <w:highlight w:val="none"/>
              </w:rPr>
            </w:pPr>
            <w:r>
              <w:rPr>
                <w:rFonts w:hint="eastAsia" w:ascii="宋体" w:hAnsi="宋体" w:cs="宋体"/>
                <w:color w:val="auto"/>
                <w:spacing w:val="-2"/>
                <w:position w:val="1"/>
                <w:szCs w:val="21"/>
                <w:highlight w:val="none"/>
                <w:bdr w:val="single" w:color="auto" w:sz="4" w:space="0"/>
              </w:rPr>
              <w:t>√</w:t>
            </w:r>
            <w:r>
              <w:rPr>
                <w:rFonts w:ascii="宋体" w:hAnsi="宋体"/>
                <w:color w:val="auto"/>
                <w:szCs w:val="21"/>
                <w:highlight w:val="none"/>
              </w:rPr>
              <w:t>有，</w:t>
            </w:r>
            <w:r>
              <w:rPr>
                <w:rFonts w:hint="eastAsia" w:ascii="宋体" w:hAnsi="宋体"/>
                <w:color w:val="auto"/>
                <w:szCs w:val="21"/>
                <w:highlight w:val="none"/>
              </w:rPr>
              <w:t>最高投标限价：</w:t>
            </w:r>
          </w:p>
          <w:p w14:paraId="639B7970">
            <w:pPr>
              <w:spacing w:line="360" w:lineRule="auto"/>
              <w:ind w:left="630" w:hanging="630" w:hangingChars="300"/>
              <w:rPr>
                <w:rFonts w:hint="eastAsia" w:ascii="宋体" w:hAnsi="宋体"/>
                <w:color w:val="auto"/>
                <w:szCs w:val="21"/>
                <w:highlight w:val="none"/>
                <w:u w:val="single"/>
              </w:rPr>
            </w:pPr>
            <w:r>
              <w:rPr>
                <w:rFonts w:hint="eastAsia" w:ascii="宋体" w:hAnsi="宋体"/>
                <w:color w:val="auto"/>
                <w:szCs w:val="21"/>
                <w:highlight w:val="none"/>
                <w:u w:val="single"/>
              </w:rPr>
              <w:t xml:space="preserve">   547.</w:t>
            </w:r>
            <w:r>
              <w:rPr>
                <w:rFonts w:hint="eastAsia" w:ascii="宋体" w:hAnsi="宋体"/>
                <w:color w:val="auto"/>
                <w:szCs w:val="21"/>
                <w:highlight w:val="none"/>
                <w:u w:val="single"/>
                <w:lang w:val="en-US" w:eastAsia="zh-CN"/>
              </w:rPr>
              <w:t>16</w:t>
            </w:r>
            <w:r>
              <w:rPr>
                <w:rFonts w:hint="eastAsia" w:ascii="宋体" w:hAnsi="宋体"/>
                <w:color w:val="auto"/>
                <w:szCs w:val="21"/>
                <w:highlight w:val="none"/>
                <w:u w:val="single"/>
              </w:rPr>
              <w:t xml:space="preserve">万元    </w:t>
            </w:r>
          </w:p>
          <w:p w14:paraId="3D230C29">
            <w:pPr>
              <w:spacing w:line="360" w:lineRule="auto"/>
              <w:ind w:left="630" w:hanging="630" w:hangingChars="300"/>
              <w:rPr>
                <w:rFonts w:hint="eastAsia" w:ascii="宋体" w:hAnsi="宋体"/>
                <w:color w:val="auto"/>
                <w:szCs w:val="21"/>
                <w:highlight w:val="none"/>
              </w:rPr>
            </w:pPr>
            <w:r>
              <w:rPr>
                <w:rFonts w:hint="eastAsia" w:ascii="宋体" w:hAnsi="宋体"/>
                <w:color w:val="auto"/>
                <w:szCs w:val="21"/>
                <w:highlight w:val="none"/>
              </w:rPr>
              <w:t>（即招标控制价，下同）</w:t>
            </w:r>
          </w:p>
        </w:tc>
      </w:tr>
      <w:tr w14:paraId="5A8B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75B9A6E0">
            <w:pPr>
              <w:spacing w:line="360" w:lineRule="auto"/>
              <w:jc w:val="center"/>
              <w:rPr>
                <w:rFonts w:hint="eastAsia" w:ascii="宋体" w:hAnsi="宋体"/>
                <w:color w:val="auto"/>
                <w:szCs w:val="21"/>
                <w:highlight w:val="none"/>
              </w:rPr>
            </w:pPr>
            <w:r>
              <w:rPr>
                <w:rFonts w:ascii="宋体" w:hAnsi="宋体"/>
                <w:color w:val="auto"/>
                <w:szCs w:val="21"/>
                <w:highlight w:val="none"/>
              </w:rPr>
              <w:t>3.2.5</w:t>
            </w:r>
          </w:p>
        </w:tc>
        <w:tc>
          <w:tcPr>
            <w:tcW w:w="2566" w:type="dxa"/>
            <w:tcBorders>
              <w:top w:val="single" w:color="auto" w:sz="4" w:space="0"/>
              <w:left w:val="single" w:color="auto" w:sz="4" w:space="0"/>
              <w:bottom w:val="single" w:color="auto" w:sz="4" w:space="0"/>
              <w:right w:val="single" w:color="auto" w:sz="4" w:space="0"/>
            </w:tcBorders>
            <w:vAlign w:val="center"/>
          </w:tcPr>
          <w:p w14:paraId="657C9EE5">
            <w:pPr>
              <w:spacing w:line="360" w:lineRule="auto"/>
              <w:rPr>
                <w:rFonts w:hint="eastAsia" w:ascii="宋体" w:hAnsi="宋体"/>
                <w:color w:val="auto"/>
                <w:szCs w:val="21"/>
                <w:highlight w:val="none"/>
              </w:rPr>
            </w:pPr>
            <w:r>
              <w:rPr>
                <w:rFonts w:hint="eastAsia" w:ascii="宋体" w:hAnsi="宋体"/>
                <w:color w:val="auto"/>
                <w:szCs w:val="21"/>
                <w:highlight w:val="none"/>
              </w:rPr>
              <w:t>投标报价的其他要求</w:t>
            </w:r>
          </w:p>
        </w:tc>
        <w:tc>
          <w:tcPr>
            <w:tcW w:w="5938" w:type="dxa"/>
            <w:tcBorders>
              <w:top w:val="single" w:color="auto" w:sz="4" w:space="0"/>
              <w:left w:val="single" w:color="auto" w:sz="4" w:space="0"/>
              <w:bottom w:val="single" w:color="auto" w:sz="4" w:space="0"/>
              <w:right w:val="single" w:color="auto" w:sz="4" w:space="0"/>
            </w:tcBorders>
            <w:vAlign w:val="center"/>
          </w:tcPr>
          <w:p w14:paraId="7BCA76B5">
            <w:pPr>
              <w:spacing w:line="360" w:lineRule="auto"/>
              <w:rPr>
                <w:rFonts w:hint="eastAsia" w:ascii="宋体" w:hAnsi="宋体"/>
                <w:color w:val="auto"/>
                <w:szCs w:val="21"/>
                <w:highlight w:val="none"/>
              </w:rPr>
            </w:pPr>
            <w:r>
              <w:rPr>
                <w:rFonts w:hint="eastAsia" w:ascii="宋体" w:hAnsi="宋体"/>
                <w:color w:val="auto"/>
                <w:szCs w:val="21"/>
                <w:highlight w:val="none"/>
              </w:rPr>
              <w:t>固定价报价，对同一招标项目未出现两个或以上投标报价</w:t>
            </w:r>
          </w:p>
        </w:tc>
      </w:tr>
      <w:tr w14:paraId="5D02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415B2296">
            <w:pPr>
              <w:spacing w:line="360" w:lineRule="auto"/>
              <w:jc w:val="center"/>
              <w:rPr>
                <w:rFonts w:hint="eastAsia" w:ascii="宋体" w:hAnsi="宋体"/>
                <w:color w:val="auto"/>
                <w:szCs w:val="21"/>
                <w:highlight w:val="none"/>
              </w:rPr>
            </w:pPr>
            <w:r>
              <w:rPr>
                <w:rFonts w:ascii="宋体" w:hAnsi="宋体"/>
                <w:color w:val="auto"/>
                <w:szCs w:val="21"/>
                <w:highlight w:val="none"/>
              </w:rPr>
              <w:t>3.3.1</w:t>
            </w:r>
          </w:p>
        </w:tc>
        <w:tc>
          <w:tcPr>
            <w:tcW w:w="2566" w:type="dxa"/>
            <w:tcBorders>
              <w:top w:val="single" w:color="auto" w:sz="4" w:space="0"/>
              <w:left w:val="single" w:color="auto" w:sz="4" w:space="0"/>
              <w:bottom w:val="single" w:color="auto" w:sz="4" w:space="0"/>
              <w:right w:val="single" w:color="auto" w:sz="4" w:space="0"/>
            </w:tcBorders>
            <w:vAlign w:val="center"/>
          </w:tcPr>
          <w:p w14:paraId="17E4E930">
            <w:pPr>
              <w:spacing w:line="360" w:lineRule="auto"/>
              <w:rPr>
                <w:rFonts w:hint="eastAsia" w:ascii="宋体" w:hAnsi="宋体"/>
                <w:color w:val="auto"/>
                <w:szCs w:val="21"/>
                <w:highlight w:val="none"/>
              </w:rPr>
            </w:pPr>
            <w:r>
              <w:rPr>
                <w:rFonts w:hint="eastAsia" w:ascii="宋体" w:hAnsi="宋体"/>
                <w:color w:val="auto"/>
                <w:szCs w:val="21"/>
                <w:highlight w:val="none"/>
              </w:rPr>
              <w:t>投标有效期</w:t>
            </w:r>
          </w:p>
        </w:tc>
        <w:tc>
          <w:tcPr>
            <w:tcW w:w="5938" w:type="dxa"/>
            <w:tcBorders>
              <w:top w:val="single" w:color="auto" w:sz="4" w:space="0"/>
              <w:left w:val="single" w:color="auto" w:sz="4" w:space="0"/>
              <w:bottom w:val="single" w:color="auto" w:sz="4" w:space="0"/>
              <w:right w:val="single" w:color="auto" w:sz="4" w:space="0"/>
            </w:tcBorders>
            <w:vAlign w:val="center"/>
          </w:tcPr>
          <w:p w14:paraId="411DFD8C">
            <w:pPr>
              <w:spacing w:line="360" w:lineRule="auto"/>
              <w:rPr>
                <w:rFonts w:hint="eastAsia" w:ascii="宋体" w:hAnsi="宋体"/>
                <w:color w:val="auto"/>
                <w:szCs w:val="21"/>
                <w:highlight w:val="none"/>
              </w:rPr>
            </w:pPr>
            <w:r>
              <w:rPr>
                <w:rFonts w:ascii="宋体" w:hAnsi="宋体"/>
                <w:color w:val="auto"/>
                <w:szCs w:val="21"/>
                <w:highlight w:val="none"/>
              </w:rPr>
              <w:t>180</w:t>
            </w:r>
            <w:r>
              <w:rPr>
                <w:rFonts w:hint="eastAsia" w:ascii="宋体" w:hAnsi="宋体"/>
                <w:color w:val="auto"/>
                <w:szCs w:val="21"/>
                <w:highlight w:val="none"/>
              </w:rPr>
              <w:t>日历天（从投标截止之日算起）</w:t>
            </w:r>
          </w:p>
        </w:tc>
      </w:tr>
      <w:tr w14:paraId="074C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23365EF2">
            <w:pPr>
              <w:spacing w:line="360" w:lineRule="auto"/>
              <w:jc w:val="center"/>
              <w:rPr>
                <w:rFonts w:hint="eastAsia" w:ascii="宋体" w:hAnsi="宋体"/>
                <w:color w:val="auto"/>
                <w:szCs w:val="21"/>
                <w:highlight w:val="none"/>
              </w:rPr>
            </w:pPr>
            <w:r>
              <w:rPr>
                <w:rFonts w:ascii="宋体" w:hAnsi="宋体"/>
                <w:color w:val="auto"/>
                <w:szCs w:val="21"/>
                <w:highlight w:val="none"/>
              </w:rPr>
              <w:t>3.4.1</w:t>
            </w:r>
          </w:p>
        </w:tc>
        <w:tc>
          <w:tcPr>
            <w:tcW w:w="2566" w:type="dxa"/>
            <w:tcBorders>
              <w:top w:val="single" w:color="auto" w:sz="4" w:space="0"/>
              <w:left w:val="single" w:color="auto" w:sz="4" w:space="0"/>
              <w:bottom w:val="single" w:color="auto" w:sz="4" w:space="0"/>
              <w:right w:val="single" w:color="auto" w:sz="4" w:space="0"/>
            </w:tcBorders>
            <w:vAlign w:val="center"/>
          </w:tcPr>
          <w:p w14:paraId="59DBF65C">
            <w:pPr>
              <w:spacing w:line="360" w:lineRule="auto"/>
              <w:rPr>
                <w:rFonts w:hint="eastAsia" w:ascii="宋体" w:hAnsi="宋体"/>
                <w:color w:val="auto"/>
                <w:szCs w:val="21"/>
                <w:highlight w:val="none"/>
              </w:rPr>
            </w:pPr>
            <w:r>
              <w:rPr>
                <w:rFonts w:hint="eastAsia" w:ascii="宋体" w:hAnsi="宋体"/>
                <w:color w:val="auto"/>
                <w:szCs w:val="21"/>
                <w:highlight w:val="none"/>
              </w:rPr>
              <w:t>投标保证金</w:t>
            </w:r>
          </w:p>
        </w:tc>
        <w:tc>
          <w:tcPr>
            <w:tcW w:w="5938" w:type="dxa"/>
            <w:tcBorders>
              <w:top w:val="single" w:color="auto" w:sz="4" w:space="0"/>
              <w:left w:val="single" w:color="auto" w:sz="4" w:space="0"/>
              <w:bottom w:val="single" w:color="auto" w:sz="4" w:space="0"/>
              <w:right w:val="single" w:color="auto" w:sz="4" w:space="0"/>
            </w:tcBorders>
            <w:vAlign w:val="center"/>
          </w:tcPr>
          <w:p w14:paraId="7DF206AA">
            <w:pPr>
              <w:rPr>
                <w:rFonts w:hint="eastAsia" w:ascii="宋体" w:hAnsi="宋体" w:cs="宋体"/>
                <w:color w:val="auto"/>
                <w:szCs w:val="21"/>
                <w:highlight w:val="none"/>
              </w:rPr>
            </w:pPr>
            <w:r>
              <w:rPr>
                <w:rFonts w:hint="eastAsia" w:ascii="宋体" w:hAnsi="宋体" w:cs="宋体"/>
                <w:color w:val="auto"/>
                <w:szCs w:val="21"/>
                <w:highlight w:val="none"/>
              </w:rPr>
              <w:t>是否要求投标人递交投标保证金：</w:t>
            </w:r>
          </w:p>
          <w:p w14:paraId="2BBB6D12">
            <w:pPr>
              <w:rPr>
                <w:rFonts w:hint="eastAsia" w:ascii="宋体" w:hAnsi="宋体" w:cs="宋体"/>
                <w:color w:val="auto"/>
                <w:szCs w:val="21"/>
                <w:highlight w:val="none"/>
              </w:rPr>
            </w:pPr>
            <w:r>
              <w:rPr>
                <w:rFonts w:hint="eastAsia" w:ascii="宋体" w:hAnsi="宋体" w:cs="宋体"/>
                <w:color w:val="auto"/>
                <w:szCs w:val="21"/>
                <w:highlight w:val="none"/>
              </w:rPr>
              <w:sym w:font="Wingdings 2" w:char="F052"/>
            </w:r>
            <w:r>
              <w:rPr>
                <w:rFonts w:hint="eastAsia" w:ascii="宋体" w:hAnsi="宋体" w:cs="宋体"/>
                <w:color w:val="auto"/>
                <w:szCs w:val="21"/>
                <w:highlight w:val="none"/>
              </w:rPr>
              <w:t>要求，</w:t>
            </w:r>
          </w:p>
          <w:p w14:paraId="6DC3AAD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1.投标保证金的形式：转账、银行支票、电汇、纸质投标保函或担保、电子投标保函、投标保证保险（以电汇或支票形式提交的投标保证金应当从其银行基本账户转出）</w:t>
            </w:r>
          </w:p>
          <w:p w14:paraId="24E0762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2.投标保证金的金额：5万元整</w:t>
            </w:r>
          </w:p>
          <w:p w14:paraId="2F00F67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3.投标保证金必须在投标截止时间前到达，投标保证金的缴纳方式具体如下：</w:t>
            </w:r>
          </w:p>
          <w:p w14:paraId="0294554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1、采用转账或电汇、支票形式递交：</w:t>
            </w:r>
          </w:p>
          <w:p w14:paraId="40FF999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（1）投标保证金缴纳账户：</w:t>
            </w:r>
          </w:p>
          <w:p w14:paraId="451FCBE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户名：广州交易集团有限公司</w:t>
            </w:r>
          </w:p>
          <w:p w14:paraId="2BB78E7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开户银行：中国建设银行广州天润路支行</w:t>
            </w:r>
          </w:p>
          <w:p w14:paraId="25ED244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银行账号：44001583404059333333</w:t>
            </w:r>
          </w:p>
          <w:p w14:paraId="70C5EC1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咨询电话：020-28866000</w:t>
            </w:r>
          </w:p>
          <w:p w14:paraId="0B04AB1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（2）投标保证金的缴纳分两个步骤进行：</w:t>
            </w:r>
          </w:p>
          <w:p w14:paraId="6DF292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1）投标人应从其基本账户将保证金按次汇入该账户。投标人可登陆交易中心网站查询汇款到账情况。</w:t>
            </w:r>
          </w:p>
          <w:p w14:paraId="59704C5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2）款项到账后，投标人在完成投标登记后至开标前，可登陆交易中心网站，将上述到账资金转到对应的投标项目，完成保证金缴纳。</w:t>
            </w:r>
          </w:p>
          <w:p w14:paraId="1EF4DD2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注：请投标人于开标前预留充裕时间向</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缴纳本次投标保证金以确保投标保证金缴纳成功。</w:t>
            </w:r>
          </w:p>
          <w:p w14:paraId="567F9B4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（3）招标人委托</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具体实施保证金的收取和退还工作。缴款情况以</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数据库记录的信息为准。</w:t>
            </w:r>
          </w:p>
          <w:p w14:paraId="7A668CF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2、投标保证保险的形式递交：</w:t>
            </w:r>
          </w:p>
          <w:p w14:paraId="60443EA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须在投标截止前单独密封递交至开标室，其复印件需附在投标文件中。</w:t>
            </w:r>
          </w:p>
          <w:p w14:paraId="43481B4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3、采用纸质版投标保函递交的，应符合下列规定：</w:t>
            </w:r>
          </w:p>
          <w:p w14:paraId="4C80C8B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a.采用招标文件提供的格式（保函格式）或招标人接受的其它格式出具的银行保函；</w:t>
            </w:r>
          </w:p>
          <w:p w14:paraId="50957AE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b.由招标人接受的银行（中国境内的银行或在中国境内注册的外国银行）开具；</w:t>
            </w:r>
          </w:p>
          <w:p w14:paraId="142343C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c.银行保函有效期与投标文件的有效期一致；</w:t>
            </w:r>
          </w:p>
          <w:p w14:paraId="00C4C3F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d.银行保函原件可在投标截止时间前单独密封递交至开标室，其复印件需附在投标文件中。（原件不要求在开标时递交，但最晚递交时间应在中标候选人公示前将原件递交到招标代理处）</w:t>
            </w:r>
          </w:p>
          <w:p w14:paraId="65333FD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4、采用电子投标保函递交的，应在投标截止时间前按</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的相关指引进行操作，完成电子投标保函的递交。（电子投标保函递交情况以</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数据库记录的信息为准。）</w:t>
            </w:r>
          </w:p>
          <w:p w14:paraId="5F99C8C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□不要求</w:t>
            </w:r>
          </w:p>
        </w:tc>
      </w:tr>
      <w:tr w14:paraId="6359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23826D23">
            <w:pPr>
              <w:spacing w:line="360" w:lineRule="auto"/>
              <w:jc w:val="center"/>
              <w:rPr>
                <w:rFonts w:hint="eastAsia" w:ascii="宋体" w:hAnsi="宋体"/>
                <w:color w:val="auto"/>
                <w:szCs w:val="21"/>
                <w:highlight w:val="none"/>
              </w:rPr>
            </w:pPr>
            <w:r>
              <w:rPr>
                <w:rFonts w:ascii="宋体" w:hAnsi="宋体"/>
                <w:color w:val="auto"/>
                <w:szCs w:val="21"/>
                <w:highlight w:val="none"/>
              </w:rPr>
              <w:t>3.4.4</w:t>
            </w:r>
          </w:p>
        </w:tc>
        <w:tc>
          <w:tcPr>
            <w:tcW w:w="2566" w:type="dxa"/>
            <w:tcBorders>
              <w:top w:val="single" w:color="auto" w:sz="4" w:space="0"/>
              <w:left w:val="single" w:color="auto" w:sz="4" w:space="0"/>
              <w:bottom w:val="single" w:color="auto" w:sz="4" w:space="0"/>
              <w:right w:val="single" w:color="auto" w:sz="4" w:space="0"/>
            </w:tcBorders>
            <w:vAlign w:val="center"/>
          </w:tcPr>
          <w:p w14:paraId="5048C784">
            <w:pPr>
              <w:spacing w:line="360" w:lineRule="auto"/>
              <w:rPr>
                <w:rFonts w:hint="eastAsia" w:ascii="宋体" w:hAnsi="宋体"/>
                <w:color w:val="auto"/>
                <w:szCs w:val="21"/>
                <w:highlight w:val="none"/>
              </w:rPr>
            </w:pPr>
            <w:r>
              <w:rPr>
                <w:rFonts w:hint="eastAsia" w:ascii="宋体" w:hAnsi="宋体"/>
                <w:color w:val="auto"/>
                <w:szCs w:val="21"/>
                <w:highlight w:val="none"/>
              </w:rPr>
              <w:t>其他可以不予退还投标保证金的情形</w:t>
            </w:r>
          </w:p>
        </w:tc>
        <w:tc>
          <w:tcPr>
            <w:tcW w:w="5938" w:type="dxa"/>
            <w:tcBorders>
              <w:top w:val="single" w:color="auto" w:sz="4" w:space="0"/>
              <w:left w:val="single" w:color="auto" w:sz="4" w:space="0"/>
              <w:bottom w:val="single" w:color="auto" w:sz="4" w:space="0"/>
              <w:right w:val="single" w:color="auto" w:sz="4" w:space="0"/>
            </w:tcBorders>
            <w:vAlign w:val="center"/>
          </w:tcPr>
          <w:p w14:paraId="2530425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）经查实投标人投标文件弄虚作假的。</w:t>
            </w:r>
          </w:p>
          <w:p w14:paraId="16A489A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）如果中标人不遵守本须知7.6款或7.7款的规定，招标人将有充分的理由废除授标，并不退还其投标保证金。</w:t>
            </w:r>
          </w:p>
        </w:tc>
      </w:tr>
      <w:tr w14:paraId="1900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610D723B">
            <w:pPr>
              <w:spacing w:line="360" w:lineRule="auto"/>
              <w:jc w:val="center"/>
              <w:rPr>
                <w:rFonts w:hint="eastAsia" w:ascii="宋体" w:hAnsi="宋体"/>
                <w:color w:val="auto"/>
                <w:szCs w:val="21"/>
                <w:highlight w:val="none"/>
              </w:rPr>
            </w:pPr>
            <w:r>
              <w:rPr>
                <w:rFonts w:ascii="宋体" w:hAnsi="宋体"/>
                <w:color w:val="auto"/>
                <w:szCs w:val="21"/>
                <w:highlight w:val="none"/>
              </w:rPr>
              <w:t>3.5</w:t>
            </w:r>
            <w:r>
              <w:rPr>
                <w:rFonts w:hint="eastAsia" w:ascii="宋体" w:hAnsi="宋体"/>
                <w:color w:val="auto"/>
                <w:szCs w:val="21"/>
                <w:highlight w:val="none"/>
              </w:rPr>
              <w:t>.1</w:t>
            </w:r>
          </w:p>
        </w:tc>
        <w:tc>
          <w:tcPr>
            <w:tcW w:w="2566" w:type="dxa"/>
            <w:tcBorders>
              <w:top w:val="single" w:color="auto" w:sz="4" w:space="0"/>
              <w:left w:val="single" w:color="auto" w:sz="4" w:space="0"/>
              <w:bottom w:val="single" w:color="auto" w:sz="4" w:space="0"/>
              <w:right w:val="single" w:color="auto" w:sz="4" w:space="0"/>
            </w:tcBorders>
            <w:vAlign w:val="center"/>
          </w:tcPr>
          <w:p w14:paraId="77E3C40F">
            <w:pPr>
              <w:spacing w:line="360" w:lineRule="auto"/>
              <w:rPr>
                <w:rFonts w:hint="eastAsia" w:ascii="宋体" w:hAnsi="宋体"/>
                <w:color w:val="auto"/>
                <w:szCs w:val="21"/>
                <w:highlight w:val="none"/>
              </w:rPr>
            </w:pPr>
            <w:r>
              <w:rPr>
                <w:rFonts w:hint="eastAsia" w:ascii="宋体" w:hAnsi="宋体"/>
                <w:color w:val="auto"/>
                <w:szCs w:val="21"/>
                <w:highlight w:val="none"/>
              </w:rPr>
              <w:t>资格审查资料的特殊要求</w:t>
            </w:r>
          </w:p>
        </w:tc>
        <w:tc>
          <w:tcPr>
            <w:tcW w:w="5938" w:type="dxa"/>
            <w:tcBorders>
              <w:top w:val="single" w:color="auto" w:sz="4" w:space="0"/>
              <w:left w:val="single" w:color="auto" w:sz="4" w:space="0"/>
              <w:bottom w:val="single" w:color="auto" w:sz="4" w:space="0"/>
              <w:right w:val="single" w:color="auto" w:sz="4" w:space="0"/>
            </w:tcBorders>
            <w:vAlign w:val="center"/>
          </w:tcPr>
          <w:p w14:paraId="2DB6267B">
            <w:pPr>
              <w:widowControl/>
              <w:spacing w:line="360" w:lineRule="auto"/>
              <w:jc w:val="left"/>
              <w:rPr>
                <w:rFonts w:hint="eastAsia"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无</w:t>
            </w:r>
          </w:p>
          <w:p w14:paraId="6F078B8E">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有，具体要求：</w:t>
            </w:r>
          </w:p>
        </w:tc>
      </w:tr>
      <w:tr w14:paraId="4D7E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398ED5A9">
            <w:pPr>
              <w:spacing w:line="360" w:lineRule="auto"/>
              <w:jc w:val="center"/>
              <w:rPr>
                <w:rFonts w:hint="eastAsia" w:ascii="宋体" w:hAnsi="宋体"/>
                <w:color w:val="auto"/>
                <w:szCs w:val="21"/>
                <w:highlight w:val="none"/>
              </w:rPr>
            </w:pPr>
            <w:r>
              <w:rPr>
                <w:rFonts w:ascii="宋体" w:hAnsi="宋体"/>
                <w:color w:val="auto"/>
                <w:szCs w:val="21"/>
                <w:highlight w:val="none"/>
              </w:rPr>
              <w:t>3.5.2</w:t>
            </w:r>
          </w:p>
        </w:tc>
        <w:tc>
          <w:tcPr>
            <w:tcW w:w="2566" w:type="dxa"/>
            <w:tcBorders>
              <w:top w:val="single" w:color="auto" w:sz="4" w:space="0"/>
              <w:left w:val="single" w:color="auto" w:sz="4" w:space="0"/>
              <w:bottom w:val="single" w:color="auto" w:sz="4" w:space="0"/>
              <w:right w:val="single" w:color="auto" w:sz="4" w:space="0"/>
            </w:tcBorders>
            <w:vAlign w:val="center"/>
          </w:tcPr>
          <w:p w14:paraId="5D708DF4">
            <w:pPr>
              <w:spacing w:line="360" w:lineRule="auto"/>
              <w:rPr>
                <w:rFonts w:hint="eastAsia" w:ascii="宋体" w:hAnsi="宋体"/>
                <w:color w:val="auto"/>
                <w:szCs w:val="21"/>
                <w:highlight w:val="none"/>
              </w:rPr>
            </w:pPr>
            <w:r>
              <w:rPr>
                <w:rFonts w:hint="eastAsia" w:ascii="宋体" w:hAnsi="宋体"/>
                <w:color w:val="auto"/>
                <w:szCs w:val="21"/>
                <w:highlight w:val="none"/>
              </w:rPr>
              <w:t>近年财务状况的年份要求</w:t>
            </w:r>
          </w:p>
        </w:tc>
        <w:tc>
          <w:tcPr>
            <w:tcW w:w="5938" w:type="dxa"/>
            <w:tcBorders>
              <w:top w:val="single" w:color="auto" w:sz="4" w:space="0"/>
              <w:left w:val="single" w:color="auto" w:sz="4" w:space="0"/>
              <w:bottom w:val="single" w:color="auto" w:sz="4" w:space="0"/>
              <w:right w:val="single" w:color="auto" w:sz="4" w:space="0"/>
            </w:tcBorders>
            <w:vAlign w:val="center"/>
          </w:tcPr>
          <w:p w14:paraId="185716CA">
            <w:pPr>
              <w:spacing w:line="360" w:lineRule="auto"/>
              <w:rPr>
                <w:rFonts w:hint="eastAsia" w:ascii="宋体" w:hAnsi="宋体"/>
                <w:strike/>
                <w:color w:val="auto"/>
                <w:szCs w:val="21"/>
                <w:highlight w:val="none"/>
              </w:rPr>
            </w:pPr>
            <w:r>
              <w:rPr>
                <w:rFonts w:hint="eastAsia" w:ascii="宋体" w:hAnsi="宋体"/>
                <w:color w:val="auto"/>
                <w:szCs w:val="21"/>
                <w:highlight w:val="none"/>
              </w:rPr>
              <w:t>/</w:t>
            </w:r>
          </w:p>
        </w:tc>
      </w:tr>
      <w:tr w14:paraId="36DD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5260C3CE">
            <w:pPr>
              <w:spacing w:line="360" w:lineRule="auto"/>
              <w:jc w:val="center"/>
              <w:rPr>
                <w:rFonts w:hint="eastAsia" w:ascii="宋体" w:hAnsi="宋体"/>
                <w:color w:val="auto"/>
                <w:szCs w:val="21"/>
                <w:highlight w:val="none"/>
              </w:rPr>
            </w:pPr>
            <w:r>
              <w:rPr>
                <w:rFonts w:ascii="宋体" w:hAnsi="宋体"/>
                <w:color w:val="auto"/>
                <w:szCs w:val="21"/>
                <w:highlight w:val="none"/>
              </w:rPr>
              <w:t>3.5.3</w:t>
            </w:r>
          </w:p>
        </w:tc>
        <w:tc>
          <w:tcPr>
            <w:tcW w:w="2566" w:type="dxa"/>
            <w:tcBorders>
              <w:top w:val="single" w:color="auto" w:sz="4" w:space="0"/>
              <w:left w:val="single" w:color="auto" w:sz="4" w:space="0"/>
              <w:bottom w:val="single" w:color="auto" w:sz="4" w:space="0"/>
              <w:right w:val="single" w:color="auto" w:sz="4" w:space="0"/>
            </w:tcBorders>
            <w:vAlign w:val="center"/>
          </w:tcPr>
          <w:p w14:paraId="7373BBCE">
            <w:pPr>
              <w:spacing w:line="360" w:lineRule="auto"/>
              <w:rPr>
                <w:rFonts w:hint="eastAsia" w:ascii="宋体" w:hAnsi="宋体"/>
                <w:color w:val="auto"/>
                <w:szCs w:val="21"/>
                <w:highlight w:val="none"/>
              </w:rPr>
            </w:pPr>
            <w:r>
              <w:rPr>
                <w:rFonts w:hint="eastAsia" w:ascii="宋体" w:hAnsi="宋体"/>
                <w:color w:val="auto"/>
                <w:szCs w:val="21"/>
                <w:highlight w:val="none"/>
              </w:rPr>
              <w:t>近年完成的类似项目情况的时间要求</w:t>
            </w:r>
          </w:p>
        </w:tc>
        <w:tc>
          <w:tcPr>
            <w:tcW w:w="5938" w:type="dxa"/>
            <w:tcBorders>
              <w:top w:val="single" w:color="auto" w:sz="4" w:space="0"/>
              <w:left w:val="single" w:color="auto" w:sz="4" w:space="0"/>
              <w:bottom w:val="single" w:color="auto" w:sz="4" w:space="0"/>
              <w:right w:val="single" w:color="auto" w:sz="4" w:space="0"/>
            </w:tcBorders>
            <w:vAlign w:val="center"/>
          </w:tcPr>
          <w:p w14:paraId="2F6EA10C">
            <w:pPr>
              <w:spacing w:line="360" w:lineRule="auto"/>
              <w:rPr>
                <w:rFonts w:hint="eastAsia" w:ascii="宋体" w:hAnsi="宋体"/>
                <w:color w:val="auto"/>
                <w:szCs w:val="21"/>
                <w:highlight w:val="none"/>
              </w:rPr>
            </w:pPr>
            <w:r>
              <w:rPr>
                <w:rFonts w:hint="eastAsia" w:ascii="宋体" w:hAnsi="宋体"/>
                <w:color w:val="auto"/>
                <w:szCs w:val="21"/>
                <w:highlight w:val="none"/>
              </w:rPr>
              <w:t>/</w:t>
            </w:r>
          </w:p>
        </w:tc>
      </w:tr>
      <w:tr w14:paraId="6248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2609B39B">
            <w:pPr>
              <w:spacing w:line="360" w:lineRule="auto"/>
              <w:jc w:val="center"/>
              <w:rPr>
                <w:rFonts w:hint="eastAsia" w:ascii="宋体" w:hAnsi="宋体"/>
                <w:color w:val="auto"/>
                <w:szCs w:val="21"/>
                <w:highlight w:val="none"/>
              </w:rPr>
            </w:pPr>
            <w:r>
              <w:rPr>
                <w:rFonts w:ascii="宋体" w:hAnsi="宋体"/>
                <w:color w:val="auto"/>
                <w:szCs w:val="21"/>
                <w:highlight w:val="none"/>
              </w:rPr>
              <w:t>3.5.5</w:t>
            </w:r>
          </w:p>
        </w:tc>
        <w:tc>
          <w:tcPr>
            <w:tcW w:w="2566" w:type="dxa"/>
            <w:tcBorders>
              <w:top w:val="single" w:color="auto" w:sz="4" w:space="0"/>
              <w:left w:val="single" w:color="auto" w:sz="4" w:space="0"/>
              <w:bottom w:val="single" w:color="auto" w:sz="4" w:space="0"/>
              <w:right w:val="single" w:color="auto" w:sz="4" w:space="0"/>
            </w:tcBorders>
            <w:vAlign w:val="center"/>
          </w:tcPr>
          <w:p w14:paraId="7BCF70BC">
            <w:pPr>
              <w:spacing w:line="360" w:lineRule="auto"/>
              <w:rPr>
                <w:rFonts w:hint="eastAsia" w:ascii="宋体" w:hAnsi="宋体"/>
                <w:color w:val="auto"/>
                <w:szCs w:val="21"/>
                <w:highlight w:val="none"/>
              </w:rPr>
            </w:pPr>
            <w:r>
              <w:rPr>
                <w:rFonts w:hint="eastAsia" w:ascii="宋体" w:hAnsi="宋体"/>
                <w:color w:val="auto"/>
                <w:szCs w:val="21"/>
                <w:highlight w:val="none"/>
              </w:rPr>
              <w:t>近年发生的诉讼及仲裁情况的时间要求</w:t>
            </w:r>
          </w:p>
        </w:tc>
        <w:tc>
          <w:tcPr>
            <w:tcW w:w="5938" w:type="dxa"/>
            <w:tcBorders>
              <w:top w:val="single" w:color="auto" w:sz="4" w:space="0"/>
              <w:left w:val="single" w:color="auto" w:sz="4" w:space="0"/>
              <w:bottom w:val="single" w:color="auto" w:sz="4" w:space="0"/>
              <w:right w:val="single" w:color="auto" w:sz="4" w:space="0"/>
            </w:tcBorders>
            <w:vAlign w:val="center"/>
          </w:tcPr>
          <w:p w14:paraId="69900CC3">
            <w:pPr>
              <w:spacing w:line="360" w:lineRule="auto"/>
              <w:rPr>
                <w:rFonts w:hint="eastAsia" w:ascii="宋体" w:hAnsi="宋体"/>
                <w:color w:val="auto"/>
                <w:szCs w:val="21"/>
                <w:highlight w:val="none"/>
              </w:rPr>
            </w:pPr>
            <w:r>
              <w:rPr>
                <w:rFonts w:hint="eastAsia" w:ascii="宋体" w:hAnsi="宋体"/>
                <w:color w:val="auto"/>
                <w:szCs w:val="21"/>
                <w:highlight w:val="none"/>
              </w:rPr>
              <w:t>/</w:t>
            </w:r>
          </w:p>
        </w:tc>
      </w:tr>
      <w:tr w14:paraId="4948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7258ED35">
            <w:pPr>
              <w:spacing w:line="360" w:lineRule="auto"/>
              <w:jc w:val="center"/>
              <w:rPr>
                <w:rFonts w:hint="eastAsia" w:ascii="宋体" w:hAnsi="宋体"/>
                <w:color w:val="auto"/>
                <w:szCs w:val="21"/>
                <w:highlight w:val="none"/>
              </w:rPr>
            </w:pPr>
            <w:r>
              <w:rPr>
                <w:rFonts w:ascii="宋体" w:hAnsi="宋体"/>
                <w:color w:val="auto"/>
                <w:szCs w:val="21"/>
                <w:highlight w:val="none"/>
              </w:rPr>
              <w:t>3.6.1</w:t>
            </w:r>
          </w:p>
        </w:tc>
        <w:tc>
          <w:tcPr>
            <w:tcW w:w="2566" w:type="dxa"/>
            <w:tcBorders>
              <w:top w:val="single" w:color="auto" w:sz="4" w:space="0"/>
              <w:left w:val="single" w:color="auto" w:sz="4" w:space="0"/>
              <w:bottom w:val="single" w:color="auto" w:sz="4" w:space="0"/>
              <w:right w:val="single" w:color="auto" w:sz="4" w:space="0"/>
            </w:tcBorders>
            <w:vAlign w:val="center"/>
          </w:tcPr>
          <w:p w14:paraId="29F051C3">
            <w:pPr>
              <w:spacing w:line="360" w:lineRule="auto"/>
              <w:rPr>
                <w:rFonts w:hint="eastAsia" w:ascii="宋体" w:hAnsi="宋体"/>
                <w:color w:val="auto"/>
                <w:szCs w:val="21"/>
                <w:highlight w:val="none"/>
              </w:rPr>
            </w:pPr>
            <w:r>
              <w:rPr>
                <w:rFonts w:hint="eastAsia" w:ascii="宋体" w:hAnsi="宋体"/>
                <w:color w:val="auto"/>
                <w:szCs w:val="21"/>
                <w:highlight w:val="none"/>
              </w:rPr>
              <w:t>是否允许递交备选投标方案</w:t>
            </w:r>
          </w:p>
        </w:tc>
        <w:tc>
          <w:tcPr>
            <w:tcW w:w="5938" w:type="dxa"/>
            <w:tcBorders>
              <w:top w:val="single" w:color="auto" w:sz="4" w:space="0"/>
              <w:left w:val="single" w:color="auto" w:sz="4" w:space="0"/>
              <w:bottom w:val="single" w:color="auto" w:sz="4" w:space="0"/>
              <w:right w:val="single" w:color="auto" w:sz="4" w:space="0"/>
            </w:tcBorders>
            <w:vAlign w:val="center"/>
          </w:tcPr>
          <w:p w14:paraId="75487E9A">
            <w:pPr>
              <w:spacing w:line="360" w:lineRule="auto"/>
              <w:rPr>
                <w:rFonts w:hint="eastAsia" w:ascii="宋体" w:hAnsi="宋体"/>
                <w:color w:val="auto"/>
                <w:szCs w:val="21"/>
                <w:highlight w:val="none"/>
              </w:rPr>
            </w:pPr>
            <w:r>
              <w:rPr>
                <w:rFonts w:hint="eastAsia" w:ascii="宋体" w:hAnsi="宋体" w:cs="宋体"/>
                <w:color w:val="auto"/>
                <w:spacing w:val="-2"/>
                <w:position w:val="1"/>
                <w:szCs w:val="21"/>
                <w:highlight w:val="none"/>
                <w:bdr w:val="single" w:color="auto" w:sz="4" w:space="0"/>
              </w:rPr>
              <w:t>√</w:t>
            </w:r>
            <w:r>
              <w:rPr>
                <w:rFonts w:ascii="宋体" w:hAnsi="宋体"/>
                <w:color w:val="auto"/>
                <w:szCs w:val="21"/>
                <w:highlight w:val="none"/>
              </w:rPr>
              <w:t>不允许</w:t>
            </w:r>
          </w:p>
          <w:p w14:paraId="3435BEC9">
            <w:pPr>
              <w:spacing w:line="360" w:lineRule="auto"/>
              <w:rPr>
                <w:rFonts w:hint="eastAsia" w:ascii="宋体" w:hAnsi="宋体"/>
                <w:color w:val="auto"/>
                <w:szCs w:val="21"/>
                <w:highlight w:val="none"/>
              </w:rPr>
            </w:pPr>
            <w:r>
              <w:rPr>
                <w:rFonts w:ascii="宋体" w:hAnsi="宋体"/>
                <w:color w:val="auto"/>
                <w:szCs w:val="21"/>
                <w:highlight w:val="none"/>
              </w:rPr>
              <w:t>□允许</w:t>
            </w:r>
          </w:p>
        </w:tc>
      </w:tr>
      <w:tr w14:paraId="2778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17CFB396">
            <w:pPr>
              <w:spacing w:line="360" w:lineRule="auto"/>
              <w:jc w:val="center"/>
              <w:rPr>
                <w:rFonts w:hint="eastAsia" w:ascii="宋体" w:hAnsi="宋体"/>
                <w:color w:val="auto"/>
                <w:szCs w:val="21"/>
                <w:highlight w:val="none"/>
              </w:rPr>
            </w:pPr>
            <w:r>
              <w:rPr>
                <w:rFonts w:ascii="宋体" w:hAnsi="宋体"/>
                <w:color w:val="auto"/>
                <w:szCs w:val="21"/>
                <w:highlight w:val="none"/>
              </w:rPr>
              <w:t>3.7.3</w:t>
            </w:r>
            <w:r>
              <w:rPr>
                <w:rFonts w:hint="eastAsia" w:ascii="宋体" w:hAnsi="宋体"/>
                <w:color w:val="auto"/>
                <w:szCs w:val="21"/>
                <w:highlight w:val="none"/>
              </w:rPr>
              <w:t>（</w:t>
            </w:r>
            <w:r>
              <w:rPr>
                <w:rFonts w:ascii="宋体" w:hAnsi="宋体"/>
                <w:color w:val="auto"/>
                <w:szCs w:val="21"/>
                <w:highlight w:val="none"/>
              </w:rPr>
              <w:t>B</w:t>
            </w:r>
            <w:r>
              <w:rPr>
                <w:rFonts w:hint="eastAsia" w:ascii="宋体" w:hAnsi="宋体"/>
                <w:color w:val="auto"/>
                <w:szCs w:val="21"/>
                <w:highlight w:val="none"/>
              </w:rPr>
              <w:t>）</w:t>
            </w:r>
          </w:p>
        </w:tc>
        <w:tc>
          <w:tcPr>
            <w:tcW w:w="2566" w:type="dxa"/>
            <w:tcBorders>
              <w:top w:val="single" w:color="auto" w:sz="4" w:space="0"/>
              <w:left w:val="single" w:color="auto" w:sz="4" w:space="0"/>
              <w:bottom w:val="single" w:color="auto" w:sz="4" w:space="0"/>
              <w:right w:val="single" w:color="auto" w:sz="4" w:space="0"/>
            </w:tcBorders>
            <w:vAlign w:val="center"/>
          </w:tcPr>
          <w:p w14:paraId="725042B9">
            <w:pPr>
              <w:spacing w:line="360" w:lineRule="auto"/>
              <w:jc w:val="center"/>
              <w:rPr>
                <w:rFonts w:hint="eastAsia" w:ascii="宋体" w:hAnsi="宋体"/>
                <w:color w:val="auto"/>
                <w:szCs w:val="21"/>
                <w:highlight w:val="none"/>
              </w:rPr>
            </w:pPr>
            <w:r>
              <w:rPr>
                <w:rFonts w:hint="eastAsia" w:ascii="宋体" w:hAnsi="宋体"/>
                <w:color w:val="auto"/>
                <w:szCs w:val="21"/>
                <w:highlight w:val="none"/>
              </w:rPr>
              <w:t>投标文件所附证书证件要求</w:t>
            </w:r>
          </w:p>
        </w:tc>
        <w:tc>
          <w:tcPr>
            <w:tcW w:w="5938" w:type="dxa"/>
            <w:tcBorders>
              <w:top w:val="single" w:color="auto" w:sz="4" w:space="0"/>
              <w:left w:val="single" w:color="auto" w:sz="4" w:space="0"/>
              <w:bottom w:val="single" w:color="auto" w:sz="4" w:space="0"/>
              <w:right w:val="single" w:color="auto" w:sz="4" w:space="0"/>
            </w:tcBorders>
            <w:vAlign w:val="center"/>
          </w:tcPr>
          <w:p w14:paraId="3DD22A57">
            <w:pPr>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投标文件所附证书证件要求：证书证件需为原件清晰扫描件，并采用单位数字证书，按照招标文件要求在相应位置用单位数字证书加盖电子印章。</w:t>
            </w:r>
          </w:p>
        </w:tc>
      </w:tr>
      <w:tr w14:paraId="7298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64BFFE25">
            <w:pPr>
              <w:spacing w:line="360" w:lineRule="auto"/>
              <w:jc w:val="center"/>
              <w:rPr>
                <w:rFonts w:hint="eastAsia" w:ascii="宋体" w:hAnsi="宋体"/>
                <w:color w:val="auto"/>
                <w:szCs w:val="21"/>
                <w:highlight w:val="none"/>
              </w:rPr>
            </w:pPr>
            <w:r>
              <w:rPr>
                <w:rFonts w:ascii="宋体" w:hAnsi="宋体"/>
                <w:color w:val="auto"/>
                <w:szCs w:val="21"/>
                <w:highlight w:val="none"/>
              </w:rPr>
              <w:t>3.7.3</w:t>
            </w:r>
            <w:r>
              <w:rPr>
                <w:rFonts w:hint="eastAsia" w:ascii="宋体" w:hAnsi="宋体"/>
                <w:color w:val="auto"/>
                <w:szCs w:val="21"/>
                <w:highlight w:val="none"/>
              </w:rPr>
              <w:t>（</w:t>
            </w:r>
            <w:r>
              <w:rPr>
                <w:rFonts w:ascii="宋体" w:hAnsi="宋体"/>
                <w:color w:val="auto"/>
                <w:szCs w:val="21"/>
                <w:highlight w:val="none"/>
              </w:rPr>
              <w:t>B</w:t>
            </w:r>
            <w:r>
              <w:rPr>
                <w:rFonts w:hint="eastAsia" w:ascii="宋体" w:hAnsi="宋体"/>
                <w:color w:val="auto"/>
                <w:szCs w:val="21"/>
                <w:highlight w:val="none"/>
              </w:rPr>
              <w:t>）</w:t>
            </w:r>
          </w:p>
        </w:tc>
        <w:tc>
          <w:tcPr>
            <w:tcW w:w="2566" w:type="dxa"/>
            <w:tcBorders>
              <w:top w:val="single" w:color="auto" w:sz="4" w:space="0"/>
              <w:left w:val="single" w:color="auto" w:sz="4" w:space="0"/>
              <w:bottom w:val="single" w:color="auto" w:sz="4" w:space="0"/>
              <w:right w:val="single" w:color="auto" w:sz="4" w:space="0"/>
            </w:tcBorders>
            <w:vAlign w:val="center"/>
          </w:tcPr>
          <w:p w14:paraId="108D12D0">
            <w:pPr>
              <w:spacing w:line="360" w:lineRule="auto"/>
              <w:jc w:val="center"/>
              <w:rPr>
                <w:rFonts w:hint="eastAsia" w:ascii="宋体" w:hAnsi="宋体"/>
                <w:color w:val="auto"/>
                <w:szCs w:val="21"/>
                <w:highlight w:val="none"/>
              </w:rPr>
            </w:pPr>
            <w:r>
              <w:rPr>
                <w:rFonts w:hint="eastAsia" w:ascii="宋体" w:hAnsi="宋体"/>
                <w:color w:val="auto"/>
                <w:szCs w:val="21"/>
                <w:highlight w:val="none"/>
              </w:rPr>
              <w:t>投标文件签字或盖章要求</w:t>
            </w:r>
          </w:p>
        </w:tc>
        <w:tc>
          <w:tcPr>
            <w:tcW w:w="5938" w:type="dxa"/>
            <w:tcBorders>
              <w:top w:val="single" w:color="auto" w:sz="4" w:space="0"/>
              <w:left w:val="single" w:color="auto" w:sz="4" w:space="0"/>
              <w:bottom w:val="single" w:color="auto" w:sz="4" w:space="0"/>
              <w:right w:val="single" w:color="auto" w:sz="4" w:space="0"/>
            </w:tcBorders>
            <w:vAlign w:val="center"/>
          </w:tcPr>
          <w:p w14:paraId="25D95BD0">
            <w:pPr>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投标文件全部采用电子文档，投标文件所附证书证件均为原件扫描件，并采用单位数字证书，按招标文件要求在相应位置用单位数字证书加盖电子印章。投标文件中需个人签字或盖章的，也可手签后扫描上传。具体操作详见</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网站发布的《房屋建筑和市政基础设施工程全流程电子化项目专章》。</w:t>
            </w:r>
          </w:p>
        </w:tc>
      </w:tr>
      <w:tr w14:paraId="102C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43D909C8">
            <w:pPr>
              <w:spacing w:line="360" w:lineRule="auto"/>
              <w:jc w:val="center"/>
              <w:rPr>
                <w:rFonts w:hint="eastAsia" w:ascii="宋体" w:hAnsi="宋体"/>
                <w:color w:val="auto"/>
                <w:szCs w:val="21"/>
                <w:highlight w:val="none"/>
              </w:rPr>
            </w:pPr>
            <w:r>
              <w:rPr>
                <w:rFonts w:ascii="宋体" w:hAnsi="宋体"/>
                <w:color w:val="auto"/>
                <w:szCs w:val="21"/>
                <w:highlight w:val="none"/>
              </w:rPr>
              <w:t>4.1.1</w:t>
            </w:r>
            <w:r>
              <w:rPr>
                <w:rFonts w:hint="eastAsia" w:ascii="宋体" w:hAnsi="宋体"/>
                <w:color w:val="auto"/>
                <w:szCs w:val="21"/>
                <w:highlight w:val="none"/>
              </w:rPr>
              <w:t>（</w:t>
            </w:r>
            <w:r>
              <w:rPr>
                <w:rFonts w:ascii="宋体" w:hAnsi="宋体"/>
                <w:color w:val="auto"/>
                <w:szCs w:val="21"/>
                <w:highlight w:val="none"/>
              </w:rPr>
              <w:t>B</w:t>
            </w:r>
            <w:r>
              <w:rPr>
                <w:rFonts w:hint="eastAsia" w:ascii="宋体" w:hAnsi="宋体"/>
                <w:color w:val="auto"/>
                <w:szCs w:val="21"/>
                <w:highlight w:val="none"/>
              </w:rPr>
              <w:t>）</w:t>
            </w:r>
          </w:p>
        </w:tc>
        <w:tc>
          <w:tcPr>
            <w:tcW w:w="2566" w:type="dxa"/>
            <w:tcBorders>
              <w:top w:val="single" w:color="auto" w:sz="4" w:space="0"/>
              <w:left w:val="single" w:color="auto" w:sz="4" w:space="0"/>
              <w:bottom w:val="single" w:color="auto" w:sz="4" w:space="0"/>
              <w:right w:val="single" w:color="auto" w:sz="4" w:space="0"/>
            </w:tcBorders>
            <w:vAlign w:val="center"/>
          </w:tcPr>
          <w:p w14:paraId="5E3BC393">
            <w:pPr>
              <w:spacing w:line="360" w:lineRule="auto"/>
              <w:rPr>
                <w:rFonts w:hint="eastAsia" w:ascii="宋体" w:hAnsi="宋体"/>
                <w:color w:val="auto"/>
                <w:szCs w:val="21"/>
                <w:highlight w:val="none"/>
              </w:rPr>
            </w:pPr>
            <w:r>
              <w:rPr>
                <w:rFonts w:hint="eastAsia" w:ascii="宋体" w:hAnsi="宋体"/>
                <w:color w:val="auto"/>
                <w:szCs w:val="21"/>
                <w:highlight w:val="none"/>
              </w:rPr>
              <w:t>投标文件加密要求</w:t>
            </w:r>
          </w:p>
        </w:tc>
        <w:tc>
          <w:tcPr>
            <w:tcW w:w="5938" w:type="dxa"/>
            <w:tcBorders>
              <w:top w:val="single" w:color="auto" w:sz="4" w:space="0"/>
              <w:left w:val="single" w:color="auto" w:sz="4" w:space="0"/>
              <w:bottom w:val="single" w:color="auto" w:sz="4" w:space="0"/>
              <w:right w:val="single" w:color="auto" w:sz="4" w:space="0"/>
            </w:tcBorders>
            <w:vAlign w:val="center"/>
          </w:tcPr>
          <w:p w14:paraId="23D6F666">
            <w:pPr>
              <w:spacing w:line="360" w:lineRule="auto"/>
              <w:jc w:val="left"/>
              <w:rPr>
                <w:rFonts w:hint="eastAsia" w:ascii="宋体" w:hAnsi="宋体" w:cs="宋体"/>
                <w:color w:val="auto"/>
                <w:szCs w:val="21"/>
                <w:highlight w:val="none"/>
              </w:rPr>
            </w:pPr>
            <w:r>
              <w:rPr>
                <w:rFonts w:ascii="宋体" w:hAnsi="宋体" w:cs="宋体"/>
                <w:color w:val="auto"/>
                <w:szCs w:val="21"/>
                <w:highlight w:val="none"/>
              </w:rPr>
              <w:t>1.网上递交的电子投标文件须进行加密。具体操作详见</w:t>
            </w:r>
            <w:r>
              <w:rPr>
                <w:rFonts w:hint="eastAsia" w:ascii="宋体" w:hAnsi="宋体" w:cs="宋体"/>
                <w:color w:val="auto"/>
                <w:szCs w:val="21"/>
                <w:highlight w:val="none"/>
                <w:lang w:eastAsia="zh-CN"/>
              </w:rPr>
              <w:t>广州交易集团有限公司（广州公共资源交易中心）</w:t>
            </w:r>
            <w:r>
              <w:rPr>
                <w:rFonts w:ascii="宋体" w:hAnsi="宋体" w:cs="宋体"/>
                <w:color w:val="auto"/>
                <w:szCs w:val="21"/>
                <w:highlight w:val="none"/>
              </w:rPr>
              <w:t>网站发布的《房屋建筑和市政基础设施工程全流程电子化项目专章》。</w:t>
            </w:r>
          </w:p>
          <w:p w14:paraId="119A472D">
            <w:pPr>
              <w:spacing w:line="360" w:lineRule="auto"/>
              <w:jc w:val="left"/>
              <w:rPr>
                <w:rFonts w:hint="eastAsia"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未按要求密封的投标文件，招标人将予以拒收。</w:t>
            </w:r>
          </w:p>
        </w:tc>
      </w:tr>
      <w:tr w14:paraId="12DA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079D7934">
            <w:pPr>
              <w:spacing w:line="360" w:lineRule="auto"/>
              <w:jc w:val="center"/>
              <w:rPr>
                <w:rFonts w:hint="eastAsia" w:ascii="宋体" w:hAnsi="宋体"/>
                <w:color w:val="auto"/>
                <w:szCs w:val="21"/>
                <w:highlight w:val="none"/>
              </w:rPr>
            </w:pPr>
            <w:r>
              <w:rPr>
                <w:rFonts w:ascii="宋体" w:hAnsi="宋体"/>
                <w:color w:val="auto"/>
                <w:szCs w:val="21"/>
                <w:highlight w:val="none"/>
              </w:rPr>
              <w:t>4.1.2</w:t>
            </w:r>
          </w:p>
        </w:tc>
        <w:tc>
          <w:tcPr>
            <w:tcW w:w="2566" w:type="dxa"/>
            <w:tcBorders>
              <w:top w:val="single" w:color="auto" w:sz="4" w:space="0"/>
              <w:left w:val="single" w:color="auto" w:sz="4" w:space="0"/>
              <w:bottom w:val="single" w:color="auto" w:sz="4" w:space="0"/>
              <w:right w:val="single" w:color="auto" w:sz="4" w:space="0"/>
            </w:tcBorders>
            <w:vAlign w:val="center"/>
          </w:tcPr>
          <w:p w14:paraId="02A2C849">
            <w:pPr>
              <w:spacing w:line="360" w:lineRule="auto"/>
              <w:rPr>
                <w:rFonts w:hint="eastAsia" w:ascii="宋体" w:hAnsi="宋体"/>
                <w:color w:val="auto"/>
                <w:szCs w:val="21"/>
                <w:highlight w:val="none"/>
              </w:rPr>
            </w:pPr>
            <w:r>
              <w:rPr>
                <w:rFonts w:hint="eastAsia" w:ascii="宋体" w:hAnsi="宋体"/>
                <w:color w:val="auto"/>
                <w:szCs w:val="21"/>
                <w:highlight w:val="none"/>
              </w:rPr>
              <w:t>封套上应载明的信息</w:t>
            </w:r>
          </w:p>
          <w:p w14:paraId="189F299E">
            <w:pPr>
              <w:spacing w:line="360" w:lineRule="auto"/>
              <w:rPr>
                <w:rFonts w:hint="eastAsia" w:ascii="宋体" w:hAnsi="宋体"/>
                <w:color w:val="auto"/>
                <w:szCs w:val="21"/>
                <w:highlight w:val="none"/>
              </w:rPr>
            </w:pPr>
            <w:r>
              <w:rPr>
                <w:rFonts w:hint="eastAsia" w:ascii="宋体" w:hAnsi="宋体"/>
                <w:color w:val="auto"/>
                <w:szCs w:val="21"/>
                <w:highlight w:val="none"/>
              </w:rPr>
              <w:t>（适用于提交备用光盘的情况）</w:t>
            </w:r>
          </w:p>
        </w:tc>
        <w:tc>
          <w:tcPr>
            <w:tcW w:w="5938" w:type="dxa"/>
            <w:tcBorders>
              <w:top w:val="single" w:color="auto" w:sz="4" w:space="0"/>
              <w:left w:val="single" w:color="auto" w:sz="4" w:space="0"/>
              <w:bottom w:val="single" w:color="auto" w:sz="4" w:space="0"/>
              <w:right w:val="single" w:color="auto" w:sz="4" w:space="0"/>
            </w:tcBorders>
            <w:vAlign w:val="center"/>
          </w:tcPr>
          <w:p w14:paraId="5575F73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招标人名称：东莞市轨道一号线建设发展有限公司</w:t>
            </w:r>
          </w:p>
          <w:p w14:paraId="7E3A1E8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招标人地址：广东省东莞市南城街道东莞大道南城段116号轨道交通大厦2号楼4406室</w:t>
            </w:r>
          </w:p>
          <w:p w14:paraId="2D83012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东莞市轨道交通1号线运营期地铁控制保护区综合管理系统项目投标文件</w:t>
            </w:r>
          </w:p>
          <w:p w14:paraId="1D277A5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招标项目编号：</w:t>
            </w:r>
          </w:p>
          <w:p w14:paraId="27FAAEC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在</w:t>
            </w:r>
            <w:r>
              <w:rPr>
                <w:rFonts w:hint="eastAsia"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hAnsi="宋体" w:cs="宋体"/>
                <w:color w:val="auto"/>
                <w:szCs w:val="21"/>
                <w:highlight w:val="none"/>
                <w:u w:val="single"/>
              </w:rPr>
              <w:t xml:space="preserve">    </w:t>
            </w:r>
            <w:r>
              <w:rPr>
                <w:rFonts w:hint="eastAsia" w:ascii="宋体" w:hAnsi="宋体" w:cs="宋体"/>
                <w:color w:val="auto"/>
                <w:szCs w:val="21"/>
                <w:highlight w:val="none"/>
              </w:rPr>
              <w:t>时前不得开启</w:t>
            </w:r>
          </w:p>
          <w:p w14:paraId="40A1B0A2">
            <w:pPr>
              <w:spacing w:line="360" w:lineRule="auto"/>
              <w:rPr>
                <w:rFonts w:hint="eastAsia" w:ascii="宋体" w:hAnsi="宋体"/>
                <w:color w:val="auto"/>
                <w:szCs w:val="21"/>
                <w:highlight w:val="none"/>
              </w:rPr>
            </w:pPr>
            <w:r>
              <w:rPr>
                <w:rFonts w:hint="eastAsia" w:ascii="宋体" w:hAnsi="宋体" w:cs="宋体"/>
                <w:color w:val="auto"/>
                <w:szCs w:val="21"/>
                <w:highlight w:val="none"/>
              </w:rPr>
              <w:t>（填入前附表第</w:t>
            </w:r>
            <w:r>
              <w:rPr>
                <w:rFonts w:hint="eastAsia" w:ascii="宋体" w:hAnsi="宋体" w:cs="宋体"/>
                <w:b/>
                <w:bCs/>
                <w:color w:val="auto"/>
                <w:szCs w:val="21"/>
                <w:highlight w:val="none"/>
              </w:rPr>
              <w:t>4.2.1</w:t>
            </w:r>
            <w:r>
              <w:rPr>
                <w:rFonts w:hint="eastAsia" w:ascii="宋体" w:hAnsi="宋体" w:cs="宋体"/>
                <w:color w:val="auto"/>
                <w:szCs w:val="21"/>
                <w:highlight w:val="none"/>
              </w:rPr>
              <w:t>条的时间</w:t>
            </w:r>
            <w:r>
              <w:rPr>
                <w:rFonts w:hint="eastAsia" w:ascii="宋体" w:hAnsi="宋体"/>
                <w:color w:val="auto"/>
                <w:szCs w:val="21"/>
                <w:highlight w:val="none"/>
              </w:rPr>
              <w:t>）。</w:t>
            </w:r>
          </w:p>
        </w:tc>
      </w:tr>
      <w:tr w14:paraId="09A0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58F65AC4">
            <w:pPr>
              <w:spacing w:line="360" w:lineRule="auto"/>
              <w:jc w:val="center"/>
              <w:rPr>
                <w:rFonts w:hint="eastAsia" w:ascii="宋体" w:hAnsi="宋体"/>
                <w:color w:val="auto"/>
                <w:szCs w:val="21"/>
                <w:highlight w:val="none"/>
              </w:rPr>
            </w:pPr>
            <w:r>
              <w:rPr>
                <w:rFonts w:ascii="宋体" w:hAnsi="宋体"/>
                <w:color w:val="auto"/>
                <w:szCs w:val="21"/>
                <w:highlight w:val="none"/>
              </w:rPr>
              <w:t>4.2.1</w:t>
            </w:r>
          </w:p>
        </w:tc>
        <w:tc>
          <w:tcPr>
            <w:tcW w:w="2566" w:type="dxa"/>
            <w:tcBorders>
              <w:top w:val="single" w:color="auto" w:sz="4" w:space="0"/>
              <w:left w:val="single" w:color="auto" w:sz="4" w:space="0"/>
              <w:bottom w:val="single" w:color="auto" w:sz="4" w:space="0"/>
              <w:right w:val="single" w:color="auto" w:sz="4" w:space="0"/>
            </w:tcBorders>
            <w:vAlign w:val="center"/>
          </w:tcPr>
          <w:p w14:paraId="35345C22">
            <w:pPr>
              <w:spacing w:line="360" w:lineRule="auto"/>
              <w:rPr>
                <w:rFonts w:hint="eastAsia" w:ascii="宋体" w:hAnsi="宋体"/>
                <w:color w:val="auto"/>
                <w:szCs w:val="21"/>
                <w:highlight w:val="none"/>
              </w:rPr>
            </w:pPr>
            <w:r>
              <w:rPr>
                <w:rFonts w:hint="eastAsia" w:ascii="宋体" w:hAnsi="宋体"/>
                <w:color w:val="auto"/>
                <w:szCs w:val="21"/>
                <w:highlight w:val="none"/>
              </w:rPr>
              <w:t>投标截止时间</w:t>
            </w:r>
          </w:p>
        </w:tc>
        <w:tc>
          <w:tcPr>
            <w:tcW w:w="5938" w:type="dxa"/>
            <w:tcBorders>
              <w:top w:val="single" w:color="auto" w:sz="4" w:space="0"/>
              <w:left w:val="single" w:color="auto" w:sz="4" w:space="0"/>
              <w:bottom w:val="single" w:color="auto" w:sz="4" w:space="0"/>
              <w:right w:val="single" w:color="auto" w:sz="4" w:space="0"/>
            </w:tcBorders>
            <w:vAlign w:val="center"/>
          </w:tcPr>
          <w:p w14:paraId="114EE3B6">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年  月    日     时   分（详见</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"http://ggzy.gz.gov.cn/xmcxjsgc/index.jhtml"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项目查询-日程安排)</w:t>
            </w:r>
            <w:r>
              <w:rPr>
                <w:rFonts w:hint="eastAsia" w:ascii="宋体" w:hAnsi="宋体" w:cs="宋体"/>
                <w:color w:val="auto"/>
                <w:szCs w:val="21"/>
                <w:highlight w:val="none"/>
              </w:rPr>
              <w:fldChar w:fldCharType="end"/>
            </w:r>
          </w:p>
        </w:tc>
      </w:tr>
      <w:tr w14:paraId="7FA3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6C359918">
            <w:pPr>
              <w:spacing w:line="360" w:lineRule="auto"/>
              <w:jc w:val="center"/>
              <w:rPr>
                <w:rFonts w:hint="eastAsia" w:ascii="宋体" w:hAnsi="宋体"/>
                <w:color w:val="auto"/>
                <w:szCs w:val="21"/>
                <w:highlight w:val="none"/>
              </w:rPr>
            </w:pPr>
            <w:r>
              <w:rPr>
                <w:rFonts w:ascii="宋体" w:hAnsi="宋体"/>
                <w:color w:val="auto"/>
                <w:szCs w:val="21"/>
                <w:highlight w:val="none"/>
              </w:rPr>
              <w:t>4.2.3</w:t>
            </w:r>
          </w:p>
        </w:tc>
        <w:tc>
          <w:tcPr>
            <w:tcW w:w="2566" w:type="dxa"/>
            <w:tcBorders>
              <w:top w:val="single" w:color="auto" w:sz="4" w:space="0"/>
              <w:left w:val="single" w:color="auto" w:sz="4" w:space="0"/>
              <w:bottom w:val="single" w:color="auto" w:sz="4" w:space="0"/>
              <w:right w:val="single" w:color="auto" w:sz="4" w:space="0"/>
            </w:tcBorders>
            <w:vAlign w:val="center"/>
          </w:tcPr>
          <w:p w14:paraId="30074E94">
            <w:pPr>
              <w:spacing w:line="360" w:lineRule="auto"/>
              <w:rPr>
                <w:rFonts w:hint="eastAsia" w:ascii="宋体" w:hAnsi="宋体"/>
                <w:color w:val="auto"/>
                <w:szCs w:val="21"/>
                <w:highlight w:val="none"/>
              </w:rPr>
            </w:pPr>
            <w:r>
              <w:rPr>
                <w:rFonts w:hint="eastAsia" w:ascii="宋体" w:hAnsi="宋体"/>
                <w:color w:val="auto"/>
                <w:szCs w:val="21"/>
                <w:highlight w:val="none"/>
              </w:rPr>
              <w:t>投标文件是否退还</w:t>
            </w:r>
          </w:p>
        </w:tc>
        <w:tc>
          <w:tcPr>
            <w:tcW w:w="5938" w:type="dxa"/>
            <w:tcBorders>
              <w:top w:val="single" w:color="auto" w:sz="4" w:space="0"/>
              <w:left w:val="single" w:color="auto" w:sz="4" w:space="0"/>
              <w:bottom w:val="single" w:color="auto" w:sz="4" w:space="0"/>
              <w:right w:val="single" w:color="auto" w:sz="4" w:space="0"/>
            </w:tcBorders>
            <w:vAlign w:val="center"/>
          </w:tcPr>
          <w:p w14:paraId="016B2E01">
            <w:pPr>
              <w:spacing w:line="360" w:lineRule="auto"/>
              <w:rPr>
                <w:rFonts w:hint="eastAsia" w:ascii="宋体" w:hAnsi="宋体"/>
                <w:color w:val="auto"/>
                <w:szCs w:val="21"/>
                <w:highlight w:val="none"/>
              </w:rPr>
            </w:pPr>
            <w:r>
              <w:rPr>
                <w:rFonts w:hint="eastAsia" w:ascii="宋体" w:hAnsi="宋体" w:cs="宋体"/>
                <w:color w:val="auto"/>
                <w:spacing w:val="-2"/>
                <w:position w:val="1"/>
                <w:szCs w:val="21"/>
                <w:highlight w:val="none"/>
                <w:bdr w:val="single" w:color="auto" w:sz="4" w:space="0"/>
              </w:rPr>
              <w:t>√</w:t>
            </w:r>
            <w:r>
              <w:rPr>
                <w:rFonts w:hint="eastAsia" w:ascii="宋体" w:hAnsi="宋体"/>
                <w:color w:val="auto"/>
                <w:szCs w:val="21"/>
                <w:highlight w:val="none"/>
              </w:rPr>
              <w:t>否</w:t>
            </w:r>
          </w:p>
          <w:p w14:paraId="629DCF9E">
            <w:pPr>
              <w:spacing w:line="360" w:lineRule="auto"/>
              <w:rPr>
                <w:rFonts w:hint="eastAsia" w:ascii="宋体" w:hAnsi="宋体"/>
                <w:color w:val="auto"/>
                <w:szCs w:val="21"/>
                <w:highlight w:val="none"/>
              </w:rPr>
            </w:pPr>
            <w:r>
              <w:rPr>
                <w:rFonts w:hint="eastAsia" w:ascii="宋体" w:hAnsi="宋体"/>
                <w:color w:val="auto"/>
                <w:szCs w:val="21"/>
                <w:highlight w:val="none"/>
              </w:rPr>
              <w:t>□是，退还时间：</w:t>
            </w:r>
          </w:p>
        </w:tc>
      </w:tr>
      <w:tr w14:paraId="01DA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698DC9E7">
            <w:pPr>
              <w:spacing w:line="360" w:lineRule="auto"/>
              <w:jc w:val="center"/>
              <w:rPr>
                <w:rFonts w:hint="eastAsia" w:ascii="宋体" w:hAns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w:t>
            </w:r>
            <w:r>
              <w:rPr>
                <w:rFonts w:ascii="宋体" w:hAnsi="宋体"/>
                <w:color w:val="auto"/>
                <w:szCs w:val="21"/>
                <w:highlight w:val="none"/>
              </w:rPr>
              <w:t>B</w:t>
            </w:r>
            <w:r>
              <w:rPr>
                <w:rFonts w:hint="eastAsia" w:ascii="宋体" w:hAnsi="宋体"/>
                <w:color w:val="auto"/>
                <w:szCs w:val="21"/>
                <w:highlight w:val="none"/>
              </w:rPr>
              <w:t>）</w:t>
            </w:r>
          </w:p>
        </w:tc>
        <w:tc>
          <w:tcPr>
            <w:tcW w:w="2566" w:type="dxa"/>
            <w:tcBorders>
              <w:top w:val="single" w:color="auto" w:sz="4" w:space="0"/>
              <w:left w:val="single" w:color="auto" w:sz="4" w:space="0"/>
              <w:bottom w:val="single" w:color="auto" w:sz="4" w:space="0"/>
              <w:right w:val="single" w:color="auto" w:sz="4" w:space="0"/>
            </w:tcBorders>
            <w:vAlign w:val="center"/>
          </w:tcPr>
          <w:p w14:paraId="2094AF2B">
            <w:pPr>
              <w:spacing w:line="360" w:lineRule="auto"/>
              <w:rPr>
                <w:rFonts w:hint="eastAsia" w:ascii="宋体" w:hAnsi="宋体"/>
                <w:color w:val="auto"/>
                <w:szCs w:val="21"/>
                <w:highlight w:val="none"/>
              </w:rPr>
            </w:pPr>
            <w:r>
              <w:rPr>
                <w:rFonts w:hint="eastAsia" w:ascii="宋体" w:hAnsi="宋体"/>
                <w:color w:val="auto"/>
                <w:szCs w:val="21"/>
                <w:highlight w:val="none"/>
              </w:rPr>
              <w:t>开标时间和地点</w:t>
            </w:r>
          </w:p>
        </w:tc>
        <w:tc>
          <w:tcPr>
            <w:tcW w:w="5938" w:type="dxa"/>
            <w:tcBorders>
              <w:top w:val="single" w:color="auto" w:sz="4" w:space="0"/>
              <w:left w:val="single" w:color="auto" w:sz="4" w:space="0"/>
              <w:bottom w:val="single" w:color="auto" w:sz="4" w:space="0"/>
              <w:right w:val="single" w:color="auto" w:sz="4" w:space="0"/>
            </w:tcBorders>
            <w:vAlign w:val="center"/>
          </w:tcPr>
          <w:p w14:paraId="1736C139">
            <w:pPr>
              <w:spacing w:line="360" w:lineRule="auto"/>
              <w:rPr>
                <w:rFonts w:hint="eastAsia" w:ascii="宋体" w:hAnsi="宋体"/>
                <w:color w:val="auto"/>
                <w:szCs w:val="21"/>
                <w:highlight w:val="none"/>
              </w:rPr>
            </w:pPr>
            <w:r>
              <w:rPr>
                <w:rFonts w:hint="eastAsia" w:ascii="宋体" w:hAnsi="宋体" w:cs="宋体"/>
                <w:color w:val="auto"/>
                <w:szCs w:val="21"/>
                <w:highlight w:val="none"/>
              </w:rPr>
              <w:t>本电子招投标项目在本章</w:t>
            </w:r>
            <w:r>
              <w:rPr>
                <w:rFonts w:ascii="宋体" w:hAnsi="宋体" w:cs="宋体"/>
                <w:color w:val="auto"/>
                <w:szCs w:val="21"/>
                <w:highlight w:val="none"/>
              </w:rPr>
              <w:t>4.2.1项规定的投标截止时间（开标时间），在</w:t>
            </w:r>
            <w:r>
              <w:rPr>
                <w:rFonts w:hint="eastAsia" w:ascii="宋体" w:hAnsi="宋体" w:cs="宋体"/>
                <w:color w:val="auto"/>
                <w:szCs w:val="21"/>
                <w:highlight w:val="none"/>
                <w:lang w:eastAsia="zh-CN"/>
              </w:rPr>
              <w:t>广州交易集团有限公司（广州公共资源交易中心）</w:t>
            </w:r>
            <w:r>
              <w:rPr>
                <w:rFonts w:ascii="宋体" w:hAnsi="宋体" w:cs="宋体"/>
                <w:color w:val="auto"/>
                <w:szCs w:val="21"/>
                <w:highlight w:val="none"/>
              </w:rPr>
              <w:t>公开开标，并邀请所有投标人的法定代表人或其委托代理人准时参加。</w:t>
            </w:r>
          </w:p>
        </w:tc>
      </w:tr>
      <w:tr w14:paraId="6F2A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688CF9DB">
            <w:pPr>
              <w:spacing w:line="360" w:lineRule="auto"/>
              <w:jc w:val="center"/>
              <w:rPr>
                <w:rFonts w:hint="eastAsia"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w:t>
            </w:r>
            <w:r>
              <w:rPr>
                <w:rFonts w:ascii="宋体" w:hAnsi="宋体"/>
                <w:color w:val="auto"/>
                <w:szCs w:val="21"/>
                <w:highlight w:val="none"/>
              </w:rPr>
              <w:t>B</w:t>
            </w:r>
            <w:r>
              <w:rPr>
                <w:rFonts w:hint="eastAsia" w:ascii="宋体" w:hAnsi="宋体"/>
                <w:color w:val="auto"/>
                <w:szCs w:val="21"/>
                <w:highlight w:val="none"/>
              </w:rPr>
              <w:t>）</w:t>
            </w:r>
          </w:p>
          <w:p w14:paraId="4A009FD1">
            <w:pPr>
              <w:spacing w:line="360" w:lineRule="auto"/>
              <w:jc w:val="center"/>
              <w:rPr>
                <w:rFonts w:hint="eastAsia" w:ascii="宋体" w:hAnsi="宋体"/>
                <w:color w:val="auto"/>
                <w:szCs w:val="21"/>
                <w:highlight w:val="none"/>
              </w:rPr>
            </w:pPr>
            <w:r>
              <w:rPr>
                <w:rFonts w:hint="eastAsia" w:ascii="宋体" w:hAnsi="宋体"/>
                <w:color w:val="auto"/>
                <w:szCs w:val="21"/>
                <w:highlight w:val="none"/>
              </w:rPr>
              <w:t>（新增）</w:t>
            </w:r>
          </w:p>
        </w:tc>
        <w:tc>
          <w:tcPr>
            <w:tcW w:w="2566" w:type="dxa"/>
            <w:tcBorders>
              <w:top w:val="single" w:color="auto" w:sz="4" w:space="0"/>
              <w:left w:val="single" w:color="auto" w:sz="4" w:space="0"/>
              <w:bottom w:val="single" w:color="auto" w:sz="4" w:space="0"/>
              <w:right w:val="single" w:color="auto" w:sz="4" w:space="0"/>
            </w:tcBorders>
            <w:vAlign w:val="center"/>
          </w:tcPr>
          <w:p w14:paraId="2B2762D8">
            <w:pPr>
              <w:spacing w:line="360" w:lineRule="auto"/>
              <w:jc w:val="center"/>
              <w:rPr>
                <w:rFonts w:hint="eastAsia" w:ascii="宋体" w:hAnsi="宋体"/>
                <w:color w:val="auto"/>
                <w:szCs w:val="21"/>
                <w:highlight w:val="none"/>
              </w:rPr>
            </w:pPr>
            <w:r>
              <w:rPr>
                <w:rFonts w:hint="eastAsia" w:ascii="宋体" w:hAnsi="宋体"/>
                <w:color w:val="auto"/>
                <w:szCs w:val="21"/>
                <w:highlight w:val="none"/>
              </w:rPr>
              <w:t>电子招投标开标程序</w:t>
            </w:r>
          </w:p>
        </w:tc>
        <w:tc>
          <w:tcPr>
            <w:tcW w:w="5938" w:type="dxa"/>
            <w:tcBorders>
              <w:top w:val="single" w:color="auto" w:sz="4" w:space="0"/>
              <w:left w:val="single" w:color="auto" w:sz="4" w:space="0"/>
              <w:bottom w:val="single" w:color="auto" w:sz="4" w:space="0"/>
              <w:right w:val="single" w:color="auto" w:sz="4" w:space="0"/>
            </w:tcBorders>
            <w:vAlign w:val="center"/>
          </w:tcPr>
          <w:p w14:paraId="28ECB5C7">
            <w:pPr>
              <w:spacing w:line="360" w:lineRule="auto"/>
              <w:rPr>
                <w:rFonts w:hint="eastAsia" w:ascii="宋体" w:hAnsi="宋体"/>
                <w:color w:val="auto"/>
                <w:szCs w:val="21"/>
                <w:highlight w:val="none"/>
              </w:rPr>
            </w:pPr>
            <w:r>
              <w:rPr>
                <w:rFonts w:hint="eastAsia" w:ascii="宋体" w:hAnsi="宋体"/>
                <w:color w:val="auto"/>
                <w:szCs w:val="21"/>
                <w:highlight w:val="none"/>
              </w:rPr>
              <w:t>电子招投标项目开标按下列程序进行：</w:t>
            </w:r>
          </w:p>
          <w:p w14:paraId="0F147335">
            <w:pPr>
              <w:spacing w:line="360" w:lineRule="auto"/>
              <w:rPr>
                <w:rFonts w:hint="eastAsia" w:ascii="宋体" w:hAnsi="宋体"/>
                <w:color w:val="auto"/>
                <w:szCs w:val="21"/>
                <w:highlight w:val="none"/>
              </w:rPr>
            </w:pPr>
            <w:r>
              <w:rPr>
                <w:rFonts w:ascii="宋体" w:hAnsi="宋体"/>
                <w:color w:val="auto"/>
                <w:szCs w:val="21"/>
                <w:highlight w:val="none"/>
              </w:rPr>
              <w:t>5.2.1</w:t>
            </w:r>
            <w:r>
              <w:rPr>
                <w:rFonts w:hint="eastAsia" w:ascii="宋体" w:hAnsi="宋体"/>
                <w:color w:val="auto"/>
                <w:szCs w:val="21"/>
                <w:highlight w:val="none"/>
              </w:rPr>
              <w:t>主持人按下列程序进行开标：</w:t>
            </w:r>
          </w:p>
          <w:p w14:paraId="6A78454A">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）宣布开标纪律；</w:t>
            </w:r>
          </w:p>
          <w:p w14:paraId="30A6CB05">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）公布在投标截止时间前递交投标文件的投标人名称；</w:t>
            </w:r>
          </w:p>
          <w:p w14:paraId="5D32518B">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）宣布开标人、唱标人、记录人、监标人等有关人员姓名；</w:t>
            </w:r>
          </w:p>
          <w:p w14:paraId="4862377E">
            <w:pPr>
              <w:pStyle w:val="11"/>
              <w:spacing w:line="360" w:lineRule="auto"/>
              <w:rPr>
                <w:color w:val="auto"/>
                <w:highlight w:val="none"/>
              </w:rPr>
            </w:pPr>
            <w:r>
              <w:rPr>
                <w:rFonts w:hint="eastAsia" w:ascii="宋体" w:hAnsi="宋体"/>
                <w:color w:val="auto"/>
                <w:szCs w:val="21"/>
                <w:highlight w:val="none"/>
              </w:rPr>
              <w:t>（4）在开启价格标前，首先由招标人从1％、3％、5％的评标参考价候选下浮点数中现场随机抽取确定该项目计算评标基准价的下浮率X，并对有效投标人的价格标投标文件进行公开开标</w:t>
            </w:r>
            <w:r>
              <w:rPr>
                <w:rFonts w:hint="eastAsia"/>
                <w:color w:val="auto"/>
                <w:highlight w:val="none"/>
              </w:rPr>
              <w:t>；</w:t>
            </w:r>
          </w:p>
          <w:p w14:paraId="637C5F74">
            <w:pPr>
              <w:spacing w:line="360" w:lineRule="auto"/>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B</w:t>
            </w:r>
            <w:r>
              <w:rPr>
                <w:rFonts w:hint="eastAsia" w:ascii="宋体" w:hAnsi="宋体"/>
                <w:color w:val="auto"/>
                <w:szCs w:val="21"/>
                <w:highlight w:val="none"/>
              </w:rPr>
              <w:t>）投标人通过电子招标投标交易平台对已递交的电子投标文件进行解密，公布招标项目名称、投标人名称、投标保证金的递交情况、投标报价及其他内容，并记录在案；</w:t>
            </w:r>
          </w:p>
          <w:p w14:paraId="420D976C">
            <w:pPr>
              <w:spacing w:line="360" w:lineRule="auto"/>
              <w:rPr>
                <w:rFonts w:hint="eastAsia"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B</w:t>
            </w:r>
            <w:r>
              <w:rPr>
                <w:rFonts w:hint="eastAsia" w:ascii="宋体" w:hAnsi="宋体"/>
                <w:color w:val="auto"/>
                <w:szCs w:val="21"/>
                <w:highlight w:val="none"/>
              </w:rPr>
              <w:t>）投标人代表、招标人代表、监标人、记录人等有关人员在开标记录上签字确认；若有关人员不签字的，不影响开标程序；</w:t>
            </w:r>
          </w:p>
          <w:p w14:paraId="3651B9A7">
            <w:pPr>
              <w:spacing w:line="360" w:lineRule="auto"/>
              <w:rPr>
                <w:rFonts w:hint="eastAsia" w:ascii="宋体" w:hAnsi="宋体"/>
                <w:color w:val="auto"/>
                <w:szCs w:val="21"/>
                <w:highlight w:val="none"/>
              </w:rPr>
            </w:pPr>
            <w:r>
              <w:rPr>
                <w:rFonts w:hint="eastAsia" w:ascii="宋体" w:hAnsi="宋体"/>
                <w:color w:val="auto"/>
                <w:szCs w:val="21"/>
                <w:highlight w:val="none"/>
              </w:rPr>
              <w:t>（7）开标结束。</w:t>
            </w:r>
          </w:p>
          <w:p w14:paraId="39C20EF0">
            <w:pPr>
              <w:spacing w:line="360" w:lineRule="auto"/>
              <w:rPr>
                <w:rFonts w:hint="eastAsia" w:ascii="宋体" w:hAnsi="宋体"/>
                <w:color w:val="auto"/>
                <w:szCs w:val="21"/>
                <w:highlight w:val="none"/>
              </w:rPr>
            </w:pPr>
            <w:r>
              <w:rPr>
                <w:rFonts w:ascii="宋体" w:hAnsi="宋体"/>
                <w:color w:val="auto"/>
                <w:szCs w:val="21"/>
                <w:highlight w:val="none"/>
              </w:rPr>
              <w:t xml:space="preserve"> 5.2.2</w:t>
            </w:r>
            <w:r>
              <w:rPr>
                <w:rFonts w:hint="eastAsia" w:ascii="宋体" w:hAnsi="宋体"/>
                <w:color w:val="auto"/>
                <w:szCs w:val="21"/>
                <w:highlight w:val="non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4CB1D9A0">
            <w:pPr>
              <w:spacing w:line="360" w:lineRule="auto"/>
              <w:rPr>
                <w:rFonts w:hint="eastAsia" w:ascii="宋体" w:hAnsi="宋体"/>
                <w:color w:val="auto"/>
                <w:szCs w:val="21"/>
                <w:highlight w:val="none"/>
              </w:rPr>
            </w:pPr>
            <w:r>
              <w:rPr>
                <w:rFonts w:ascii="宋体" w:hAnsi="宋体"/>
                <w:color w:val="auto"/>
                <w:szCs w:val="21"/>
                <w:highlight w:val="none"/>
              </w:rPr>
              <w:t>5.2.3</w:t>
            </w:r>
            <w:r>
              <w:rPr>
                <w:rFonts w:hint="eastAsia" w:ascii="宋体" w:hAnsi="宋体"/>
                <w:color w:val="auto"/>
                <w:szCs w:val="21"/>
                <w:highlight w:val="none"/>
              </w:rPr>
              <w:t>开标时，两个（含两个）以上的投标人加密打包投标文件电脑机器特征码一致的，不参与下一程序，并由评标委员会否决其投标。</w:t>
            </w:r>
          </w:p>
        </w:tc>
      </w:tr>
      <w:tr w14:paraId="3841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366B0D84">
            <w:pPr>
              <w:spacing w:line="360" w:lineRule="auto"/>
              <w:jc w:val="center"/>
              <w:rPr>
                <w:rFonts w:hint="eastAsia" w:ascii="宋体" w:hAnsi="宋体"/>
                <w:color w:val="auto"/>
                <w:szCs w:val="21"/>
                <w:highlight w:val="none"/>
              </w:rPr>
            </w:pPr>
            <w:r>
              <w:rPr>
                <w:rFonts w:ascii="宋体" w:hAnsi="宋体"/>
                <w:color w:val="auto"/>
                <w:szCs w:val="21"/>
                <w:highlight w:val="none"/>
              </w:rPr>
              <w:t>6.1.1</w:t>
            </w:r>
          </w:p>
        </w:tc>
        <w:tc>
          <w:tcPr>
            <w:tcW w:w="2566" w:type="dxa"/>
            <w:tcBorders>
              <w:top w:val="single" w:color="auto" w:sz="4" w:space="0"/>
              <w:left w:val="single" w:color="auto" w:sz="4" w:space="0"/>
              <w:bottom w:val="single" w:color="auto" w:sz="4" w:space="0"/>
              <w:right w:val="single" w:color="auto" w:sz="4" w:space="0"/>
            </w:tcBorders>
            <w:vAlign w:val="center"/>
          </w:tcPr>
          <w:p w14:paraId="6BBA44AC">
            <w:pPr>
              <w:spacing w:line="360" w:lineRule="auto"/>
              <w:rPr>
                <w:rFonts w:hint="eastAsia" w:ascii="宋体" w:hAnsi="宋体"/>
                <w:color w:val="auto"/>
                <w:szCs w:val="21"/>
                <w:highlight w:val="none"/>
              </w:rPr>
            </w:pPr>
            <w:bookmarkStart w:id="41" w:name="_Hlk35610476"/>
            <w:r>
              <w:rPr>
                <w:rFonts w:hint="eastAsia" w:ascii="宋体" w:hAnsi="宋体"/>
                <w:color w:val="auto"/>
                <w:szCs w:val="21"/>
                <w:highlight w:val="none"/>
              </w:rPr>
              <w:t>评标委员会的组建</w:t>
            </w:r>
            <w:bookmarkEnd w:id="41"/>
          </w:p>
        </w:tc>
        <w:tc>
          <w:tcPr>
            <w:tcW w:w="5938" w:type="dxa"/>
            <w:tcBorders>
              <w:top w:val="single" w:color="auto" w:sz="4" w:space="0"/>
              <w:left w:val="single" w:color="auto" w:sz="4" w:space="0"/>
              <w:bottom w:val="single" w:color="auto" w:sz="4" w:space="0"/>
              <w:right w:val="single" w:color="auto" w:sz="4" w:space="0"/>
            </w:tcBorders>
            <w:vAlign w:val="center"/>
          </w:tcPr>
          <w:p w14:paraId="6C0A9210">
            <w:pPr>
              <w:spacing w:line="360" w:lineRule="auto"/>
              <w:rPr>
                <w:rFonts w:hint="eastAsia" w:ascii="宋体" w:hAnsi="宋体"/>
                <w:color w:val="auto"/>
                <w:szCs w:val="21"/>
                <w:highlight w:val="none"/>
              </w:rPr>
            </w:pPr>
            <w:bookmarkStart w:id="42" w:name="_Hlk35610541"/>
            <w:r>
              <w:rPr>
                <w:rFonts w:hint="eastAsia" w:ascii="宋体" w:hAnsi="宋体" w:cs="宋体"/>
                <w:color w:val="auto"/>
                <w:szCs w:val="21"/>
                <w:highlight w:val="none"/>
              </w:rPr>
              <w:t>评标专家确定方式：</w:t>
            </w:r>
            <w:r>
              <w:rPr>
                <w:rFonts w:hint="eastAsia" w:ascii="宋体" w:hAnsi="宋体" w:cs="宋体"/>
                <w:color w:val="auto"/>
                <w:spacing w:val="-7"/>
                <w:szCs w:val="21"/>
                <w:highlight w:val="none"/>
                <w:u w:val="single"/>
              </w:rPr>
              <w:t>由招标人依法组建。</w:t>
            </w:r>
            <w:bookmarkEnd w:id="42"/>
          </w:p>
        </w:tc>
      </w:tr>
      <w:tr w14:paraId="59DB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7424261F">
            <w:pPr>
              <w:spacing w:line="360" w:lineRule="auto"/>
              <w:jc w:val="center"/>
              <w:rPr>
                <w:rFonts w:hint="eastAsia" w:ascii="宋体" w:hAnsi="宋体"/>
                <w:color w:val="auto"/>
                <w:szCs w:val="21"/>
                <w:highlight w:val="none"/>
              </w:rPr>
            </w:pPr>
            <w:r>
              <w:rPr>
                <w:rFonts w:ascii="宋体" w:hAnsi="宋体"/>
                <w:color w:val="auto"/>
                <w:szCs w:val="21"/>
                <w:highlight w:val="none"/>
              </w:rPr>
              <w:t>6.3.2</w:t>
            </w:r>
          </w:p>
        </w:tc>
        <w:tc>
          <w:tcPr>
            <w:tcW w:w="2566" w:type="dxa"/>
            <w:tcBorders>
              <w:top w:val="single" w:color="auto" w:sz="4" w:space="0"/>
              <w:left w:val="single" w:color="auto" w:sz="4" w:space="0"/>
              <w:bottom w:val="single" w:color="auto" w:sz="4" w:space="0"/>
              <w:right w:val="single" w:color="auto" w:sz="4" w:space="0"/>
            </w:tcBorders>
            <w:vAlign w:val="center"/>
          </w:tcPr>
          <w:p w14:paraId="33F376D4">
            <w:pPr>
              <w:spacing w:line="360" w:lineRule="auto"/>
              <w:rPr>
                <w:rFonts w:hint="eastAsia" w:ascii="宋体" w:hAnsi="宋体"/>
                <w:color w:val="auto"/>
                <w:szCs w:val="21"/>
                <w:highlight w:val="none"/>
              </w:rPr>
            </w:pPr>
            <w:r>
              <w:rPr>
                <w:rFonts w:hint="eastAsia" w:ascii="宋体" w:hAnsi="宋体"/>
                <w:color w:val="auto"/>
                <w:szCs w:val="21"/>
                <w:highlight w:val="none"/>
              </w:rPr>
              <w:t>评标委员会推荐中标候选人的人数</w:t>
            </w:r>
          </w:p>
        </w:tc>
        <w:tc>
          <w:tcPr>
            <w:tcW w:w="5938" w:type="dxa"/>
            <w:tcBorders>
              <w:top w:val="single" w:color="auto" w:sz="4" w:space="0"/>
              <w:left w:val="single" w:color="auto" w:sz="4" w:space="0"/>
              <w:bottom w:val="single" w:color="auto" w:sz="4" w:space="0"/>
              <w:right w:val="single" w:color="auto" w:sz="4" w:space="0"/>
            </w:tcBorders>
            <w:vAlign w:val="center"/>
          </w:tcPr>
          <w:p w14:paraId="25442655">
            <w:pPr>
              <w:spacing w:line="360" w:lineRule="auto"/>
              <w:rPr>
                <w:rFonts w:hint="eastAsia" w:ascii="宋体" w:hAnsi="宋体"/>
                <w:color w:val="auto"/>
                <w:szCs w:val="21"/>
                <w:highlight w:val="none"/>
              </w:rPr>
            </w:pPr>
            <w:r>
              <w:rPr>
                <w:rFonts w:ascii="宋体" w:hAnsi="宋体"/>
                <w:color w:val="auto"/>
                <w:szCs w:val="21"/>
                <w:highlight w:val="none"/>
                <w:u w:val="single"/>
              </w:rPr>
              <w:t>3</w:t>
            </w:r>
            <w:r>
              <w:rPr>
                <w:rFonts w:hint="eastAsia" w:ascii="宋体" w:hAnsi="宋体"/>
                <w:color w:val="auto"/>
                <w:szCs w:val="21"/>
                <w:highlight w:val="none"/>
                <w:u w:val="single"/>
              </w:rPr>
              <w:t>家。</w:t>
            </w:r>
          </w:p>
        </w:tc>
      </w:tr>
      <w:tr w14:paraId="2912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7B269FA9">
            <w:pPr>
              <w:spacing w:line="360" w:lineRule="auto"/>
              <w:jc w:val="center"/>
              <w:rPr>
                <w:rFonts w:hint="eastAsia" w:ascii="宋体" w:hAnsi="宋体"/>
                <w:color w:val="auto"/>
                <w:szCs w:val="21"/>
                <w:highlight w:val="none"/>
              </w:rPr>
            </w:pPr>
            <w:r>
              <w:rPr>
                <w:rFonts w:ascii="宋体" w:hAnsi="宋体"/>
                <w:color w:val="auto"/>
                <w:szCs w:val="21"/>
                <w:highlight w:val="none"/>
              </w:rPr>
              <w:t>7.1</w:t>
            </w:r>
          </w:p>
        </w:tc>
        <w:tc>
          <w:tcPr>
            <w:tcW w:w="2566" w:type="dxa"/>
            <w:tcBorders>
              <w:top w:val="single" w:color="auto" w:sz="4" w:space="0"/>
              <w:left w:val="single" w:color="auto" w:sz="4" w:space="0"/>
              <w:bottom w:val="single" w:color="auto" w:sz="4" w:space="0"/>
              <w:right w:val="single" w:color="auto" w:sz="4" w:space="0"/>
            </w:tcBorders>
            <w:vAlign w:val="center"/>
          </w:tcPr>
          <w:p w14:paraId="0AA2E987">
            <w:pPr>
              <w:spacing w:line="360" w:lineRule="auto"/>
              <w:rPr>
                <w:rFonts w:hint="eastAsia" w:ascii="宋体" w:hAnsi="宋体"/>
                <w:color w:val="auto"/>
                <w:szCs w:val="21"/>
                <w:highlight w:val="none"/>
              </w:rPr>
            </w:pPr>
            <w:r>
              <w:rPr>
                <w:rFonts w:hint="eastAsia" w:ascii="宋体" w:hAnsi="宋体"/>
                <w:color w:val="auto"/>
                <w:szCs w:val="21"/>
                <w:highlight w:val="none"/>
              </w:rPr>
              <w:t>中标候选人公示媒介及期限</w:t>
            </w:r>
          </w:p>
        </w:tc>
        <w:tc>
          <w:tcPr>
            <w:tcW w:w="5938" w:type="dxa"/>
            <w:tcBorders>
              <w:top w:val="single" w:color="auto" w:sz="4" w:space="0"/>
              <w:left w:val="single" w:color="auto" w:sz="4" w:space="0"/>
              <w:bottom w:val="single" w:color="auto" w:sz="4" w:space="0"/>
              <w:right w:val="single" w:color="auto" w:sz="4" w:space="0"/>
            </w:tcBorders>
            <w:vAlign w:val="center"/>
          </w:tcPr>
          <w:p w14:paraId="22A748A5">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公示媒介</w:t>
            </w:r>
            <w:r>
              <w:rPr>
                <w:rFonts w:hint="eastAsia" w:ascii="宋体" w:hAnsi="宋体" w:cs="宋体"/>
                <w:color w:val="auto"/>
                <w:szCs w:val="21"/>
                <w:highlight w:val="none"/>
                <w:lang w:eastAsia="zh-CN"/>
              </w:rPr>
              <w:t>：</w:t>
            </w:r>
            <w:r>
              <w:rPr>
                <w:rFonts w:hint="eastAsia" w:ascii="宋体" w:hAnsi="宋体" w:cs="宋体"/>
                <w:color w:val="auto"/>
                <w:szCs w:val="21"/>
                <w:highlight w:val="none"/>
              </w:rPr>
              <w:t>广州交易集团有限公司(广州公共资源交易中心)</w:t>
            </w:r>
            <w:r>
              <w:rPr>
                <w:rFonts w:ascii="宋体" w:hAnsi="宋体" w:cs="宋体"/>
                <w:color w:val="auto"/>
                <w:szCs w:val="21"/>
                <w:highlight w:val="none"/>
              </w:rPr>
              <w:t>网</w:t>
            </w:r>
            <w:r>
              <w:rPr>
                <w:rFonts w:hint="eastAsia" w:ascii="宋体" w:hAnsi="宋体"/>
                <w:color w:val="auto"/>
                <w:szCs w:val="21"/>
                <w:highlight w:val="none"/>
              </w:rPr>
              <w:t>、</w:t>
            </w:r>
            <w:r>
              <w:rPr>
                <w:rFonts w:ascii="宋体" w:hAnsi="宋体" w:cs="宋体"/>
                <w:color w:val="auto"/>
                <w:szCs w:val="21"/>
                <w:highlight w:val="none"/>
              </w:rPr>
              <w:t>中国招标投标公共服务平台</w:t>
            </w:r>
            <w:r>
              <w:rPr>
                <w:rFonts w:hint="eastAsia" w:ascii="宋体" w:hAnsi="宋体"/>
                <w:color w:val="auto"/>
                <w:szCs w:val="21"/>
                <w:highlight w:val="none"/>
              </w:rPr>
              <w:t>、</w:t>
            </w:r>
            <w:r>
              <w:rPr>
                <w:rFonts w:ascii="宋体" w:hAnsi="宋体" w:cs="宋体"/>
                <w:color w:val="auto"/>
                <w:szCs w:val="21"/>
                <w:highlight w:val="none"/>
              </w:rPr>
              <w:t>广东省招标投标监管网</w:t>
            </w:r>
            <w:r>
              <w:rPr>
                <w:rFonts w:hint="eastAsia" w:ascii="宋体" w:hAnsi="宋体"/>
                <w:color w:val="auto"/>
                <w:szCs w:val="21"/>
                <w:highlight w:val="none"/>
              </w:rPr>
              <w:t>、</w:t>
            </w:r>
            <w:r>
              <w:rPr>
                <w:rFonts w:ascii="宋体" w:hAnsi="宋体" w:cs="宋体"/>
                <w:color w:val="auto"/>
                <w:szCs w:val="21"/>
                <w:highlight w:val="none"/>
              </w:rPr>
              <w:t>广东省公共资源交易平台</w:t>
            </w:r>
            <w:r>
              <w:rPr>
                <w:rFonts w:hint="eastAsia" w:ascii="宋体" w:hAnsi="宋体"/>
                <w:color w:val="auto"/>
                <w:szCs w:val="21"/>
                <w:highlight w:val="none"/>
              </w:rPr>
              <w:t>、</w:t>
            </w:r>
            <w:r>
              <w:rPr>
                <w:rFonts w:ascii="宋体" w:hAnsi="宋体" w:cs="宋体"/>
                <w:color w:val="auto"/>
                <w:szCs w:val="21"/>
                <w:highlight w:val="none"/>
              </w:rPr>
              <w:t>东莞市轨道交通有限公司官网</w:t>
            </w:r>
          </w:p>
          <w:p w14:paraId="561944E0">
            <w:pPr>
              <w:spacing w:line="360" w:lineRule="auto"/>
              <w:rPr>
                <w:rFonts w:hint="eastAsia" w:ascii="宋体" w:hAnsi="宋体"/>
                <w:color w:val="auto"/>
                <w:szCs w:val="21"/>
                <w:highlight w:val="none"/>
              </w:rPr>
            </w:pPr>
            <w:r>
              <w:rPr>
                <w:rFonts w:hint="eastAsia" w:ascii="宋体" w:hAnsi="宋体" w:cs="宋体"/>
                <w:color w:val="auto"/>
                <w:szCs w:val="21"/>
                <w:highlight w:val="none"/>
              </w:rPr>
              <w:t>公示期限：</w:t>
            </w:r>
            <w:r>
              <w:rPr>
                <w:rFonts w:ascii="宋体" w:hAnsi="宋体" w:cs="宋体"/>
                <w:color w:val="auto"/>
                <w:szCs w:val="21"/>
                <w:highlight w:val="none"/>
              </w:rPr>
              <w:t>3日</w:t>
            </w:r>
            <w:r>
              <w:rPr>
                <w:rFonts w:hint="eastAsia" w:ascii="宋体" w:hAnsi="宋体" w:cs="宋体"/>
                <w:color w:val="auto"/>
                <w:szCs w:val="21"/>
                <w:highlight w:val="none"/>
              </w:rPr>
              <w:t>，公示结束日为工作日。</w:t>
            </w:r>
          </w:p>
        </w:tc>
      </w:tr>
      <w:tr w14:paraId="2A3F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0EB6984B">
            <w:pPr>
              <w:spacing w:line="360" w:lineRule="auto"/>
              <w:jc w:val="center"/>
              <w:rPr>
                <w:rFonts w:hint="eastAsia" w:ascii="宋体" w:hAnsi="宋体"/>
                <w:color w:val="auto"/>
                <w:szCs w:val="21"/>
                <w:highlight w:val="none"/>
              </w:rPr>
            </w:pPr>
            <w:r>
              <w:rPr>
                <w:rFonts w:ascii="宋体" w:hAnsi="宋体"/>
                <w:color w:val="auto"/>
                <w:szCs w:val="21"/>
                <w:highlight w:val="none"/>
              </w:rPr>
              <w:t>7.4</w:t>
            </w:r>
          </w:p>
        </w:tc>
        <w:tc>
          <w:tcPr>
            <w:tcW w:w="2566" w:type="dxa"/>
            <w:tcBorders>
              <w:top w:val="single" w:color="auto" w:sz="4" w:space="0"/>
              <w:left w:val="single" w:color="auto" w:sz="4" w:space="0"/>
              <w:bottom w:val="single" w:color="auto" w:sz="4" w:space="0"/>
              <w:right w:val="single" w:color="auto" w:sz="4" w:space="0"/>
            </w:tcBorders>
            <w:vAlign w:val="center"/>
          </w:tcPr>
          <w:p w14:paraId="5E9A3BF3">
            <w:pPr>
              <w:spacing w:line="360" w:lineRule="auto"/>
              <w:rPr>
                <w:rFonts w:hint="eastAsia" w:ascii="宋体" w:hAnsi="宋体"/>
                <w:color w:val="auto"/>
                <w:szCs w:val="21"/>
                <w:highlight w:val="none"/>
              </w:rPr>
            </w:pPr>
            <w:r>
              <w:rPr>
                <w:rFonts w:hint="eastAsia" w:ascii="宋体" w:hAnsi="宋体"/>
                <w:color w:val="auto"/>
                <w:szCs w:val="21"/>
                <w:highlight w:val="none"/>
              </w:rPr>
              <w:t>是否授权评标委员会确定中标人</w:t>
            </w:r>
          </w:p>
        </w:tc>
        <w:tc>
          <w:tcPr>
            <w:tcW w:w="5938" w:type="dxa"/>
            <w:tcBorders>
              <w:top w:val="single" w:color="auto" w:sz="4" w:space="0"/>
              <w:left w:val="single" w:color="auto" w:sz="4" w:space="0"/>
              <w:bottom w:val="single" w:color="auto" w:sz="4" w:space="0"/>
              <w:right w:val="single" w:color="auto" w:sz="4" w:space="0"/>
            </w:tcBorders>
            <w:vAlign w:val="center"/>
          </w:tcPr>
          <w:p w14:paraId="6DC3BEC1">
            <w:pPr>
              <w:spacing w:line="360" w:lineRule="auto"/>
              <w:rPr>
                <w:rFonts w:hint="eastAsia" w:ascii="宋体" w:hAnsi="宋体"/>
                <w:color w:val="auto"/>
                <w:szCs w:val="21"/>
                <w:highlight w:val="none"/>
              </w:rPr>
            </w:pPr>
            <w:r>
              <w:rPr>
                <w:rFonts w:hint="eastAsia" w:ascii="宋体" w:hAnsi="宋体"/>
                <w:color w:val="auto"/>
                <w:szCs w:val="21"/>
                <w:highlight w:val="none"/>
              </w:rPr>
              <w:t>□是</w:t>
            </w:r>
          </w:p>
          <w:p w14:paraId="0C895928">
            <w:pPr>
              <w:spacing w:line="360" w:lineRule="auto"/>
              <w:rPr>
                <w:rFonts w:hint="eastAsia" w:ascii="宋体" w:hAnsi="宋体"/>
                <w:color w:val="auto"/>
                <w:szCs w:val="21"/>
                <w:highlight w:val="none"/>
              </w:rPr>
            </w:pPr>
            <w:r>
              <w:rPr>
                <w:rFonts w:hint="eastAsia" w:ascii="宋体" w:hAnsi="宋体" w:cs="宋体"/>
                <w:color w:val="auto"/>
                <w:spacing w:val="-2"/>
                <w:position w:val="1"/>
                <w:szCs w:val="21"/>
                <w:highlight w:val="none"/>
                <w:bdr w:val="single" w:color="auto" w:sz="4" w:space="0"/>
              </w:rPr>
              <w:t>√</w:t>
            </w:r>
            <w:r>
              <w:rPr>
                <w:rFonts w:hint="eastAsia" w:ascii="宋体" w:hAnsi="宋体"/>
                <w:color w:val="auto"/>
                <w:szCs w:val="21"/>
                <w:highlight w:val="none"/>
              </w:rPr>
              <w:t>否</w:t>
            </w:r>
          </w:p>
          <w:p w14:paraId="3F772049">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补充说明：</w:t>
            </w:r>
          </w:p>
          <w:p w14:paraId="4C5443D3">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）招标人的招标领导小组根据评标报告，最终审定中标人。</w:t>
            </w:r>
          </w:p>
          <w:p w14:paraId="2A7AAC4E">
            <w:pPr>
              <w:snapToGrid w:val="0"/>
              <w:spacing w:line="360" w:lineRule="auto"/>
              <w:rPr>
                <w:rFonts w:hint="eastAsia" w:ascii="宋体" w:hAnsi="宋体" w:cs="Tahoma"/>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s="Tahoma"/>
                <w:color w:val="auto"/>
                <w:szCs w:val="21"/>
                <w:highlight w:val="none"/>
              </w:rPr>
              <w:t>依法必须进行公开招标的项目，招标人应当确定排名第一的中标候选人为中标人。</w:t>
            </w:r>
          </w:p>
          <w:p w14:paraId="5F2CE1D6">
            <w:pPr>
              <w:spacing w:line="360" w:lineRule="auto"/>
              <w:rPr>
                <w:rFonts w:hint="eastAsia" w:ascii="宋体" w:hAnsi="宋体"/>
                <w:color w:val="auto"/>
                <w:szCs w:val="21"/>
                <w:highlight w:val="none"/>
              </w:rPr>
            </w:pPr>
            <w:r>
              <w:rPr>
                <w:rFonts w:hint="eastAsia" w:ascii="宋体" w:hAnsi="宋体" w:cs="Tahoma"/>
                <w:color w:val="auto"/>
                <w:szCs w:val="21"/>
                <w:highlight w:val="none"/>
              </w:rPr>
              <w:t>（</w:t>
            </w:r>
            <w:r>
              <w:rPr>
                <w:rFonts w:ascii="宋体" w:hAnsi="宋体" w:cs="Tahoma"/>
                <w:color w:val="auto"/>
                <w:szCs w:val="21"/>
                <w:highlight w:val="none"/>
              </w:rPr>
              <w:t>3</w:t>
            </w:r>
            <w:r>
              <w:rPr>
                <w:rFonts w:hint="eastAsia" w:ascii="宋体" w:hAnsi="宋体" w:cs="Tahoma"/>
                <w:color w:val="auto"/>
                <w:szCs w:val="21"/>
                <w:highlight w:val="none"/>
              </w:rPr>
              <w:t>）</w:t>
            </w:r>
            <w:r>
              <w:rPr>
                <w:rFonts w:ascii="宋体" w:hAnsi="宋体" w:cs="Tahoma"/>
                <w:color w:val="auto"/>
                <w:szCs w:val="21"/>
                <w:highlight w:val="none"/>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14:paraId="5C13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1D8A0E29">
            <w:pPr>
              <w:spacing w:line="360" w:lineRule="auto"/>
              <w:jc w:val="center"/>
              <w:rPr>
                <w:rFonts w:hint="eastAsia" w:ascii="宋体" w:hAnsi="宋体"/>
                <w:color w:val="auto"/>
                <w:szCs w:val="21"/>
                <w:highlight w:val="none"/>
              </w:rPr>
            </w:pPr>
            <w:r>
              <w:rPr>
                <w:rFonts w:ascii="宋体" w:hAnsi="宋体"/>
                <w:color w:val="auto"/>
                <w:szCs w:val="21"/>
                <w:highlight w:val="none"/>
              </w:rPr>
              <w:t>7.6.1</w:t>
            </w:r>
          </w:p>
        </w:tc>
        <w:tc>
          <w:tcPr>
            <w:tcW w:w="2566" w:type="dxa"/>
            <w:tcBorders>
              <w:top w:val="single" w:color="auto" w:sz="4" w:space="0"/>
              <w:left w:val="single" w:color="auto" w:sz="4" w:space="0"/>
              <w:bottom w:val="single" w:color="auto" w:sz="4" w:space="0"/>
              <w:right w:val="single" w:color="auto" w:sz="4" w:space="0"/>
            </w:tcBorders>
            <w:vAlign w:val="center"/>
          </w:tcPr>
          <w:p w14:paraId="10A88B8B">
            <w:pPr>
              <w:spacing w:line="360" w:lineRule="auto"/>
              <w:rPr>
                <w:rFonts w:hint="eastAsia" w:ascii="宋体" w:hAnsi="宋体"/>
                <w:color w:val="auto"/>
                <w:szCs w:val="21"/>
                <w:highlight w:val="none"/>
              </w:rPr>
            </w:pPr>
            <w:bookmarkStart w:id="43" w:name="_Hlk35611520"/>
            <w:r>
              <w:rPr>
                <w:rFonts w:hint="eastAsia" w:ascii="宋体" w:hAnsi="宋体"/>
                <w:color w:val="auto"/>
                <w:szCs w:val="21"/>
                <w:highlight w:val="none"/>
              </w:rPr>
              <w:t>履约保证金</w:t>
            </w:r>
            <w:bookmarkEnd w:id="43"/>
          </w:p>
        </w:tc>
        <w:tc>
          <w:tcPr>
            <w:tcW w:w="5938" w:type="dxa"/>
            <w:tcBorders>
              <w:top w:val="single" w:color="auto" w:sz="4" w:space="0"/>
              <w:left w:val="single" w:color="auto" w:sz="4" w:space="0"/>
              <w:bottom w:val="single" w:color="auto" w:sz="4" w:space="0"/>
              <w:right w:val="single" w:color="auto" w:sz="4" w:space="0"/>
            </w:tcBorders>
            <w:vAlign w:val="center"/>
          </w:tcPr>
          <w:p w14:paraId="56F4CFCB">
            <w:pPr>
              <w:spacing w:line="360" w:lineRule="auto"/>
              <w:rPr>
                <w:rFonts w:hint="eastAsia" w:ascii="宋体" w:hAnsi="宋体"/>
                <w:color w:val="auto"/>
                <w:szCs w:val="21"/>
                <w:highlight w:val="none"/>
              </w:rPr>
            </w:pPr>
            <w:r>
              <w:rPr>
                <w:rFonts w:hint="eastAsia" w:ascii="宋体" w:hAnsi="宋体"/>
                <w:color w:val="auto"/>
                <w:szCs w:val="21"/>
                <w:highlight w:val="none"/>
              </w:rPr>
              <w:t>是否要求中标人提交履约保证金：</w:t>
            </w:r>
          </w:p>
          <w:p w14:paraId="4EA79F45">
            <w:pPr>
              <w:spacing w:line="360" w:lineRule="auto"/>
              <w:rPr>
                <w:rFonts w:hint="eastAsia" w:ascii="宋体" w:hAnsi="宋体" w:cs="宋体"/>
                <w:color w:val="auto"/>
                <w:szCs w:val="21"/>
                <w:highlight w:val="none"/>
              </w:rPr>
            </w:pPr>
            <w:r>
              <w:rPr>
                <w:rFonts w:hint="eastAsia" w:ascii="宋体" w:hAnsi="宋体" w:cs="宋体"/>
                <w:color w:val="auto"/>
                <w:spacing w:val="-2"/>
                <w:position w:val="1"/>
                <w:szCs w:val="21"/>
                <w:highlight w:val="none"/>
                <w:bdr w:val="single" w:color="auto" w:sz="4" w:space="0"/>
              </w:rPr>
              <w:t>√</w:t>
            </w:r>
            <w:r>
              <w:rPr>
                <w:rFonts w:hint="eastAsia" w:ascii="宋体" w:hAnsi="宋体"/>
                <w:color w:val="auto"/>
                <w:szCs w:val="21"/>
                <w:highlight w:val="none"/>
              </w:rPr>
              <w:t>要求，</w:t>
            </w:r>
            <w:r>
              <w:rPr>
                <w:rFonts w:hint="eastAsia" w:ascii="宋体" w:hAnsi="宋体" w:cs="宋体"/>
                <w:bCs/>
                <w:color w:val="auto"/>
                <w:szCs w:val="21"/>
                <w:highlight w:val="none"/>
              </w:rPr>
              <w:t>履约保证金的金额：合同价格的10%</w:t>
            </w:r>
          </w:p>
          <w:p w14:paraId="0E5F857B">
            <w:pPr>
              <w:spacing w:line="360" w:lineRule="auto"/>
              <w:rPr>
                <w:rFonts w:hint="eastAsia" w:ascii="宋体" w:hAnsi="宋体"/>
                <w:color w:val="auto"/>
                <w:szCs w:val="21"/>
                <w:highlight w:val="none"/>
              </w:rPr>
            </w:pPr>
            <w:r>
              <w:rPr>
                <w:rFonts w:hint="eastAsia" w:ascii="宋体" w:hAnsi="宋体"/>
                <w:color w:val="auto"/>
                <w:szCs w:val="21"/>
                <w:highlight w:val="none"/>
              </w:rPr>
              <w:t>履约保证金的形式：在合同签订前，中标人可采用银行保函向招标人提交履约担保或支付履约保证金到招标人账户；如果中标人的履约担保是以银行保函的形式提供，则该银行保函应由支行或其他以上级别银行出具的无条件不可撤销、见索即付、独立的履约保函。非东莞市行政区域内的担保机构出具的履约保函需经担保机构所在地公证机关公证并出具公证书，执行本款所发生的费用由</w:t>
            </w:r>
            <w:r>
              <w:rPr>
                <w:rFonts w:hint="eastAsia" w:ascii="宋体" w:hAnsi="宋体"/>
                <w:color w:val="auto"/>
                <w:szCs w:val="21"/>
                <w:highlight w:val="none"/>
                <w:lang w:val="en-US" w:eastAsia="zh-CN"/>
              </w:rPr>
              <w:t>中标</w:t>
            </w:r>
            <w:r>
              <w:rPr>
                <w:rFonts w:hint="eastAsia" w:ascii="宋体" w:hAnsi="宋体"/>
                <w:color w:val="auto"/>
                <w:szCs w:val="21"/>
                <w:highlight w:val="none"/>
              </w:rPr>
              <w:t>人承担。</w:t>
            </w:r>
          </w:p>
          <w:p w14:paraId="4DEA4264">
            <w:pPr>
              <w:widowControl/>
              <w:spacing w:line="360" w:lineRule="auto"/>
              <w:rPr>
                <w:rFonts w:hint="eastAsia" w:ascii="宋体" w:hAnsi="宋体"/>
                <w:color w:val="auto"/>
                <w:sz w:val="22"/>
                <w:szCs w:val="22"/>
                <w:highlight w:val="none"/>
              </w:rPr>
            </w:pPr>
            <w:r>
              <w:rPr>
                <w:rFonts w:hint="eastAsia" w:ascii="宋体" w:hAnsi="宋体"/>
                <w:color w:val="auto"/>
                <w:sz w:val="22"/>
                <w:szCs w:val="22"/>
                <w:highlight w:val="none"/>
              </w:rPr>
              <w:t>履约保证金账户：</w:t>
            </w:r>
          </w:p>
          <w:p w14:paraId="33D8ED28">
            <w:pPr>
              <w:spacing w:line="360" w:lineRule="auto"/>
              <w:rPr>
                <w:rFonts w:hint="eastAsia" w:ascii="宋体" w:hAnsi="宋体" w:cs="宋体"/>
                <w:bCs/>
                <w:color w:val="auto"/>
                <w:sz w:val="22"/>
                <w:szCs w:val="22"/>
                <w:highlight w:val="none"/>
                <w:u w:val="single"/>
              </w:rPr>
            </w:pPr>
            <w:r>
              <w:rPr>
                <w:rFonts w:hint="eastAsia" w:ascii="宋体" w:hAnsi="宋体" w:cs="宋体"/>
                <w:color w:val="auto"/>
                <w:sz w:val="22"/>
                <w:szCs w:val="22"/>
                <w:highlight w:val="none"/>
              </w:rPr>
              <w:t>开户名称：</w:t>
            </w:r>
            <w:r>
              <w:rPr>
                <w:rFonts w:hint="eastAsia" w:ascii="宋体" w:hAnsi="宋体" w:cs="宋体"/>
                <w:bCs/>
                <w:color w:val="auto"/>
                <w:sz w:val="22"/>
                <w:szCs w:val="22"/>
                <w:highlight w:val="none"/>
                <w:u w:val="single"/>
              </w:rPr>
              <w:t>东莞市轨道一号线建设发展有限公司</w:t>
            </w:r>
          </w:p>
          <w:p w14:paraId="3161517F">
            <w:pPr>
              <w:spacing w:line="360" w:lineRule="auto"/>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开户银行：</w:t>
            </w:r>
            <w:r>
              <w:rPr>
                <w:rFonts w:hint="eastAsia" w:ascii="宋体" w:hAnsi="宋体" w:cs="宋体"/>
                <w:bCs/>
                <w:color w:val="auto"/>
                <w:sz w:val="22"/>
                <w:szCs w:val="22"/>
                <w:highlight w:val="none"/>
                <w:u w:val="single"/>
              </w:rPr>
              <w:t>东莞银行股份有限公司中心区恒兆支行</w:t>
            </w:r>
          </w:p>
          <w:p w14:paraId="520E1000">
            <w:pPr>
              <w:pStyle w:val="7"/>
              <w:spacing w:line="360" w:lineRule="auto"/>
              <w:ind w:firstLine="0" w:firstLineChars="0"/>
              <w:rPr>
                <w:rFonts w:hint="eastAsia" w:ascii="宋体" w:hAnsi="宋体" w:cs="宋体"/>
                <w:bCs/>
                <w:color w:val="auto"/>
                <w:sz w:val="22"/>
                <w:szCs w:val="22"/>
                <w:highlight w:val="none"/>
                <w:u w:val="single"/>
              </w:rPr>
            </w:pPr>
            <w:r>
              <w:rPr>
                <w:rFonts w:hint="eastAsia" w:ascii="宋体" w:hAnsi="宋体" w:cs="宋体"/>
                <w:color w:val="auto"/>
                <w:sz w:val="22"/>
                <w:szCs w:val="22"/>
                <w:highlight w:val="none"/>
              </w:rPr>
              <w:t>账    号：</w:t>
            </w:r>
            <w:r>
              <w:rPr>
                <w:rFonts w:hint="eastAsia" w:ascii="宋体" w:hAnsi="宋体" w:cs="宋体"/>
                <w:bCs/>
                <w:color w:val="auto"/>
                <w:sz w:val="22"/>
                <w:szCs w:val="22"/>
                <w:highlight w:val="none"/>
                <w:u w:val="single"/>
              </w:rPr>
              <w:t xml:space="preserve">518000015067502  </w:t>
            </w:r>
          </w:p>
          <w:p w14:paraId="3E2C3CD3">
            <w:pPr>
              <w:spacing w:line="360" w:lineRule="auto"/>
              <w:rPr>
                <w:rFonts w:hint="eastAsia" w:ascii="宋体" w:hAnsi="宋体"/>
                <w:color w:val="auto"/>
                <w:szCs w:val="21"/>
                <w:highlight w:val="none"/>
              </w:rPr>
            </w:pPr>
            <w:r>
              <w:rPr>
                <w:rFonts w:hint="eastAsia" w:ascii="宋体" w:hAnsi="宋体"/>
                <w:color w:val="auto"/>
                <w:szCs w:val="21"/>
                <w:highlight w:val="none"/>
              </w:rPr>
              <w:t>□不要求</w:t>
            </w:r>
          </w:p>
        </w:tc>
      </w:tr>
      <w:tr w14:paraId="66BF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5E9B08EB">
            <w:pPr>
              <w:spacing w:line="360" w:lineRule="auto"/>
              <w:jc w:val="center"/>
              <w:rPr>
                <w:rFonts w:hint="eastAsia" w:ascii="宋体" w:hAnsi="宋体"/>
                <w:color w:val="auto"/>
                <w:szCs w:val="21"/>
                <w:highlight w:val="none"/>
              </w:rPr>
            </w:pPr>
            <w:r>
              <w:rPr>
                <w:rFonts w:ascii="宋体" w:hAnsi="宋体"/>
                <w:color w:val="auto"/>
                <w:szCs w:val="21"/>
                <w:highlight w:val="none"/>
              </w:rPr>
              <w:t>9</w:t>
            </w:r>
          </w:p>
        </w:tc>
        <w:tc>
          <w:tcPr>
            <w:tcW w:w="2566" w:type="dxa"/>
            <w:tcBorders>
              <w:top w:val="single" w:color="auto" w:sz="4" w:space="0"/>
              <w:left w:val="single" w:color="auto" w:sz="4" w:space="0"/>
              <w:bottom w:val="single" w:color="auto" w:sz="4" w:space="0"/>
              <w:right w:val="single" w:color="auto" w:sz="4" w:space="0"/>
            </w:tcBorders>
            <w:vAlign w:val="center"/>
          </w:tcPr>
          <w:p w14:paraId="7F945403">
            <w:pPr>
              <w:spacing w:line="360" w:lineRule="auto"/>
              <w:jc w:val="left"/>
              <w:rPr>
                <w:rFonts w:hint="eastAsia" w:ascii="宋体" w:hAnsi="宋体"/>
                <w:color w:val="auto"/>
                <w:szCs w:val="21"/>
                <w:highlight w:val="none"/>
              </w:rPr>
            </w:pPr>
            <w:r>
              <w:rPr>
                <w:rFonts w:hint="eastAsia" w:ascii="宋体" w:hAnsi="宋体"/>
                <w:color w:val="auto"/>
                <w:szCs w:val="21"/>
                <w:highlight w:val="none"/>
              </w:rPr>
              <w:t>是否采用电子招标投标</w:t>
            </w:r>
          </w:p>
        </w:tc>
        <w:tc>
          <w:tcPr>
            <w:tcW w:w="5938" w:type="dxa"/>
            <w:tcBorders>
              <w:top w:val="single" w:color="auto" w:sz="4" w:space="0"/>
              <w:left w:val="single" w:color="auto" w:sz="4" w:space="0"/>
              <w:bottom w:val="single" w:color="auto" w:sz="4" w:space="0"/>
              <w:right w:val="single" w:color="auto" w:sz="4" w:space="0"/>
            </w:tcBorders>
            <w:vAlign w:val="center"/>
          </w:tcPr>
          <w:p w14:paraId="2620F32A">
            <w:pPr>
              <w:spacing w:line="360" w:lineRule="auto"/>
              <w:rPr>
                <w:rFonts w:hint="eastAsia" w:ascii="宋体" w:hAnsi="宋体"/>
                <w:color w:val="auto"/>
                <w:szCs w:val="21"/>
                <w:highlight w:val="none"/>
              </w:rPr>
            </w:pPr>
            <w:r>
              <w:rPr>
                <w:rFonts w:hint="eastAsia" w:ascii="宋体" w:hAnsi="宋体"/>
                <w:color w:val="auto"/>
                <w:szCs w:val="21"/>
                <w:highlight w:val="none"/>
              </w:rPr>
              <w:t>□否</w:t>
            </w:r>
          </w:p>
          <w:p w14:paraId="2030E9DF">
            <w:pPr>
              <w:spacing w:line="360" w:lineRule="auto"/>
              <w:rPr>
                <w:rFonts w:hint="eastAsia" w:ascii="宋体" w:hAnsi="宋体"/>
                <w:color w:val="auto"/>
                <w:szCs w:val="21"/>
                <w:highlight w:val="none"/>
              </w:rPr>
            </w:pPr>
            <w:r>
              <w:rPr>
                <w:rFonts w:hint="eastAsia" w:ascii="宋体" w:hAnsi="宋体" w:cs="宋体"/>
                <w:color w:val="auto"/>
                <w:spacing w:val="-2"/>
                <w:position w:val="1"/>
                <w:szCs w:val="21"/>
                <w:highlight w:val="none"/>
                <w:bdr w:val="single" w:color="auto" w:sz="4" w:space="0"/>
              </w:rPr>
              <w:t>√</w:t>
            </w:r>
            <w:r>
              <w:rPr>
                <w:rFonts w:hint="eastAsia" w:ascii="宋体" w:hAnsi="宋体"/>
                <w:color w:val="auto"/>
                <w:szCs w:val="21"/>
                <w:highlight w:val="none"/>
              </w:rPr>
              <w:t>是，具体要求：</w:t>
            </w:r>
          </w:p>
          <w:p w14:paraId="2ECFE49A">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）具体操作详见附件《房屋建筑和市政基础设施工程全流程电子化项目操作专章》。</w:t>
            </w:r>
          </w:p>
          <w:p w14:paraId="1D4AEE5B">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）提交投标文件光盘备用</w:t>
            </w:r>
          </w:p>
          <w:p w14:paraId="53C30F18">
            <w:pPr>
              <w:spacing w:line="360" w:lineRule="auto"/>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）投标人可制作非加密的电子投标文件（</w:t>
            </w:r>
            <w:r>
              <w:rPr>
                <w:rFonts w:ascii="宋体" w:hAnsi="宋体"/>
                <w:color w:val="auto"/>
                <w:szCs w:val="21"/>
                <w:highlight w:val="none"/>
              </w:rPr>
              <w:t>PDF</w:t>
            </w:r>
            <w:r>
              <w:rPr>
                <w:rFonts w:hint="eastAsia" w:ascii="宋体" w:hAnsi="宋体"/>
                <w:color w:val="auto"/>
                <w:szCs w:val="21"/>
                <w:highlight w:val="none"/>
              </w:rPr>
              <w:t>格式）刻入光盘（</w:t>
            </w:r>
            <w:r>
              <w:rPr>
                <w:rFonts w:ascii="宋体" w:hAnsi="宋体"/>
                <w:color w:val="auto"/>
                <w:szCs w:val="21"/>
                <w:highlight w:val="none"/>
              </w:rPr>
              <w:t>1</w:t>
            </w:r>
            <w:r>
              <w:rPr>
                <w:rFonts w:hint="eastAsia" w:ascii="宋体" w:hAnsi="宋体"/>
                <w:color w:val="auto"/>
                <w:szCs w:val="21"/>
                <w:highlight w:val="none"/>
              </w:rPr>
              <w:t>份），在规定的时间、地点提交备用。</w:t>
            </w:r>
            <w:r>
              <w:rPr>
                <w:rFonts w:ascii="宋体" w:hAnsi="宋体"/>
                <w:color w:val="auto"/>
                <w:szCs w:val="21"/>
                <w:highlight w:val="none"/>
              </w:rPr>
              <w:t>(</w:t>
            </w:r>
            <w:r>
              <w:rPr>
                <w:rFonts w:hint="eastAsia" w:ascii="宋体" w:hAnsi="宋体"/>
                <w:color w:val="auto"/>
                <w:szCs w:val="21"/>
                <w:highlight w:val="none"/>
              </w:rPr>
              <w:t>刻录好的投标文件光盘密封在密封袋中，并在封口处加盖投标人单位公章。密封袋上应写明项目名称和招标人名称；</w:t>
            </w:r>
          </w:p>
          <w:p w14:paraId="3573CF20">
            <w:pPr>
              <w:spacing w:line="360" w:lineRule="auto"/>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）递交的投标文件光盘</w:t>
            </w:r>
            <w:r>
              <w:rPr>
                <w:rFonts w:ascii="宋体" w:hAnsi="宋体"/>
                <w:color w:val="auto"/>
                <w:szCs w:val="21"/>
                <w:highlight w:val="none"/>
              </w:rPr>
              <w:t>(</w:t>
            </w:r>
            <w:r>
              <w:rPr>
                <w:rFonts w:hint="eastAsia" w:ascii="宋体" w:hAnsi="宋体"/>
                <w:color w:val="auto"/>
                <w:szCs w:val="21"/>
                <w:highlight w:val="none"/>
              </w:rPr>
              <w:t>备用</w:t>
            </w:r>
            <w:r>
              <w:rPr>
                <w:rFonts w:ascii="宋体" w:hAnsi="宋体"/>
                <w:color w:val="auto"/>
                <w:szCs w:val="21"/>
                <w:highlight w:val="none"/>
              </w:rPr>
              <w:t>)</w:t>
            </w:r>
            <w:r>
              <w:rPr>
                <w:rFonts w:hint="eastAsia" w:ascii="宋体" w:hAnsi="宋体"/>
                <w:color w:val="auto"/>
                <w:szCs w:val="21"/>
                <w:highlight w:val="none"/>
              </w:rPr>
              <w:t>不得加密。光盘（备用投标文件）无法读取或导入的，则视为未提交投标文件光盘</w:t>
            </w:r>
            <w:r>
              <w:rPr>
                <w:rFonts w:ascii="宋体" w:hAnsi="宋体"/>
                <w:color w:val="auto"/>
                <w:szCs w:val="21"/>
                <w:highlight w:val="none"/>
              </w:rPr>
              <w:t>(</w:t>
            </w:r>
            <w:r>
              <w:rPr>
                <w:rFonts w:hint="eastAsia" w:ascii="宋体" w:hAnsi="宋体"/>
                <w:color w:val="auto"/>
                <w:szCs w:val="21"/>
                <w:highlight w:val="none"/>
              </w:rPr>
              <w:t>备用</w:t>
            </w:r>
            <w:r>
              <w:rPr>
                <w:rFonts w:ascii="宋体" w:hAnsi="宋体"/>
                <w:color w:val="auto"/>
                <w:szCs w:val="21"/>
                <w:highlight w:val="none"/>
              </w:rPr>
              <w:t>)</w:t>
            </w:r>
            <w:r>
              <w:rPr>
                <w:rFonts w:hint="eastAsia" w:ascii="宋体" w:hAnsi="宋体"/>
                <w:color w:val="auto"/>
                <w:szCs w:val="21"/>
                <w:highlight w:val="none"/>
              </w:rPr>
              <w:t>。如果投标人没有按规定通过交易平台网上递交电子投标文件的，不再读取提交的光盘。投标人也可不提交投标文件光盘</w:t>
            </w:r>
            <w:r>
              <w:rPr>
                <w:rFonts w:ascii="宋体" w:hAnsi="宋体"/>
                <w:color w:val="auto"/>
                <w:szCs w:val="21"/>
                <w:highlight w:val="none"/>
              </w:rPr>
              <w:t>(</w:t>
            </w:r>
            <w:r>
              <w:rPr>
                <w:rFonts w:hint="eastAsia" w:ascii="宋体" w:hAnsi="宋体"/>
                <w:color w:val="auto"/>
                <w:szCs w:val="21"/>
                <w:highlight w:val="none"/>
              </w:rPr>
              <w:t>备用</w:t>
            </w:r>
            <w:r>
              <w:rPr>
                <w:rFonts w:ascii="宋体" w:hAnsi="宋体"/>
                <w:color w:val="auto"/>
                <w:szCs w:val="21"/>
                <w:highlight w:val="none"/>
              </w:rPr>
              <w:t>)</w:t>
            </w:r>
            <w:r>
              <w:rPr>
                <w:rFonts w:hint="eastAsia" w:ascii="宋体" w:hAnsi="宋体"/>
                <w:color w:val="auto"/>
                <w:szCs w:val="21"/>
                <w:highlight w:val="none"/>
              </w:rPr>
              <w:t>。</w:t>
            </w:r>
          </w:p>
          <w:p w14:paraId="5A001F1B">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）补救方案</w:t>
            </w:r>
          </w:p>
          <w:p w14:paraId="7A9B73AF">
            <w:pPr>
              <w:spacing w:line="360" w:lineRule="auto"/>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）投标文件解密失败的补救方案：</w:t>
            </w:r>
          </w:p>
          <w:p w14:paraId="6722364D">
            <w:pPr>
              <w:spacing w:line="360" w:lineRule="auto"/>
              <w:rPr>
                <w:rFonts w:hint="eastAsia" w:ascii="宋体" w:hAnsi="宋体"/>
                <w:color w:val="auto"/>
                <w:szCs w:val="21"/>
                <w:highlight w:val="none"/>
              </w:rPr>
            </w:pPr>
            <w:r>
              <w:rPr>
                <w:rFonts w:hint="eastAsia" w:ascii="宋体" w:hAnsi="宋体"/>
                <w:color w:val="auto"/>
                <w:szCs w:val="21"/>
                <w:highlight w:val="none"/>
              </w:rPr>
              <w:t>在规定时间内，因投标人之外原因</w:t>
            </w:r>
            <w:r>
              <w:rPr>
                <w:rFonts w:ascii="宋体" w:hAnsi="宋体"/>
                <w:color w:val="auto"/>
                <w:szCs w:val="21"/>
                <w:highlight w:val="none"/>
              </w:rPr>
              <w:t>(</w:t>
            </w:r>
            <w:r>
              <w:rPr>
                <w:rFonts w:hint="eastAsia" w:ascii="宋体" w:hAnsi="宋体"/>
                <w:color w:val="auto"/>
                <w:szCs w:val="21"/>
                <w:highlight w:val="none"/>
              </w:rPr>
              <w:t>指网络瘫痪、服务器损坏、交易系统故障短期无法恢复</w:t>
            </w:r>
            <w:r>
              <w:rPr>
                <w:rFonts w:ascii="宋体" w:hAnsi="宋体"/>
                <w:color w:val="auto"/>
                <w:szCs w:val="21"/>
                <w:highlight w:val="none"/>
              </w:rPr>
              <w:t>)</w:t>
            </w:r>
            <w:r>
              <w:rPr>
                <w:rFonts w:hint="eastAsia" w:ascii="宋体" w:hAnsi="宋体"/>
                <w:color w:val="auto"/>
                <w:szCs w:val="21"/>
                <w:highlight w:val="none"/>
              </w:rPr>
              <w:t>导致的电子投标文件解密失败，在开标现场读取光盘内容，继续开标程序。评标委员会对其投标文件的评审以光盘内容为准。因投标人之外原因解密失败且未递交电子光盘的，视为撤回投标文件。</w:t>
            </w:r>
          </w:p>
          <w:p w14:paraId="3391E5FC">
            <w:pPr>
              <w:spacing w:line="360" w:lineRule="auto"/>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）评标时突发情况的补救方案</w:t>
            </w:r>
          </w:p>
          <w:p w14:paraId="2B856B3D">
            <w:pPr>
              <w:spacing w:line="360" w:lineRule="auto"/>
              <w:rPr>
                <w:rFonts w:hint="eastAsia" w:ascii="宋体" w:hAnsi="宋体"/>
                <w:color w:val="auto"/>
                <w:szCs w:val="21"/>
                <w:highlight w:val="none"/>
              </w:rPr>
            </w:pPr>
            <w:r>
              <w:rPr>
                <w:rFonts w:hint="eastAsia" w:ascii="宋体" w:hAnsi="宋体"/>
                <w:color w:val="auto"/>
                <w:szCs w:val="21"/>
                <w:highlight w:val="none"/>
              </w:rPr>
              <w:t>若遇不可抗力发生（如：网络瘫痪、服务器损坏、交易系统故障短期无法恢复等因素），由评标委员会开启现场递交的全部投标文件光盘，并按光盘内容进行评审。</w:t>
            </w:r>
          </w:p>
          <w:p w14:paraId="7D06D362">
            <w:pPr>
              <w:spacing w:line="360" w:lineRule="auto"/>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）除发生上述情况外，开标评标均以投标人通过交易平台网上递交的电子投标文件为准。</w:t>
            </w:r>
          </w:p>
        </w:tc>
      </w:tr>
      <w:tr w14:paraId="1DFA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7C906D74">
            <w:pPr>
              <w:spacing w:line="360" w:lineRule="auto"/>
              <w:jc w:val="center"/>
              <w:rPr>
                <w:rFonts w:hint="eastAsia" w:ascii="宋体" w:hAnsi="宋体"/>
                <w:color w:val="auto"/>
                <w:szCs w:val="21"/>
                <w:highlight w:val="none"/>
              </w:rPr>
            </w:pPr>
            <w:r>
              <w:rPr>
                <w:rFonts w:ascii="宋体" w:hAnsi="宋体"/>
                <w:color w:val="auto"/>
                <w:szCs w:val="21"/>
                <w:highlight w:val="none"/>
              </w:rPr>
              <w:t>10</w:t>
            </w:r>
          </w:p>
        </w:tc>
        <w:tc>
          <w:tcPr>
            <w:tcW w:w="2566" w:type="dxa"/>
            <w:tcBorders>
              <w:top w:val="single" w:color="auto" w:sz="4" w:space="0"/>
              <w:left w:val="single" w:color="auto" w:sz="4" w:space="0"/>
              <w:bottom w:val="single" w:color="auto" w:sz="4" w:space="0"/>
              <w:right w:val="single" w:color="auto" w:sz="4" w:space="0"/>
            </w:tcBorders>
            <w:vAlign w:val="center"/>
          </w:tcPr>
          <w:p w14:paraId="2218F0C5">
            <w:pPr>
              <w:spacing w:line="360" w:lineRule="auto"/>
              <w:jc w:val="left"/>
              <w:rPr>
                <w:rFonts w:hint="eastAsia" w:ascii="宋体" w:hAnsi="宋体" w:cs="宋体"/>
                <w:color w:val="auto"/>
                <w:szCs w:val="21"/>
                <w:highlight w:val="none"/>
              </w:rPr>
            </w:pPr>
            <w:r>
              <w:rPr>
                <w:rFonts w:hint="eastAsia" w:ascii="宋体" w:hAnsi="宋体"/>
                <w:color w:val="auto"/>
                <w:szCs w:val="21"/>
                <w:highlight w:val="none"/>
              </w:rPr>
              <w:t>需要补充的其他内容</w:t>
            </w:r>
          </w:p>
        </w:tc>
        <w:tc>
          <w:tcPr>
            <w:tcW w:w="5938" w:type="dxa"/>
            <w:tcBorders>
              <w:top w:val="single" w:color="auto" w:sz="4" w:space="0"/>
              <w:left w:val="single" w:color="auto" w:sz="4" w:space="0"/>
              <w:bottom w:val="single" w:color="auto" w:sz="4" w:space="0"/>
              <w:right w:val="single" w:color="auto" w:sz="4" w:space="0"/>
            </w:tcBorders>
            <w:vAlign w:val="center"/>
          </w:tcPr>
          <w:p w14:paraId="20E6D27C">
            <w:pPr>
              <w:spacing w:line="360" w:lineRule="auto"/>
              <w:jc w:val="center"/>
              <w:rPr>
                <w:rFonts w:hint="eastAsia" w:ascii="宋体" w:hAnsi="宋体" w:eastAsia="宋体" w:cs="宋体"/>
                <w:color w:val="auto"/>
                <w:szCs w:val="21"/>
                <w:highlight w:val="none"/>
                <w:lang w:val="en-US" w:eastAsia="zh-CN"/>
              </w:rPr>
            </w:pPr>
          </w:p>
        </w:tc>
      </w:tr>
      <w:tr w14:paraId="396D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2D619DA1">
            <w:pPr>
              <w:spacing w:line="360" w:lineRule="auto"/>
              <w:jc w:val="center"/>
              <w:rPr>
                <w:rFonts w:hint="eastAsia" w:ascii="宋体" w:hAnsi="宋体"/>
                <w:color w:val="auto"/>
                <w:szCs w:val="21"/>
                <w:highlight w:val="none"/>
              </w:rPr>
            </w:pPr>
            <w:r>
              <w:rPr>
                <w:rFonts w:hint="eastAsia" w:ascii="宋体" w:hAnsi="宋体"/>
                <w:color w:val="auto"/>
                <w:szCs w:val="21"/>
                <w:highlight w:val="none"/>
              </w:rPr>
              <w:t>10.1</w:t>
            </w:r>
          </w:p>
        </w:tc>
        <w:tc>
          <w:tcPr>
            <w:tcW w:w="2566" w:type="dxa"/>
            <w:tcBorders>
              <w:top w:val="single" w:color="auto" w:sz="4" w:space="0"/>
              <w:left w:val="single" w:color="auto" w:sz="4" w:space="0"/>
              <w:bottom w:val="single" w:color="auto" w:sz="4" w:space="0"/>
              <w:right w:val="single" w:color="auto" w:sz="4" w:space="0"/>
            </w:tcBorders>
            <w:vAlign w:val="center"/>
          </w:tcPr>
          <w:p w14:paraId="6471AC31">
            <w:pPr>
              <w:spacing w:line="360" w:lineRule="auto"/>
              <w:jc w:val="left"/>
              <w:rPr>
                <w:rFonts w:hint="eastAsia" w:ascii="宋体" w:hAnsi="宋体"/>
                <w:color w:val="auto"/>
                <w:szCs w:val="21"/>
                <w:highlight w:val="none"/>
              </w:rPr>
            </w:pPr>
            <w:r>
              <w:rPr>
                <w:rFonts w:hint="eastAsia" w:ascii="宋体" w:hAnsi="宋体"/>
                <w:color w:val="auto"/>
                <w:szCs w:val="21"/>
                <w:highlight w:val="none"/>
              </w:rPr>
              <w:t>特别提示</w:t>
            </w:r>
          </w:p>
        </w:tc>
        <w:tc>
          <w:tcPr>
            <w:tcW w:w="5938" w:type="dxa"/>
            <w:tcBorders>
              <w:top w:val="single" w:color="auto" w:sz="4" w:space="0"/>
              <w:left w:val="single" w:color="auto" w:sz="4" w:space="0"/>
              <w:bottom w:val="single" w:color="auto" w:sz="4" w:space="0"/>
              <w:right w:val="single" w:color="auto" w:sz="4" w:space="0"/>
            </w:tcBorders>
            <w:vAlign w:val="center"/>
          </w:tcPr>
          <w:p w14:paraId="27567CA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投标人在本项目招标人的工程项目中存在下列行为的，将被拒绝一定时期内参与我单位后续工程投标。（注：拒绝投标时限由招标人视严重程度确定，最低三个月起，自招标人发出通知之日起计）：</w:t>
            </w:r>
          </w:p>
          <w:p w14:paraId="6604B44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（1）将中标工程转包或者违法分包的；</w:t>
            </w:r>
          </w:p>
          <w:p w14:paraId="67BBE7F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（2）在中标工程中不执行质量、安全生产相关规定的，造成质量或安全事故的；</w:t>
            </w:r>
          </w:p>
          <w:p w14:paraId="7DF9F3E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（3）存在围标或串标情形的；</w:t>
            </w:r>
          </w:p>
          <w:p w14:paraId="58E9D38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（4）存在弄虚作假骗取中标情形的；</w:t>
            </w:r>
          </w:p>
          <w:p w14:paraId="267C7CD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在结果通知书发出前，中标候选人被作出限制投标和不得参与东莞轨道一号线建设发展有限公司新项目处理（即限制合作）的，视为不符合候选人条件，将按照评审结果依次上升递补，或重新招标。</w:t>
            </w:r>
          </w:p>
        </w:tc>
      </w:tr>
      <w:tr w14:paraId="2353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07CA6AD7">
            <w:pPr>
              <w:spacing w:line="360" w:lineRule="auto"/>
              <w:jc w:val="center"/>
              <w:rPr>
                <w:rFonts w:hint="eastAsia"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2</w:t>
            </w:r>
          </w:p>
        </w:tc>
        <w:tc>
          <w:tcPr>
            <w:tcW w:w="2566" w:type="dxa"/>
            <w:tcBorders>
              <w:top w:val="single" w:color="auto" w:sz="4" w:space="0"/>
              <w:left w:val="single" w:color="auto" w:sz="4" w:space="0"/>
              <w:bottom w:val="single" w:color="auto" w:sz="4" w:space="0"/>
              <w:right w:val="single" w:color="auto" w:sz="4" w:space="0"/>
            </w:tcBorders>
            <w:vAlign w:val="center"/>
          </w:tcPr>
          <w:p w14:paraId="62A0B6CB">
            <w:pPr>
              <w:spacing w:line="360" w:lineRule="auto"/>
              <w:jc w:val="left"/>
              <w:rPr>
                <w:rFonts w:hint="eastAsia" w:ascii="宋体" w:hAnsi="宋体"/>
                <w:color w:val="auto"/>
                <w:szCs w:val="21"/>
                <w:highlight w:val="none"/>
              </w:rPr>
            </w:pPr>
            <w:r>
              <w:rPr>
                <w:rFonts w:hint="eastAsia" w:ascii="宋体" w:hAnsi="宋体"/>
                <w:color w:val="auto"/>
                <w:szCs w:val="21"/>
                <w:highlight w:val="none"/>
              </w:rPr>
              <w:t>资格审查方式</w:t>
            </w:r>
          </w:p>
        </w:tc>
        <w:tc>
          <w:tcPr>
            <w:tcW w:w="5938" w:type="dxa"/>
            <w:tcBorders>
              <w:top w:val="single" w:color="auto" w:sz="4" w:space="0"/>
              <w:left w:val="single" w:color="auto" w:sz="4" w:space="0"/>
              <w:bottom w:val="single" w:color="auto" w:sz="4" w:space="0"/>
              <w:right w:val="single" w:color="auto" w:sz="4" w:space="0"/>
            </w:tcBorders>
            <w:vAlign w:val="center"/>
          </w:tcPr>
          <w:p w14:paraId="26A6946C">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资格后审</w:t>
            </w:r>
          </w:p>
        </w:tc>
      </w:tr>
      <w:tr w14:paraId="7E22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64A3569E">
            <w:pPr>
              <w:spacing w:line="360" w:lineRule="auto"/>
              <w:jc w:val="center"/>
              <w:rPr>
                <w:rFonts w:hint="eastAsia"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3</w:t>
            </w:r>
          </w:p>
        </w:tc>
        <w:tc>
          <w:tcPr>
            <w:tcW w:w="2566" w:type="dxa"/>
            <w:tcBorders>
              <w:top w:val="single" w:color="auto" w:sz="4" w:space="0"/>
              <w:left w:val="single" w:color="auto" w:sz="4" w:space="0"/>
              <w:bottom w:val="single" w:color="auto" w:sz="4" w:space="0"/>
              <w:right w:val="single" w:color="auto" w:sz="4" w:space="0"/>
            </w:tcBorders>
            <w:vAlign w:val="center"/>
          </w:tcPr>
          <w:p w14:paraId="6B84F347">
            <w:pPr>
              <w:spacing w:line="360" w:lineRule="auto"/>
              <w:jc w:val="left"/>
              <w:rPr>
                <w:rFonts w:hint="eastAsia" w:ascii="宋体" w:hAnsi="宋体"/>
                <w:color w:val="auto"/>
                <w:szCs w:val="21"/>
                <w:highlight w:val="none"/>
              </w:rPr>
            </w:pPr>
            <w:r>
              <w:rPr>
                <w:rFonts w:hint="eastAsia" w:ascii="宋体" w:hAnsi="宋体"/>
                <w:color w:val="auto"/>
                <w:szCs w:val="21"/>
                <w:highlight w:val="none"/>
              </w:rPr>
              <w:t>招标失败的情形</w:t>
            </w:r>
          </w:p>
        </w:tc>
        <w:tc>
          <w:tcPr>
            <w:tcW w:w="5938" w:type="dxa"/>
            <w:tcBorders>
              <w:top w:val="single" w:color="auto" w:sz="4" w:space="0"/>
              <w:left w:val="single" w:color="auto" w:sz="4" w:space="0"/>
              <w:bottom w:val="single" w:color="auto" w:sz="4" w:space="0"/>
              <w:right w:val="single" w:color="auto" w:sz="4" w:space="0"/>
            </w:tcBorders>
            <w:vAlign w:val="center"/>
          </w:tcPr>
          <w:p w14:paraId="5538AD5D">
            <w:pPr>
              <w:spacing w:line="360" w:lineRule="auto"/>
              <w:rPr>
                <w:rFonts w:hint="eastAsia" w:ascii="宋体" w:hAnsi="宋体"/>
                <w:color w:val="auto"/>
                <w:szCs w:val="21"/>
                <w:highlight w:val="none"/>
              </w:rPr>
            </w:pPr>
            <w:r>
              <w:rPr>
                <w:rFonts w:hint="eastAsia" w:ascii="宋体" w:hAnsi="宋体"/>
                <w:color w:val="auto"/>
                <w:szCs w:val="21"/>
                <w:highlight w:val="none"/>
              </w:rPr>
              <w:t>本项目采用资格后审方式，满足资格审查合格条件或通过初步评审的投标申请人不足3名时为招标失败。招标人分析招标失败原因，修正招标方案，报有关管理部门核准后，重新组织招标。</w:t>
            </w:r>
          </w:p>
        </w:tc>
      </w:tr>
      <w:tr w14:paraId="7AEE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77235D17">
            <w:pPr>
              <w:spacing w:line="360" w:lineRule="auto"/>
              <w:jc w:val="center"/>
              <w:rPr>
                <w:rFonts w:hint="eastAsia" w:ascii="宋体" w:hAnsi="宋体"/>
                <w:color w:val="auto"/>
                <w:szCs w:val="21"/>
                <w:highlight w:val="none"/>
              </w:rPr>
            </w:pPr>
            <w:r>
              <w:rPr>
                <w:rFonts w:hint="eastAsia" w:ascii="宋体" w:hAnsi="宋体"/>
                <w:color w:val="auto"/>
                <w:szCs w:val="21"/>
                <w:highlight w:val="none"/>
              </w:rPr>
              <w:t>10.4</w:t>
            </w:r>
          </w:p>
        </w:tc>
        <w:tc>
          <w:tcPr>
            <w:tcW w:w="2566" w:type="dxa"/>
            <w:tcBorders>
              <w:top w:val="single" w:color="auto" w:sz="4" w:space="0"/>
              <w:left w:val="single" w:color="auto" w:sz="4" w:space="0"/>
              <w:bottom w:val="single" w:color="auto" w:sz="4" w:space="0"/>
              <w:right w:val="single" w:color="auto" w:sz="4" w:space="0"/>
            </w:tcBorders>
            <w:vAlign w:val="center"/>
          </w:tcPr>
          <w:p w14:paraId="3684FDAB">
            <w:pPr>
              <w:spacing w:line="360" w:lineRule="auto"/>
              <w:jc w:val="left"/>
              <w:rPr>
                <w:rFonts w:hint="eastAsia" w:ascii="宋体" w:hAnsi="宋体"/>
                <w:color w:val="auto"/>
                <w:szCs w:val="21"/>
                <w:highlight w:val="none"/>
              </w:rPr>
            </w:pPr>
            <w:r>
              <w:rPr>
                <w:rFonts w:hint="eastAsia" w:ascii="宋体" w:hAnsi="宋体"/>
                <w:color w:val="auto"/>
                <w:szCs w:val="21"/>
                <w:highlight w:val="none"/>
              </w:rPr>
              <w:t>招标失败的处理</w:t>
            </w:r>
          </w:p>
        </w:tc>
        <w:tc>
          <w:tcPr>
            <w:tcW w:w="5938" w:type="dxa"/>
            <w:tcBorders>
              <w:top w:val="single" w:color="auto" w:sz="4" w:space="0"/>
              <w:left w:val="single" w:color="auto" w:sz="4" w:space="0"/>
              <w:bottom w:val="single" w:color="auto" w:sz="4" w:space="0"/>
              <w:right w:val="single" w:color="auto" w:sz="4" w:space="0"/>
            </w:tcBorders>
            <w:vAlign w:val="center"/>
          </w:tcPr>
          <w:p w14:paraId="78C88FF5">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招标人因两次或多次招标失败，需申请改变招标方式或不招标的，应按国家招投标法及省市最新相关规定执行。</w:t>
            </w:r>
          </w:p>
        </w:tc>
      </w:tr>
      <w:tr w14:paraId="2DEF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4B77959B">
            <w:pPr>
              <w:spacing w:line="360" w:lineRule="auto"/>
              <w:jc w:val="center"/>
              <w:rPr>
                <w:rFonts w:hint="eastAsia"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5</w:t>
            </w:r>
          </w:p>
        </w:tc>
        <w:tc>
          <w:tcPr>
            <w:tcW w:w="2566" w:type="dxa"/>
            <w:tcBorders>
              <w:top w:val="single" w:color="auto" w:sz="4" w:space="0"/>
              <w:left w:val="single" w:color="auto" w:sz="4" w:space="0"/>
              <w:bottom w:val="single" w:color="auto" w:sz="4" w:space="0"/>
              <w:right w:val="single" w:color="auto" w:sz="4" w:space="0"/>
            </w:tcBorders>
            <w:vAlign w:val="center"/>
          </w:tcPr>
          <w:p w14:paraId="241EB553">
            <w:pPr>
              <w:spacing w:line="360" w:lineRule="auto"/>
              <w:jc w:val="left"/>
              <w:rPr>
                <w:rFonts w:hint="eastAsia" w:ascii="宋体" w:hAnsi="宋体"/>
                <w:color w:val="auto"/>
                <w:szCs w:val="21"/>
                <w:highlight w:val="none"/>
              </w:rPr>
            </w:pPr>
            <w:r>
              <w:rPr>
                <w:rFonts w:hint="eastAsia" w:ascii="宋体" w:hAnsi="宋体"/>
                <w:color w:val="auto"/>
                <w:szCs w:val="21"/>
                <w:highlight w:val="none"/>
              </w:rPr>
              <w:t>投标价核定原则</w:t>
            </w:r>
          </w:p>
        </w:tc>
        <w:tc>
          <w:tcPr>
            <w:tcW w:w="5938" w:type="dxa"/>
            <w:tcBorders>
              <w:top w:val="single" w:color="auto" w:sz="4" w:space="0"/>
              <w:left w:val="single" w:color="auto" w:sz="4" w:space="0"/>
              <w:bottom w:val="single" w:color="auto" w:sz="4" w:space="0"/>
              <w:right w:val="single" w:color="auto" w:sz="4" w:space="0"/>
            </w:tcBorders>
            <w:vAlign w:val="center"/>
          </w:tcPr>
          <w:p w14:paraId="177D9DBF">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签订合同前，招标人有权对中标人的投标报价进行核定，按以下原则予以修正：</w:t>
            </w:r>
          </w:p>
          <w:p w14:paraId="2D1FD30F">
            <w:pPr>
              <w:spacing w:line="360" w:lineRule="auto"/>
              <w:rPr>
                <w:rFonts w:hint="eastAsia" w:ascii="宋体" w:hAnsi="宋体"/>
                <w:color w:val="auto"/>
                <w:szCs w:val="21"/>
                <w:highlight w:val="none"/>
              </w:rPr>
            </w:pPr>
            <w:r>
              <w:rPr>
                <w:rFonts w:hint="eastAsia" w:ascii="宋体" w:hAnsi="宋体"/>
                <w:color w:val="auto"/>
                <w:szCs w:val="21"/>
                <w:highlight w:val="none"/>
              </w:rPr>
              <w:t>（1）若数量级有误，以核准的数量级为准；</w:t>
            </w:r>
          </w:p>
          <w:p w14:paraId="009EE7B1">
            <w:pPr>
              <w:spacing w:line="360" w:lineRule="auto"/>
              <w:rPr>
                <w:rFonts w:hint="eastAsia" w:ascii="宋体" w:hAnsi="宋体"/>
                <w:color w:val="auto"/>
                <w:szCs w:val="21"/>
                <w:highlight w:val="none"/>
              </w:rPr>
            </w:pPr>
            <w:r>
              <w:rPr>
                <w:rFonts w:hint="eastAsia" w:ascii="宋体" w:hAnsi="宋体"/>
                <w:color w:val="auto"/>
                <w:szCs w:val="21"/>
                <w:highlight w:val="none"/>
              </w:rPr>
              <w:t>（2）若用小写表示的金额和用大写的金额不一致，以大写金额为准；</w:t>
            </w:r>
          </w:p>
          <w:p w14:paraId="1DCF03BE">
            <w:pPr>
              <w:spacing w:line="360" w:lineRule="auto"/>
              <w:rPr>
                <w:rFonts w:hint="eastAsia" w:ascii="宋体" w:hAnsi="宋体"/>
                <w:color w:val="auto"/>
                <w:szCs w:val="21"/>
                <w:highlight w:val="none"/>
              </w:rPr>
            </w:pPr>
            <w:r>
              <w:rPr>
                <w:rFonts w:hint="eastAsia" w:ascii="宋体" w:hAnsi="宋体"/>
                <w:color w:val="auto"/>
                <w:szCs w:val="21"/>
                <w:highlight w:val="none"/>
              </w:rPr>
              <w:t>（3）单价包干部分算术性错误调整原则：</w:t>
            </w:r>
          </w:p>
          <w:p w14:paraId="503E04DC">
            <w:pPr>
              <w:spacing w:line="360" w:lineRule="auto"/>
              <w:rPr>
                <w:rFonts w:hint="eastAsia" w:ascii="宋体" w:hAnsi="宋体"/>
                <w:color w:val="auto"/>
                <w:szCs w:val="21"/>
                <w:highlight w:val="none"/>
              </w:rPr>
            </w:pPr>
            <w:r>
              <w:rPr>
                <w:rFonts w:hint="eastAsia" w:ascii="宋体" w:hAnsi="宋体"/>
                <w:color w:val="auto"/>
                <w:szCs w:val="21"/>
                <w:highlight w:val="none"/>
              </w:rPr>
              <w:t>a、当单价与数量的乘积与合价不一致时，以所报单价为准，修改合价。</w:t>
            </w:r>
          </w:p>
          <w:p w14:paraId="68BEED4D">
            <w:pPr>
              <w:spacing w:line="360" w:lineRule="auto"/>
              <w:rPr>
                <w:rFonts w:hint="eastAsia" w:ascii="宋体" w:hAnsi="宋体"/>
                <w:color w:val="auto"/>
                <w:szCs w:val="21"/>
                <w:highlight w:val="none"/>
              </w:rPr>
            </w:pPr>
            <w:r>
              <w:rPr>
                <w:rFonts w:hint="eastAsia" w:ascii="宋体" w:hAnsi="宋体"/>
                <w:color w:val="auto"/>
                <w:szCs w:val="21"/>
                <w:highlight w:val="none"/>
              </w:rPr>
              <w:t>b、当工程量清单单价与单价分析表不一致时，以单价低的为准，若工程量清单单价低于单价分析表单价，则修正单价分析表。</w:t>
            </w:r>
          </w:p>
          <w:p w14:paraId="6730B438">
            <w:pPr>
              <w:spacing w:line="360" w:lineRule="auto"/>
              <w:rPr>
                <w:rFonts w:hint="eastAsia" w:ascii="宋体" w:hAnsi="宋体"/>
                <w:color w:val="auto"/>
                <w:szCs w:val="21"/>
                <w:highlight w:val="none"/>
              </w:rPr>
            </w:pPr>
            <w:r>
              <w:rPr>
                <w:rFonts w:hint="eastAsia" w:ascii="宋体" w:hAnsi="宋体"/>
                <w:color w:val="auto"/>
                <w:szCs w:val="21"/>
                <w:highlight w:val="none"/>
              </w:rPr>
              <w:t xml:space="preserve">c、单价包干项目工程量与招标文件工程量清单不一致时，按招标文件的工程量进行修正。当投标工程量大于招标工程量时，该项单价不变修正合价；当投标工程量小于招标工程量时，该项合价不变修正单价。 </w:t>
            </w:r>
          </w:p>
          <w:p w14:paraId="0ECD9500">
            <w:pPr>
              <w:spacing w:line="360" w:lineRule="auto"/>
              <w:rPr>
                <w:rFonts w:hint="eastAsia" w:ascii="宋体" w:hAnsi="宋体"/>
                <w:color w:val="auto"/>
                <w:szCs w:val="21"/>
                <w:highlight w:val="none"/>
              </w:rPr>
            </w:pPr>
            <w:r>
              <w:rPr>
                <w:rFonts w:hint="eastAsia" w:ascii="宋体" w:hAnsi="宋体"/>
                <w:color w:val="auto"/>
                <w:szCs w:val="21"/>
                <w:highlight w:val="none"/>
              </w:rPr>
              <w:t>d、工程量清单中单价包干项目的单位与招标文件工程量清单不一致时，按招标文件工程量清单修正该项的单位。</w:t>
            </w:r>
          </w:p>
          <w:p w14:paraId="49B084F7">
            <w:pPr>
              <w:spacing w:line="360" w:lineRule="auto"/>
              <w:rPr>
                <w:rFonts w:hint="eastAsia" w:ascii="宋体" w:hAnsi="宋体"/>
                <w:color w:val="auto"/>
                <w:szCs w:val="21"/>
                <w:highlight w:val="none"/>
              </w:rPr>
            </w:pPr>
            <w:r>
              <w:rPr>
                <w:rFonts w:hint="eastAsia" w:ascii="宋体" w:hAnsi="宋体"/>
                <w:color w:val="auto"/>
                <w:szCs w:val="21"/>
                <w:highlight w:val="none"/>
              </w:rPr>
              <w:t>e、单价包干项目的累计金额计算错误时，以上述修正原则修改后的各子项为准，修正汇总项。</w:t>
            </w:r>
          </w:p>
          <w:p w14:paraId="3AC6BC53">
            <w:pPr>
              <w:spacing w:line="360" w:lineRule="auto"/>
              <w:rPr>
                <w:rFonts w:hint="eastAsia" w:ascii="宋体" w:hAnsi="宋体"/>
                <w:color w:val="auto"/>
                <w:szCs w:val="21"/>
                <w:highlight w:val="none"/>
              </w:rPr>
            </w:pPr>
            <w:r>
              <w:rPr>
                <w:rFonts w:hint="eastAsia" w:ascii="宋体" w:hAnsi="宋体"/>
                <w:color w:val="auto"/>
                <w:szCs w:val="21"/>
                <w:highlight w:val="none"/>
              </w:rPr>
              <w:t>（4）总价包干部分算术性错误调整原则：当工程量清单汇总表的汇总金额与总价包干项目清单表的金额不一致时，以工程量清单汇总表中的总价包干部分的金额为准；当总价包干项目清单表的汇总金额与各清单子项的累计金额不一致时，以总价包干项目清单表的汇总金额为准；各清单子项的合价与各清单子项的单价╳数量的合计金额不一致时，以各子项的合价金额为准。</w:t>
            </w:r>
          </w:p>
          <w:p w14:paraId="2CA6F378">
            <w:pPr>
              <w:spacing w:line="360" w:lineRule="auto"/>
              <w:rPr>
                <w:rFonts w:hint="eastAsia" w:ascii="宋体" w:hAnsi="宋体"/>
                <w:color w:val="auto"/>
                <w:szCs w:val="21"/>
                <w:highlight w:val="none"/>
              </w:rPr>
            </w:pPr>
            <w:r>
              <w:rPr>
                <w:rFonts w:hint="eastAsia" w:ascii="宋体" w:hAnsi="宋体"/>
                <w:color w:val="auto"/>
                <w:szCs w:val="21"/>
                <w:highlight w:val="none"/>
              </w:rPr>
              <w:t>（5）对于非竞争性报价，如投标报价不一致，以招标人公布的为准，修正投标总报价，如果修正后的总报价低于投标报价的，以修正后的总报价为准，如果超过投标报价的，以投标报价为准。</w:t>
            </w:r>
          </w:p>
          <w:p w14:paraId="335D78E4">
            <w:pPr>
              <w:spacing w:line="360" w:lineRule="auto"/>
              <w:rPr>
                <w:rFonts w:hint="eastAsia" w:ascii="宋体" w:hAnsi="宋体"/>
                <w:color w:val="auto"/>
                <w:szCs w:val="21"/>
                <w:highlight w:val="none"/>
              </w:rPr>
            </w:pPr>
            <w:r>
              <w:rPr>
                <w:rFonts w:hint="eastAsia" w:ascii="宋体" w:hAnsi="宋体"/>
                <w:color w:val="auto"/>
                <w:szCs w:val="21"/>
                <w:highlight w:val="none"/>
              </w:rPr>
              <w:t>（6）修正工程量清单中各汇总项的累加错误，总价包干项目以汇总项为准，同比例修正各子项。</w:t>
            </w:r>
          </w:p>
          <w:p w14:paraId="4973E0B5">
            <w:pPr>
              <w:spacing w:line="360" w:lineRule="auto"/>
              <w:rPr>
                <w:rFonts w:hint="eastAsia" w:ascii="宋体" w:hAnsi="宋体"/>
                <w:color w:val="auto"/>
                <w:szCs w:val="21"/>
                <w:highlight w:val="none"/>
              </w:rPr>
            </w:pPr>
            <w:r>
              <w:rPr>
                <w:rFonts w:hint="eastAsia" w:ascii="宋体" w:hAnsi="宋体"/>
                <w:color w:val="auto"/>
                <w:szCs w:val="21"/>
                <w:highlight w:val="none"/>
              </w:rPr>
              <w:t>（7）按上述原则修正后，如修正的总报价高于投标报价的，维持投标报价，如修正总报价低于投标报价的，按修正总报价签订补充协议调整合同价。</w:t>
            </w:r>
          </w:p>
        </w:tc>
      </w:tr>
      <w:tr w14:paraId="5641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73CBD78A">
            <w:pPr>
              <w:spacing w:line="360" w:lineRule="auto"/>
              <w:jc w:val="center"/>
              <w:rPr>
                <w:rFonts w:hint="eastAsia"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6</w:t>
            </w:r>
          </w:p>
        </w:tc>
        <w:tc>
          <w:tcPr>
            <w:tcW w:w="2566" w:type="dxa"/>
            <w:tcBorders>
              <w:top w:val="single" w:color="auto" w:sz="4" w:space="0"/>
              <w:left w:val="single" w:color="auto" w:sz="4" w:space="0"/>
              <w:bottom w:val="single" w:color="auto" w:sz="4" w:space="0"/>
              <w:right w:val="single" w:color="auto" w:sz="4" w:space="0"/>
            </w:tcBorders>
            <w:vAlign w:val="center"/>
          </w:tcPr>
          <w:p w14:paraId="290D6D79">
            <w:pPr>
              <w:spacing w:line="360" w:lineRule="auto"/>
              <w:jc w:val="left"/>
              <w:rPr>
                <w:rFonts w:hint="eastAsia" w:ascii="宋体" w:hAnsi="宋体"/>
                <w:color w:val="auto"/>
                <w:szCs w:val="21"/>
                <w:highlight w:val="none"/>
              </w:rPr>
            </w:pPr>
            <w:r>
              <w:rPr>
                <w:rFonts w:hint="eastAsia" w:ascii="宋体" w:hAnsi="宋体"/>
                <w:color w:val="auto"/>
                <w:szCs w:val="21"/>
                <w:highlight w:val="none"/>
              </w:rPr>
              <w:t>其他</w:t>
            </w:r>
          </w:p>
        </w:tc>
        <w:tc>
          <w:tcPr>
            <w:tcW w:w="5938" w:type="dxa"/>
            <w:tcBorders>
              <w:top w:val="single" w:color="auto" w:sz="4" w:space="0"/>
              <w:left w:val="single" w:color="auto" w:sz="4" w:space="0"/>
              <w:bottom w:val="single" w:color="auto" w:sz="4" w:space="0"/>
              <w:right w:val="single" w:color="auto" w:sz="4" w:space="0"/>
            </w:tcBorders>
            <w:vAlign w:val="center"/>
          </w:tcPr>
          <w:p w14:paraId="31A97FA4">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（1）投标人应认真对待投标书的真实性，投标书中所附的各种评分材料不允许有造假行为，一经发现，则单项得分为零。</w:t>
            </w:r>
          </w:p>
          <w:p w14:paraId="49EDB6C0">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（2）投标人必须按照招标文件规定的清单格式进行报价，除了标书清单报价，招标人不再接受其他任何形式的报价说明（比如降价函、报价补充说明、优惠报价说明等等）。</w:t>
            </w:r>
          </w:p>
          <w:p w14:paraId="2B70EEB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（3）招标人和评标专家保留接受或拒绝任何变化、偏离或选择性报价的权力。凡超出招标文件规定的，或使招标人得到未曾要求的效益的变化、偏离、选择性报价或其它因素在评标时将不予考虑。</w:t>
            </w:r>
          </w:p>
          <w:p w14:paraId="1851DEBA">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（4）中标人应按招标人通知要求在规定时间内到</w:t>
            </w:r>
            <w:r>
              <w:rPr>
                <w:rFonts w:hint="eastAsia" w:ascii="宋体" w:hAnsi="宋体" w:cs="宋体"/>
                <w:color w:val="auto"/>
                <w:kern w:val="0"/>
                <w:szCs w:val="21"/>
                <w:highlight w:val="none"/>
                <w:lang w:eastAsia="zh-CN"/>
              </w:rPr>
              <w:t>广州交易集团有限公司（广州公共资源交易中心）</w:t>
            </w:r>
            <w:r>
              <w:rPr>
                <w:rFonts w:hint="eastAsia" w:ascii="宋体" w:hAnsi="宋体" w:cs="宋体"/>
                <w:color w:val="auto"/>
                <w:kern w:val="0"/>
                <w:szCs w:val="21"/>
                <w:highlight w:val="none"/>
              </w:rPr>
              <w:t>网配合办理中标通知书的相关手续。中标人应根据</w:t>
            </w:r>
            <w:r>
              <w:rPr>
                <w:rFonts w:hint="eastAsia" w:ascii="宋体" w:hAnsi="宋体" w:cs="宋体"/>
                <w:color w:val="auto"/>
                <w:kern w:val="0"/>
                <w:szCs w:val="21"/>
                <w:highlight w:val="none"/>
                <w:lang w:eastAsia="zh-CN"/>
              </w:rPr>
              <w:t>广州交易集团有限公司（广州公共资源交易中心）</w:t>
            </w:r>
            <w:r>
              <w:rPr>
                <w:rFonts w:hint="eastAsia" w:ascii="宋体" w:hAnsi="宋体" w:cs="宋体"/>
                <w:color w:val="auto"/>
                <w:kern w:val="0"/>
                <w:szCs w:val="21"/>
                <w:highlight w:val="none"/>
              </w:rPr>
              <w:t>网有关规定交纳交易服务费，最终以</w:t>
            </w:r>
            <w:r>
              <w:rPr>
                <w:rFonts w:hint="eastAsia" w:ascii="宋体" w:hAnsi="宋体" w:cs="宋体"/>
                <w:color w:val="auto"/>
                <w:kern w:val="0"/>
                <w:szCs w:val="21"/>
                <w:highlight w:val="none"/>
                <w:lang w:eastAsia="zh-CN"/>
              </w:rPr>
              <w:t>广州交易集团有限公司（广州公共资源交易中心）</w:t>
            </w:r>
            <w:r>
              <w:rPr>
                <w:rFonts w:hint="eastAsia" w:ascii="宋体" w:hAnsi="宋体" w:cs="宋体"/>
                <w:color w:val="auto"/>
                <w:kern w:val="0"/>
                <w:szCs w:val="21"/>
                <w:highlight w:val="none"/>
              </w:rPr>
              <w:t>网实际收取额为准。</w:t>
            </w:r>
          </w:p>
        </w:tc>
      </w:tr>
      <w:tr w14:paraId="552E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6"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18FE1AD1">
            <w:pPr>
              <w:spacing w:line="360" w:lineRule="auto"/>
              <w:jc w:val="center"/>
              <w:rPr>
                <w:rFonts w:hint="eastAsia" w:ascii="宋体" w:hAnsi="宋体"/>
                <w:color w:val="auto"/>
                <w:szCs w:val="21"/>
                <w:highlight w:val="none"/>
              </w:rPr>
            </w:pPr>
            <w:r>
              <w:rPr>
                <w:rFonts w:hint="eastAsia" w:ascii="宋体" w:hAnsi="宋体"/>
                <w:color w:val="auto"/>
                <w:szCs w:val="21"/>
                <w:highlight w:val="none"/>
              </w:rPr>
              <w:t>10.7</w:t>
            </w:r>
          </w:p>
        </w:tc>
        <w:tc>
          <w:tcPr>
            <w:tcW w:w="2566" w:type="dxa"/>
            <w:tcBorders>
              <w:top w:val="single" w:color="auto" w:sz="4" w:space="0"/>
              <w:left w:val="single" w:color="auto" w:sz="4" w:space="0"/>
              <w:bottom w:val="single" w:color="auto" w:sz="4" w:space="0"/>
              <w:right w:val="single" w:color="auto" w:sz="4" w:space="0"/>
            </w:tcBorders>
            <w:vAlign w:val="center"/>
          </w:tcPr>
          <w:p w14:paraId="09A9E343">
            <w:pPr>
              <w:spacing w:line="360" w:lineRule="auto"/>
              <w:jc w:val="left"/>
              <w:rPr>
                <w:rFonts w:hint="eastAsia" w:ascii="宋体" w:hAnsi="宋体"/>
                <w:color w:val="auto"/>
                <w:szCs w:val="21"/>
                <w:highlight w:val="none"/>
              </w:rPr>
            </w:pPr>
            <w:r>
              <w:rPr>
                <w:rFonts w:hint="eastAsia" w:ascii="宋体" w:hAnsi="宋体"/>
                <w:color w:val="auto"/>
                <w:szCs w:val="21"/>
                <w:highlight w:val="none"/>
              </w:rPr>
              <w:t>招标代理服务费</w:t>
            </w:r>
          </w:p>
        </w:tc>
        <w:tc>
          <w:tcPr>
            <w:tcW w:w="5938" w:type="dxa"/>
            <w:tcBorders>
              <w:top w:val="single" w:color="auto" w:sz="4" w:space="0"/>
              <w:left w:val="single" w:color="auto" w:sz="4" w:space="0"/>
              <w:bottom w:val="single" w:color="auto" w:sz="4" w:space="0"/>
              <w:right w:val="single" w:color="auto" w:sz="4" w:space="0"/>
            </w:tcBorders>
            <w:vAlign w:val="center"/>
          </w:tcPr>
          <w:p w14:paraId="7FD9E9BE">
            <w:pPr>
              <w:snapToGrid/>
              <w:spacing w:line="360" w:lineRule="auto"/>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中标人应向招标代理机构支付“招标代理服务费”。</w:t>
            </w:r>
          </w:p>
          <w:p w14:paraId="73D1DA06">
            <w:pPr>
              <w:snapToGrid/>
              <w:spacing w:line="360" w:lineRule="auto"/>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招标代理服务费收费标准按“东莞市轨道交通有限公司工程建设项目</w:t>
            </w:r>
            <w:bookmarkStart w:id="44" w:name="_Toc145355213"/>
            <w:r>
              <w:rPr>
                <w:rFonts w:hint="eastAsia" w:ascii="宋体" w:hAnsi="宋体" w:cs="宋体"/>
                <w:color w:val="auto"/>
                <w:kern w:val="0"/>
                <w:sz w:val="21"/>
                <w:szCs w:val="21"/>
                <w:highlight w:val="none"/>
              </w:rPr>
              <w:t>招标代理服务费计算标准</w:t>
            </w:r>
            <w:bookmarkEnd w:id="44"/>
            <w:r>
              <w:rPr>
                <w:rFonts w:hint="eastAsia" w:ascii="宋体" w:hAnsi="宋体" w:cs="宋体"/>
                <w:color w:val="auto"/>
                <w:kern w:val="0"/>
                <w:sz w:val="21"/>
                <w:szCs w:val="21"/>
                <w:highlight w:val="none"/>
              </w:rPr>
              <w:t>”的规定标准计算执行。</w:t>
            </w:r>
          </w:p>
          <w:p w14:paraId="7364D86F">
            <w:pPr>
              <w:snapToGrid/>
              <w:spacing w:line="360" w:lineRule="auto"/>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东莞市轨道交通有限公司工程建设项目招标代理服务费计算标准</w:t>
            </w:r>
          </w:p>
          <w:p w14:paraId="79BF8DE7">
            <w:pPr>
              <w:snapToGrid/>
              <w:spacing w:line="360" w:lineRule="auto"/>
              <w:ind w:firstLine="0" w:firstLineChars="0"/>
              <w:jc w:val="left"/>
              <w:rPr>
                <w:color w:val="auto"/>
                <w:highlight w:val="none"/>
              </w:rPr>
            </w:pPr>
            <w:r>
              <w:rPr>
                <w:rFonts w:hint="eastAsia" w:ascii="宋体" w:hAnsi="宋体" w:cs="宋体"/>
                <w:color w:val="auto"/>
                <w:kern w:val="0"/>
                <w:sz w:val="21"/>
                <w:szCs w:val="21"/>
                <w:highlight w:val="none"/>
              </w:rPr>
              <w:t>表1：招标代理服务费费率计算表</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1213"/>
              <w:gridCol w:w="1202"/>
              <w:gridCol w:w="1157"/>
            </w:tblGrid>
            <w:tr w14:paraId="4D60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vMerge w:val="restart"/>
                  <w:vAlign w:val="center"/>
                </w:tcPr>
                <w:p w14:paraId="3085CD51">
                  <w:pPr>
                    <w:pStyle w:val="7"/>
                    <w:ind w:firstLine="0" w:firstLineChars="0"/>
                    <w:rPr>
                      <w:color w:val="auto"/>
                      <w:highlight w:val="none"/>
                    </w:rPr>
                  </w:pPr>
                  <w:r>
                    <w:rPr>
                      <w:rFonts w:hint="eastAsia"/>
                      <w:color w:val="auto"/>
                      <w:highlight w:val="none"/>
                    </w:rPr>
                    <w:t>中标金额</w:t>
                  </w:r>
                </w:p>
                <w:p w14:paraId="259F03D0">
                  <w:pPr>
                    <w:pStyle w:val="7"/>
                    <w:ind w:firstLine="0" w:firstLineChars="0"/>
                    <w:rPr>
                      <w:color w:val="auto"/>
                      <w:highlight w:val="none"/>
                    </w:rPr>
                  </w:pPr>
                  <w:r>
                    <w:rPr>
                      <w:rFonts w:hint="eastAsia"/>
                      <w:color w:val="auto"/>
                      <w:highlight w:val="none"/>
                    </w:rPr>
                    <w:t>（设中标金额为X）</w:t>
                  </w:r>
                </w:p>
              </w:tc>
              <w:tc>
                <w:tcPr>
                  <w:tcW w:w="3126" w:type="pct"/>
                  <w:gridSpan w:val="3"/>
                  <w:vAlign w:val="center"/>
                </w:tcPr>
                <w:p w14:paraId="7AB29C7E">
                  <w:pPr>
                    <w:pStyle w:val="7"/>
                    <w:ind w:firstLine="0" w:firstLineChars="0"/>
                    <w:rPr>
                      <w:color w:val="auto"/>
                      <w:highlight w:val="none"/>
                    </w:rPr>
                  </w:pPr>
                  <w:r>
                    <w:rPr>
                      <w:rFonts w:hint="eastAsia"/>
                      <w:color w:val="auto"/>
                      <w:highlight w:val="none"/>
                    </w:rPr>
                    <w:t>费率</w:t>
                  </w:r>
                </w:p>
              </w:tc>
            </w:tr>
            <w:tr w14:paraId="05A9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vMerge w:val="continue"/>
                  <w:vAlign w:val="center"/>
                </w:tcPr>
                <w:p w14:paraId="3E078C2D">
                  <w:pPr>
                    <w:pStyle w:val="7"/>
                    <w:ind w:firstLine="0" w:firstLineChars="0"/>
                    <w:rPr>
                      <w:color w:val="auto"/>
                      <w:highlight w:val="none"/>
                    </w:rPr>
                  </w:pPr>
                </w:p>
              </w:tc>
              <w:tc>
                <w:tcPr>
                  <w:tcW w:w="1062" w:type="pct"/>
                  <w:vAlign w:val="center"/>
                </w:tcPr>
                <w:p w14:paraId="4864E732">
                  <w:pPr>
                    <w:pStyle w:val="7"/>
                    <w:ind w:firstLine="0" w:firstLineChars="0"/>
                    <w:rPr>
                      <w:color w:val="auto"/>
                      <w:highlight w:val="none"/>
                    </w:rPr>
                  </w:pPr>
                  <w:r>
                    <w:rPr>
                      <w:rFonts w:hint="eastAsia"/>
                      <w:color w:val="auto"/>
                      <w:highlight w:val="none"/>
                    </w:rPr>
                    <w:t>货物采购</w:t>
                  </w:r>
                </w:p>
              </w:tc>
              <w:tc>
                <w:tcPr>
                  <w:tcW w:w="1052" w:type="pct"/>
                  <w:vAlign w:val="center"/>
                </w:tcPr>
                <w:p w14:paraId="535B780D">
                  <w:pPr>
                    <w:pStyle w:val="7"/>
                    <w:ind w:firstLine="0" w:firstLineChars="0"/>
                    <w:rPr>
                      <w:color w:val="auto"/>
                      <w:highlight w:val="none"/>
                    </w:rPr>
                  </w:pPr>
                  <w:r>
                    <w:rPr>
                      <w:rFonts w:hint="eastAsia"/>
                      <w:color w:val="auto"/>
                      <w:highlight w:val="none"/>
                    </w:rPr>
                    <w:t>服务</w:t>
                  </w:r>
                </w:p>
              </w:tc>
              <w:tc>
                <w:tcPr>
                  <w:tcW w:w="1011" w:type="pct"/>
                  <w:vAlign w:val="center"/>
                </w:tcPr>
                <w:p w14:paraId="624A373C">
                  <w:pPr>
                    <w:pStyle w:val="7"/>
                    <w:ind w:firstLine="0" w:firstLineChars="0"/>
                    <w:rPr>
                      <w:color w:val="auto"/>
                      <w:highlight w:val="none"/>
                    </w:rPr>
                  </w:pPr>
                  <w:r>
                    <w:rPr>
                      <w:rFonts w:hint="eastAsia"/>
                      <w:color w:val="auto"/>
                      <w:highlight w:val="none"/>
                    </w:rPr>
                    <w:t>工程建设</w:t>
                  </w:r>
                </w:p>
              </w:tc>
            </w:tr>
            <w:tr w14:paraId="12A7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vAlign w:val="center"/>
                </w:tcPr>
                <w:p w14:paraId="03178AB9">
                  <w:pPr>
                    <w:pStyle w:val="7"/>
                    <w:ind w:firstLine="0" w:firstLineChars="0"/>
                    <w:rPr>
                      <w:color w:val="auto"/>
                      <w:highlight w:val="none"/>
                    </w:rPr>
                  </w:pPr>
                  <w:r>
                    <w:rPr>
                      <w:rFonts w:hint="eastAsia"/>
                      <w:color w:val="auto"/>
                      <w:highlight w:val="none"/>
                    </w:rPr>
                    <w:t>X≤100万元</w:t>
                  </w:r>
                </w:p>
              </w:tc>
              <w:tc>
                <w:tcPr>
                  <w:tcW w:w="1062" w:type="pct"/>
                  <w:vAlign w:val="center"/>
                </w:tcPr>
                <w:p w14:paraId="7507FD99">
                  <w:pPr>
                    <w:pStyle w:val="7"/>
                    <w:ind w:firstLine="0" w:firstLineChars="0"/>
                    <w:rPr>
                      <w:color w:val="auto"/>
                      <w:highlight w:val="none"/>
                      <w:lang w:val="zh-CN"/>
                    </w:rPr>
                  </w:pPr>
                  <w:r>
                    <w:rPr>
                      <w:rFonts w:hint="eastAsia"/>
                      <w:color w:val="auto"/>
                      <w:highlight w:val="none"/>
                      <w:lang w:val="zh-CN"/>
                    </w:rPr>
                    <w:t>1.5％</w:t>
                  </w:r>
                </w:p>
              </w:tc>
              <w:tc>
                <w:tcPr>
                  <w:tcW w:w="1052" w:type="pct"/>
                  <w:vAlign w:val="center"/>
                </w:tcPr>
                <w:p w14:paraId="182E16E6">
                  <w:pPr>
                    <w:pStyle w:val="7"/>
                    <w:ind w:firstLine="0" w:firstLineChars="0"/>
                    <w:rPr>
                      <w:color w:val="auto"/>
                      <w:highlight w:val="none"/>
                      <w:lang w:val="zh-CN"/>
                    </w:rPr>
                  </w:pPr>
                  <w:r>
                    <w:rPr>
                      <w:rFonts w:hint="eastAsia"/>
                      <w:color w:val="auto"/>
                      <w:highlight w:val="none"/>
                      <w:lang w:val="zh-CN"/>
                    </w:rPr>
                    <w:t>1.5％</w:t>
                  </w:r>
                </w:p>
              </w:tc>
              <w:tc>
                <w:tcPr>
                  <w:tcW w:w="1011" w:type="pct"/>
                  <w:vAlign w:val="center"/>
                </w:tcPr>
                <w:p w14:paraId="755B4AD7">
                  <w:pPr>
                    <w:pStyle w:val="7"/>
                    <w:ind w:firstLine="0" w:firstLineChars="0"/>
                    <w:rPr>
                      <w:color w:val="auto"/>
                      <w:highlight w:val="none"/>
                      <w:lang w:val="zh-CN"/>
                    </w:rPr>
                  </w:pPr>
                  <w:r>
                    <w:rPr>
                      <w:rFonts w:hint="eastAsia"/>
                      <w:color w:val="auto"/>
                      <w:highlight w:val="none"/>
                      <w:lang w:val="zh-CN"/>
                    </w:rPr>
                    <w:t>1.0％</w:t>
                  </w:r>
                </w:p>
              </w:tc>
            </w:tr>
            <w:tr w14:paraId="1745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vAlign w:val="center"/>
                </w:tcPr>
                <w:p w14:paraId="7B015617">
                  <w:pPr>
                    <w:pStyle w:val="7"/>
                    <w:ind w:firstLine="0" w:firstLineChars="0"/>
                    <w:rPr>
                      <w:color w:val="auto"/>
                      <w:highlight w:val="none"/>
                    </w:rPr>
                  </w:pPr>
                  <w:r>
                    <w:rPr>
                      <w:rFonts w:hint="eastAsia"/>
                      <w:color w:val="auto"/>
                      <w:highlight w:val="none"/>
                    </w:rPr>
                    <w:t>100万元＜X≤500万元</w:t>
                  </w:r>
                </w:p>
              </w:tc>
              <w:tc>
                <w:tcPr>
                  <w:tcW w:w="1062" w:type="pct"/>
                  <w:vAlign w:val="center"/>
                </w:tcPr>
                <w:p w14:paraId="48771B03">
                  <w:pPr>
                    <w:pStyle w:val="7"/>
                    <w:ind w:firstLine="0" w:firstLineChars="0"/>
                    <w:rPr>
                      <w:color w:val="auto"/>
                      <w:highlight w:val="none"/>
                      <w:lang w:val="zh-CN"/>
                    </w:rPr>
                  </w:pPr>
                  <w:r>
                    <w:rPr>
                      <w:rFonts w:hint="eastAsia"/>
                      <w:color w:val="auto"/>
                      <w:highlight w:val="none"/>
                      <w:lang w:val="zh-CN"/>
                    </w:rPr>
                    <w:t>1.1％</w:t>
                  </w:r>
                </w:p>
              </w:tc>
              <w:tc>
                <w:tcPr>
                  <w:tcW w:w="1052" w:type="pct"/>
                  <w:vAlign w:val="center"/>
                </w:tcPr>
                <w:p w14:paraId="41460663">
                  <w:pPr>
                    <w:pStyle w:val="7"/>
                    <w:ind w:firstLine="0" w:firstLineChars="0"/>
                    <w:rPr>
                      <w:color w:val="auto"/>
                      <w:highlight w:val="none"/>
                      <w:lang w:val="zh-CN"/>
                    </w:rPr>
                  </w:pPr>
                  <w:r>
                    <w:rPr>
                      <w:rFonts w:hint="eastAsia"/>
                      <w:color w:val="auto"/>
                      <w:highlight w:val="none"/>
                      <w:lang w:val="zh-CN"/>
                    </w:rPr>
                    <w:t>0.8％</w:t>
                  </w:r>
                </w:p>
              </w:tc>
              <w:tc>
                <w:tcPr>
                  <w:tcW w:w="1011" w:type="pct"/>
                  <w:vAlign w:val="center"/>
                </w:tcPr>
                <w:p w14:paraId="0E782969">
                  <w:pPr>
                    <w:pStyle w:val="7"/>
                    <w:ind w:firstLine="0" w:firstLineChars="0"/>
                    <w:rPr>
                      <w:color w:val="auto"/>
                      <w:highlight w:val="none"/>
                      <w:lang w:val="zh-CN"/>
                    </w:rPr>
                  </w:pPr>
                  <w:r>
                    <w:rPr>
                      <w:rFonts w:hint="eastAsia"/>
                      <w:color w:val="auto"/>
                      <w:highlight w:val="none"/>
                      <w:lang w:val="zh-CN"/>
                    </w:rPr>
                    <w:t>0.7％</w:t>
                  </w:r>
                </w:p>
              </w:tc>
            </w:tr>
            <w:tr w14:paraId="4A25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vAlign w:val="center"/>
                </w:tcPr>
                <w:p w14:paraId="2E1DA446">
                  <w:pPr>
                    <w:pStyle w:val="7"/>
                    <w:ind w:firstLine="0" w:firstLineChars="0"/>
                    <w:rPr>
                      <w:color w:val="auto"/>
                      <w:highlight w:val="none"/>
                    </w:rPr>
                  </w:pPr>
                  <w:r>
                    <w:rPr>
                      <w:rFonts w:hint="eastAsia"/>
                      <w:color w:val="auto"/>
                      <w:highlight w:val="none"/>
                    </w:rPr>
                    <w:t>500万元＜X≤1000万元</w:t>
                  </w:r>
                </w:p>
              </w:tc>
              <w:tc>
                <w:tcPr>
                  <w:tcW w:w="1062" w:type="pct"/>
                  <w:vAlign w:val="center"/>
                </w:tcPr>
                <w:p w14:paraId="36C7E342">
                  <w:pPr>
                    <w:pStyle w:val="7"/>
                    <w:ind w:firstLine="0" w:firstLineChars="0"/>
                    <w:rPr>
                      <w:color w:val="auto"/>
                      <w:highlight w:val="none"/>
                      <w:lang w:val="zh-CN"/>
                    </w:rPr>
                  </w:pPr>
                  <w:r>
                    <w:rPr>
                      <w:rFonts w:hint="eastAsia"/>
                      <w:color w:val="auto"/>
                      <w:highlight w:val="none"/>
                      <w:lang w:val="zh-CN"/>
                    </w:rPr>
                    <w:t>0.8％</w:t>
                  </w:r>
                </w:p>
              </w:tc>
              <w:tc>
                <w:tcPr>
                  <w:tcW w:w="1052" w:type="pct"/>
                  <w:vAlign w:val="center"/>
                </w:tcPr>
                <w:p w14:paraId="7196ECCB">
                  <w:pPr>
                    <w:pStyle w:val="7"/>
                    <w:ind w:firstLine="0" w:firstLineChars="0"/>
                    <w:rPr>
                      <w:color w:val="auto"/>
                      <w:highlight w:val="none"/>
                      <w:lang w:val="zh-CN"/>
                    </w:rPr>
                  </w:pPr>
                  <w:r>
                    <w:rPr>
                      <w:rFonts w:hint="eastAsia"/>
                      <w:color w:val="auto"/>
                      <w:highlight w:val="none"/>
                      <w:lang w:val="zh-CN"/>
                    </w:rPr>
                    <w:t>0.45％</w:t>
                  </w:r>
                </w:p>
              </w:tc>
              <w:tc>
                <w:tcPr>
                  <w:tcW w:w="1011" w:type="pct"/>
                  <w:vAlign w:val="center"/>
                </w:tcPr>
                <w:p w14:paraId="2334CA51">
                  <w:pPr>
                    <w:pStyle w:val="7"/>
                    <w:ind w:firstLine="0" w:firstLineChars="0"/>
                    <w:rPr>
                      <w:color w:val="auto"/>
                      <w:highlight w:val="none"/>
                      <w:lang w:val="zh-CN"/>
                    </w:rPr>
                  </w:pPr>
                  <w:r>
                    <w:rPr>
                      <w:rFonts w:hint="eastAsia"/>
                      <w:color w:val="auto"/>
                      <w:highlight w:val="none"/>
                      <w:lang w:val="zh-CN"/>
                    </w:rPr>
                    <w:t>0.55％</w:t>
                  </w:r>
                </w:p>
              </w:tc>
            </w:tr>
            <w:tr w14:paraId="7F12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vAlign w:val="center"/>
                </w:tcPr>
                <w:p w14:paraId="3978D471">
                  <w:pPr>
                    <w:pStyle w:val="7"/>
                    <w:ind w:firstLine="0" w:firstLineChars="0"/>
                    <w:rPr>
                      <w:color w:val="auto"/>
                      <w:highlight w:val="none"/>
                    </w:rPr>
                  </w:pPr>
                  <w:r>
                    <w:rPr>
                      <w:rFonts w:hint="eastAsia"/>
                      <w:color w:val="auto"/>
                      <w:highlight w:val="none"/>
                    </w:rPr>
                    <w:t>1000～5000万元</w:t>
                  </w:r>
                </w:p>
              </w:tc>
              <w:tc>
                <w:tcPr>
                  <w:tcW w:w="1062" w:type="pct"/>
                  <w:vAlign w:val="center"/>
                </w:tcPr>
                <w:p w14:paraId="367AAF56">
                  <w:pPr>
                    <w:pStyle w:val="7"/>
                    <w:ind w:firstLine="0" w:firstLineChars="0"/>
                    <w:rPr>
                      <w:color w:val="auto"/>
                      <w:highlight w:val="none"/>
                      <w:lang w:val="zh-CN"/>
                    </w:rPr>
                  </w:pPr>
                  <w:r>
                    <w:rPr>
                      <w:rFonts w:hint="eastAsia"/>
                      <w:color w:val="auto"/>
                      <w:highlight w:val="none"/>
                      <w:lang w:val="zh-CN"/>
                    </w:rPr>
                    <w:t>0.5％</w:t>
                  </w:r>
                </w:p>
              </w:tc>
              <w:tc>
                <w:tcPr>
                  <w:tcW w:w="1052" w:type="pct"/>
                  <w:vAlign w:val="center"/>
                </w:tcPr>
                <w:p w14:paraId="16E02AD6">
                  <w:pPr>
                    <w:pStyle w:val="7"/>
                    <w:ind w:firstLine="0" w:firstLineChars="0"/>
                    <w:rPr>
                      <w:color w:val="auto"/>
                      <w:highlight w:val="none"/>
                      <w:lang w:val="zh-CN"/>
                    </w:rPr>
                  </w:pPr>
                  <w:r>
                    <w:rPr>
                      <w:rFonts w:hint="eastAsia"/>
                      <w:color w:val="auto"/>
                      <w:highlight w:val="none"/>
                      <w:lang w:val="zh-CN"/>
                    </w:rPr>
                    <w:t>0.25％</w:t>
                  </w:r>
                </w:p>
              </w:tc>
              <w:tc>
                <w:tcPr>
                  <w:tcW w:w="1011" w:type="pct"/>
                  <w:vAlign w:val="center"/>
                </w:tcPr>
                <w:p w14:paraId="6324651A">
                  <w:pPr>
                    <w:pStyle w:val="7"/>
                    <w:ind w:firstLine="0" w:firstLineChars="0"/>
                    <w:rPr>
                      <w:color w:val="auto"/>
                      <w:highlight w:val="none"/>
                      <w:lang w:val="zh-CN"/>
                    </w:rPr>
                  </w:pPr>
                  <w:r>
                    <w:rPr>
                      <w:rFonts w:hint="eastAsia"/>
                      <w:color w:val="auto"/>
                      <w:highlight w:val="none"/>
                      <w:lang w:val="zh-CN"/>
                    </w:rPr>
                    <w:t>0.35％</w:t>
                  </w:r>
                </w:p>
              </w:tc>
            </w:tr>
            <w:tr w14:paraId="168C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vAlign w:val="center"/>
                </w:tcPr>
                <w:p w14:paraId="3C69DA66">
                  <w:pPr>
                    <w:pStyle w:val="7"/>
                    <w:ind w:firstLine="0" w:firstLineChars="0"/>
                    <w:rPr>
                      <w:color w:val="auto"/>
                      <w:highlight w:val="none"/>
                    </w:rPr>
                  </w:pPr>
                  <w:r>
                    <w:rPr>
                      <w:rFonts w:hint="eastAsia"/>
                      <w:color w:val="auto"/>
                      <w:highlight w:val="none"/>
                    </w:rPr>
                    <w:t>5000万元～1亿元</w:t>
                  </w:r>
                </w:p>
              </w:tc>
              <w:tc>
                <w:tcPr>
                  <w:tcW w:w="1062" w:type="pct"/>
                  <w:vAlign w:val="center"/>
                </w:tcPr>
                <w:p w14:paraId="7DDF78C5">
                  <w:pPr>
                    <w:pStyle w:val="7"/>
                    <w:ind w:firstLine="0" w:firstLineChars="0"/>
                    <w:rPr>
                      <w:color w:val="auto"/>
                      <w:highlight w:val="none"/>
                      <w:lang w:val="zh-CN"/>
                    </w:rPr>
                  </w:pPr>
                  <w:r>
                    <w:rPr>
                      <w:rFonts w:hint="eastAsia"/>
                      <w:color w:val="auto"/>
                      <w:highlight w:val="none"/>
                      <w:lang w:val="zh-CN"/>
                    </w:rPr>
                    <w:t>0.25％</w:t>
                  </w:r>
                </w:p>
              </w:tc>
              <w:tc>
                <w:tcPr>
                  <w:tcW w:w="1052" w:type="pct"/>
                  <w:vAlign w:val="center"/>
                </w:tcPr>
                <w:p w14:paraId="78788FF1">
                  <w:pPr>
                    <w:pStyle w:val="7"/>
                    <w:ind w:firstLine="0" w:firstLineChars="0"/>
                    <w:rPr>
                      <w:color w:val="auto"/>
                      <w:highlight w:val="none"/>
                      <w:lang w:val="zh-CN"/>
                    </w:rPr>
                  </w:pPr>
                  <w:r>
                    <w:rPr>
                      <w:rFonts w:hint="eastAsia"/>
                      <w:color w:val="auto"/>
                      <w:highlight w:val="none"/>
                      <w:lang w:val="zh-CN"/>
                    </w:rPr>
                    <w:t>0.1％</w:t>
                  </w:r>
                </w:p>
              </w:tc>
              <w:tc>
                <w:tcPr>
                  <w:tcW w:w="1011" w:type="pct"/>
                  <w:vAlign w:val="center"/>
                </w:tcPr>
                <w:p w14:paraId="552EB2A2">
                  <w:pPr>
                    <w:pStyle w:val="7"/>
                    <w:ind w:firstLine="0" w:firstLineChars="0"/>
                    <w:rPr>
                      <w:color w:val="auto"/>
                      <w:highlight w:val="none"/>
                      <w:lang w:val="zh-CN"/>
                    </w:rPr>
                  </w:pPr>
                  <w:r>
                    <w:rPr>
                      <w:rFonts w:hint="eastAsia"/>
                      <w:color w:val="auto"/>
                      <w:highlight w:val="none"/>
                      <w:lang w:val="zh-CN"/>
                    </w:rPr>
                    <w:t>0.2％</w:t>
                  </w:r>
                </w:p>
              </w:tc>
            </w:tr>
            <w:tr w14:paraId="0ED1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vAlign w:val="center"/>
                </w:tcPr>
                <w:p w14:paraId="5BD025C4">
                  <w:pPr>
                    <w:pStyle w:val="7"/>
                    <w:ind w:firstLine="0" w:firstLineChars="0"/>
                    <w:rPr>
                      <w:color w:val="auto"/>
                      <w:highlight w:val="none"/>
                    </w:rPr>
                  </w:pPr>
                  <w:r>
                    <w:rPr>
                      <w:rFonts w:hint="eastAsia"/>
                      <w:color w:val="auto"/>
                      <w:highlight w:val="none"/>
                    </w:rPr>
                    <w:t>1～5亿元</w:t>
                  </w:r>
                </w:p>
              </w:tc>
              <w:tc>
                <w:tcPr>
                  <w:tcW w:w="1062" w:type="pct"/>
                  <w:vAlign w:val="center"/>
                </w:tcPr>
                <w:p w14:paraId="3430688D">
                  <w:pPr>
                    <w:pStyle w:val="7"/>
                    <w:ind w:firstLine="0" w:firstLineChars="0"/>
                    <w:rPr>
                      <w:color w:val="auto"/>
                      <w:highlight w:val="none"/>
                      <w:lang w:val="zh-CN"/>
                    </w:rPr>
                  </w:pPr>
                  <w:r>
                    <w:rPr>
                      <w:rFonts w:hint="eastAsia"/>
                      <w:color w:val="auto"/>
                      <w:highlight w:val="none"/>
                      <w:lang w:val="zh-CN"/>
                    </w:rPr>
                    <w:t>0.05％</w:t>
                  </w:r>
                </w:p>
              </w:tc>
              <w:tc>
                <w:tcPr>
                  <w:tcW w:w="1052" w:type="pct"/>
                  <w:vAlign w:val="center"/>
                </w:tcPr>
                <w:p w14:paraId="65C5F40B">
                  <w:pPr>
                    <w:pStyle w:val="7"/>
                    <w:ind w:firstLine="0" w:firstLineChars="0"/>
                    <w:rPr>
                      <w:color w:val="auto"/>
                      <w:highlight w:val="none"/>
                      <w:lang w:val="zh-CN"/>
                    </w:rPr>
                  </w:pPr>
                  <w:r>
                    <w:rPr>
                      <w:rFonts w:hint="eastAsia"/>
                      <w:color w:val="auto"/>
                      <w:highlight w:val="none"/>
                      <w:lang w:val="zh-CN"/>
                    </w:rPr>
                    <w:t>0.05％</w:t>
                  </w:r>
                </w:p>
              </w:tc>
              <w:tc>
                <w:tcPr>
                  <w:tcW w:w="1011" w:type="pct"/>
                  <w:vAlign w:val="center"/>
                </w:tcPr>
                <w:p w14:paraId="0CFC31EC">
                  <w:pPr>
                    <w:pStyle w:val="7"/>
                    <w:ind w:firstLine="0" w:firstLineChars="0"/>
                    <w:rPr>
                      <w:color w:val="auto"/>
                      <w:highlight w:val="none"/>
                      <w:lang w:val="zh-CN"/>
                    </w:rPr>
                  </w:pPr>
                  <w:r>
                    <w:rPr>
                      <w:rFonts w:hint="eastAsia"/>
                      <w:color w:val="auto"/>
                      <w:highlight w:val="none"/>
                      <w:lang w:val="zh-CN"/>
                    </w:rPr>
                    <w:t>0.05％</w:t>
                  </w:r>
                </w:p>
              </w:tc>
            </w:tr>
            <w:tr w14:paraId="163D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vAlign w:val="center"/>
                </w:tcPr>
                <w:p w14:paraId="4FD29849">
                  <w:pPr>
                    <w:pStyle w:val="7"/>
                    <w:ind w:firstLine="0" w:firstLineChars="0"/>
                    <w:rPr>
                      <w:color w:val="auto"/>
                      <w:highlight w:val="none"/>
                    </w:rPr>
                  </w:pPr>
                  <w:r>
                    <w:rPr>
                      <w:rFonts w:hint="eastAsia"/>
                      <w:color w:val="auto"/>
                      <w:highlight w:val="none"/>
                    </w:rPr>
                    <w:t>5～10亿元</w:t>
                  </w:r>
                </w:p>
              </w:tc>
              <w:tc>
                <w:tcPr>
                  <w:tcW w:w="1062" w:type="pct"/>
                  <w:vAlign w:val="center"/>
                </w:tcPr>
                <w:p w14:paraId="53EB14C1">
                  <w:pPr>
                    <w:pStyle w:val="7"/>
                    <w:ind w:firstLine="0" w:firstLineChars="0"/>
                    <w:rPr>
                      <w:color w:val="auto"/>
                      <w:highlight w:val="none"/>
                      <w:lang w:val="zh-CN"/>
                    </w:rPr>
                  </w:pPr>
                  <w:r>
                    <w:rPr>
                      <w:rFonts w:hint="eastAsia"/>
                      <w:color w:val="auto"/>
                      <w:highlight w:val="none"/>
                      <w:lang w:val="zh-CN"/>
                    </w:rPr>
                    <w:t>0.035％</w:t>
                  </w:r>
                </w:p>
              </w:tc>
              <w:tc>
                <w:tcPr>
                  <w:tcW w:w="1052" w:type="pct"/>
                  <w:vAlign w:val="center"/>
                </w:tcPr>
                <w:p w14:paraId="52424B75">
                  <w:pPr>
                    <w:pStyle w:val="7"/>
                    <w:ind w:firstLine="0" w:firstLineChars="0"/>
                    <w:rPr>
                      <w:color w:val="auto"/>
                      <w:highlight w:val="none"/>
                      <w:lang w:val="zh-CN"/>
                    </w:rPr>
                  </w:pPr>
                  <w:r>
                    <w:rPr>
                      <w:rFonts w:hint="eastAsia"/>
                      <w:color w:val="auto"/>
                      <w:highlight w:val="none"/>
                      <w:lang w:val="zh-CN"/>
                    </w:rPr>
                    <w:t>0.035％</w:t>
                  </w:r>
                </w:p>
              </w:tc>
              <w:tc>
                <w:tcPr>
                  <w:tcW w:w="1011" w:type="pct"/>
                  <w:vAlign w:val="center"/>
                </w:tcPr>
                <w:p w14:paraId="74DCC777">
                  <w:pPr>
                    <w:pStyle w:val="7"/>
                    <w:ind w:firstLine="0" w:firstLineChars="0"/>
                    <w:rPr>
                      <w:color w:val="auto"/>
                      <w:highlight w:val="none"/>
                      <w:lang w:val="zh-CN"/>
                    </w:rPr>
                  </w:pPr>
                  <w:r>
                    <w:rPr>
                      <w:rFonts w:hint="eastAsia"/>
                      <w:color w:val="auto"/>
                      <w:highlight w:val="none"/>
                      <w:lang w:val="zh-CN"/>
                    </w:rPr>
                    <w:t>0.035％</w:t>
                  </w:r>
                </w:p>
              </w:tc>
            </w:tr>
            <w:tr w14:paraId="2BBD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vAlign w:val="center"/>
                </w:tcPr>
                <w:p w14:paraId="121F42FB">
                  <w:pPr>
                    <w:pStyle w:val="7"/>
                    <w:ind w:firstLine="0" w:firstLineChars="0"/>
                    <w:rPr>
                      <w:color w:val="auto"/>
                      <w:highlight w:val="none"/>
                    </w:rPr>
                  </w:pPr>
                  <w:r>
                    <w:rPr>
                      <w:rFonts w:hint="eastAsia"/>
                      <w:color w:val="auto"/>
                      <w:highlight w:val="none"/>
                    </w:rPr>
                    <w:t>10～50亿元</w:t>
                  </w:r>
                </w:p>
              </w:tc>
              <w:tc>
                <w:tcPr>
                  <w:tcW w:w="1062" w:type="pct"/>
                  <w:vAlign w:val="center"/>
                </w:tcPr>
                <w:p w14:paraId="372B1051">
                  <w:pPr>
                    <w:pStyle w:val="7"/>
                    <w:ind w:firstLine="0" w:firstLineChars="0"/>
                    <w:rPr>
                      <w:color w:val="auto"/>
                      <w:highlight w:val="none"/>
                      <w:lang w:val="zh-CN"/>
                    </w:rPr>
                  </w:pPr>
                  <w:r>
                    <w:rPr>
                      <w:rFonts w:hint="eastAsia"/>
                      <w:color w:val="auto"/>
                      <w:highlight w:val="none"/>
                      <w:lang w:val="zh-CN"/>
                    </w:rPr>
                    <w:t>0.008％</w:t>
                  </w:r>
                </w:p>
              </w:tc>
              <w:tc>
                <w:tcPr>
                  <w:tcW w:w="1052" w:type="pct"/>
                  <w:vAlign w:val="center"/>
                </w:tcPr>
                <w:p w14:paraId="5E88C4DC">
                  <w:pPr>
                    <w:pStyle w:val="7"/>
                    <w:ind w:firstLine="0" w:firstLineChars="0"/>
                    <w:rPr>
                      <w:color w:val="auto"/>
                      <w:highlight w:val="none"/>
                      <w:lang w:val="zh-CN"/>
                    </w:rPr>
                  </w:pPr>
                  <w:r>
                    <w:rPr>
                      <w:rFonts w:hint="eastAsia"/>
                      <w:color w:val="auto"/>
                      <w:highlight w:val="none"/>
                      <w:lang w:val="zh-CN"/>
                    </w:rPr>
                    <w:t>0.008％</w:t>
                  </w:r>
                </w:p>
              </w:tc>
              <w:tc>
                <w:tcPr>
                  <w:tcW w:w="1011" w:type="pct"/>
                  <w:vAlign w:val="center"/>
                </w:tcPr>
                <w:p w14:paraId="33D9341A">
                  <w:pPr>
                    <w:pStyle w:val="7"/>
                    <w:ind w:firstLine="0" w:firstLineChars="0"/>
                    <w:rPr>
                      <w:color w:val="auto"/>
                      <w:highlight w:val="none"/>
                      <w:lang w:val="zh-CN"/>
                    </w:rPr>
                  </w:pPr>
                  <w:r>
                    <w:rPr>
                      <w:rFonts w:hint="eastAsia"/>
                      <w:color w:val="auto"/>
                      <w:highlight w:val="none"/>
                      <w:lang w:val="zh-CN"/>
                    </w:rPr>
                    <w:t>0.008％</w:t>
                  </w:r>
                </w:p>
              </w:tc>
            </w:tr>
            <w:tr w14:paraId="73ED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vAlign w:val="center"/>
                </w:tcPr>
                <w:p w14:paraId="139F2F84">
                  <w:pPr>
                    <w:pStyle w:val="7"/>
                    <w:ind w:firstLine="0" w:firstLineChars="0"/>
                    <w:rPr>
                      <w:color w:val="auto"/>
                      <w:highlight w:val="none"/>
                    </w:rPr>
                  </w:pPr>
                  <w:r>
                    <w:rPr>
                      <w:rFonts w:hint="eastAsia"/>
                      <w:color w:val="auto"/>
                      <w:highlight w:val="none"/>
                    </w:rPr>
                    <w:t>50～100亿元</w:t>
                  </w:r>
                </w:p>
              </w:tc>
              <w:tc>
                <w:tcPr>
                  <w:tcW w:w="1062" w:type="pct"/>
                  <w:vAlign w:val="center"/>
                </w:tcPr>
                <w:p w14:paraId="5931B691">
                  <w:pPr>
                    <w:pStyle w:val="7"/>
                    <w:ind w:firstLine="0" w:firstLineChars="0"/>
                    <w:rPr>
                      <w:color w:val="auto"/>
                      <w:highlight w:val="none"/>
                      <w:lang w:val="zh-CN"/>
                    </w:rPr>
                  </w:pPr>
                  <w:r>
                    <w:rPr>
                      <w:rFonts w:hint="eastAsia"/>
                      <w:color w:val="auto"/>
                      <w:highlight w:val="none"/>
                      <w:lang w:val="zh-CN"/>
                    </w:rPr>
                    <w:t>0.006％</w:t>
                  </w:r>
                </w:p>
              </w:tc>
              <w:tc>
                <w:tcPr>
                  <w:tcW w:w="1052" w:type="pct"/>
                  <w:vAlign w:val="center"/>
                </w:tcPr>
                <w:p w14:paraId="6B6DB8A5">
                  <w:pPr>
                    <w:pStyle w:val="7"/>
                    <w:ind w:firstLine="0" w:firstLineChars="0"/>
                    <w:rPr>
                      <w:color w:val="auto"/>
                      <w:highlight w:val="none"/>
                      <w:lang w:val="zh-CN"/>
                    </w:rPr>
                  </w:pPr>
                  <w:r>
                    <w:rPr>
                      <w:rFonts w:hint="eastAsia"/>
                      <w:color w:val="auto"/>
                      <w:highlight w:val="none"/>
                      <w:lang w:val="zh-CN"/>
                    </w:rPr>
                    <w:t>0.006％</w:t>
                  </w:r>
                </w:p>
              </w:tc>
              <w:tc>
                <w:tcPr>
                  <w:tcW w:w="1011" w:type="pct"/>
                  <w:vAlign w:val="center"/>
                </w:tcPr>
                <w:p w14:paraId="14DDD39F">
                  <w:pPr>
                    <w:pStyle w:val="7"/>
                    <w:ind w:firstLine="0" w:firstLineChars="0"/>
                    <w:rPr>
                      <w:color w:val="auto"/>
                      <w:highlight w:val="none"/>
                      <w:lang w:val="zh-CN"/>
                    </w:rPr>
                  </w:pPr>
                  <w:r>
                    <w:rPr>
                      <w:rFonts w:hint="eastAsia"/>
                      <w:color w:val="auto"/>
                      <w:highlight w:val="none"/>
                      <w:lang w:val="zh-CN"/>
                    </w:rPr>
                    <w:t>0.006％</w:t>
                  </w:r>
                </w:p>
              </w:tc>
            </w:tr>
            <w:tr w14:paraId="3A33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vAlign w:val="center"/>
                </w:tcPr>
                <w:p w14:paraId="766F4871">
                  <w:pPr>
                    <w:pStyle w:val="7"/>
                    <w:ind w:firstLine="0" w:firstLineChars="0"/>
                    <w:rPr>
                      <w:color w:val="auto"/>
                      <w:highlight w:val="none"/>
                    </w:rPr>
                  </w:pPr>
                  <w:r>
                    <w:rPr>
                      <w:rFonts w:hint="eastAsia"/>
                      <w:color w:val="auto"/>
                      <w:highlight w:val="none"/>
                    </w:rPr>
                    <w:t>100亿元以上</w:t>
                  </w:r>
                </w:p>
              </w:tc>
              <w:tc>
                <w:tcPr>
                  <w:tcW w:w="1062" w:type="pct"/>
                  <w:vAlign w:val="center"/>
                </w:tcPr>
                <w:p w14:paraId="628076EE">
                  <w:pPr>
                    <w:pStyle w:val="7"/>
                    <w:ind w:firstLine="0" w:firstLineChars="0"/>
                    <w:rPr>
                      <w:color w:val="auto"/>
                      <w:highlight w:val="none"/>
                      <w:lang w:val="zh-CN"/>
                    </w:rPr>
                  </w:pPr>
                  <w:r>
                    <w:rPr>
                      <w:rFonts w:hint="eastAsia"/>
                      <w:color w:val="auto"/>
                      <w:highlight w:val="none"/>
                      <w:lang w:val="zh-CN"/>
                    </w:rPr>
                    <w:t>0.004％</w:t>
                  </w:r>
                </w:p>
              </w:tc>
              <w:tc>
                <w:tcPr>
                  <w:tcW w:w="1052" w:type="pct"/>
                  <w:vAlign w:val="center"/>
                </w:tcPr>
                <w:p w14:paraId="04EB6B99">
                  <w:pPr>
                    <w:pStyle w:val="7"/>
                    <w:ind w:firstLine="0" w:firstLineChars="0"/>
                    <w:rPr>
                      <w:color w:val="auto"/>
                      <w:highlight w:val="none"/>
                      <w:lang w:val="zh-CN"/>
                    </w:rPr>
                  </w:pPr>
                  <w:r>
                    <w:rPr>
                      <w:rFonts w:hint="eastAsia"/>
                      <w:color w:val="auto"/>
                      <w:highlight w:val="none"/>
                      <w:lang w:val="zh-CN"/>
                    </w:rPr>
                    <w:t>0.004％</w:t>
                  </w:r>
                </w:p>
              </w:tc>
              <w:tc>
                <w:tcPr>
                  <w:tcW w:w="1011" w:type="pct"/>
                  <w:vAlign w:val="center"/>
                </w:tcPr>
                <w:p w14:paraId="4E220D46">
                  <w:pPr>
                    <w:pStyle w:val="7"/>
                    <w:ind w:firstLine="0" w:firstLineChars="0"/>
                    <w:rPr>
                      <w:color w:val="auto"/>
                      <w:highlight w:val="none"/>
                      <w:lang w:val="zh-CN"/>
                    </w:rPr>
                  </w:pPr>
                  <w:r>
                    <w:rPr>
                      <w:rFonts w:hint="eastAsia"/>
                      <w:color w:val="auto"/>
                      <w:highlight w:val="none"/>
                      <w:lang w:val="zh-CN"/>
                    </w:rPr>
                    <w:t>0.004％</w:t>
                  </w:r>
                </w:p>
              </w:tc>
            </w:tr>
            <w:tr w14:paraId="3AF3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Pr>
                <w:p w14:paraId="7C3B3679">
                  <w:pPr>
                    <w:pStyle w:val="7"/>
                    <w:ind w:firstLine="0" w:firstLineChars="0"/>
                    <w:rPr>
                      <w:color w:val="auto"/>
                      <w:highlight w:val="none"/>
                    </w:rPr>
                  </w:pPr>
                  <w:r>
                    <w:rPr>
                      <w:rFonts w:hint="eastAsia"/>
                      <w:color w:val="auto"/>
                      <w:highlight w:val="none"/>
                    </w:rPr>
                    <w:t>计算说明：</w:t>
                  </w:r>
                </w:p>
                <w:p w14:paraId="2C27A463">
                  <w:pPr>
                    <w:pStyle w:val="7"/>
                    <w:ind w:firstLine="0" w:firstLineChars="0"/>
                    <w:rPr>
                      <w:color w:val="auto"/>
                      <w:highlight w:val="none"/>
                    </w:rPr>
                  </w:pPr>
                  <w:r>
                    <w:rPr>
                      <w:rFonts w:hint="eastAsia"/>
                      <w:color w:val="auto"/>
                      <w:highlight w:val="none"/>
                    </w:rPr>
                    <w:t>招标代理服务费按上述费率进行差额累进制计算。例如：某工程建设采购招标代理业务中标金额为5500万元，招标代理服务费计算如下：</w:t>
                  </w:r>
                </w:p>
                <w:p w14:paraId="14339F0D">
                  <w:pPr>
                    <w:pStyle w:val="7"/>
                    <w:ind w:firstLine="0" w:firstLineChars="0"/>
                    <w:rPr>
                      <w:color w:val="auto"/>
                      <w:highlight w:val="none"/>
                    </w:rPr>
                  </w:pPr>
                  <w:r>
                    <w:rPr>
                      <w:rFonts w:hint="eastAsia"/>
                      <w:color w:val="auto"/>
                      <w:highlight w:val="none"/>
                    </w:rPr>
                    <w:t>1.100万元×1.0％＝1.0万</w:t>
                  </w:r>
                </w:p>
                <w:p w14:paraId="1F2E07A9">
                  <w:pPr>
                    <w:pStyle w:val="7"/>
                    <w:ind w:firstLine="0" w:firstLineChars="0"/>
                    <w:rPr>
                      <w:color w:val="auto"/>
                      <w:highlight w:val="none"/>
                    </w:rPr>
                  </w:pPr>
                  <w:r>
                    <w:rPr>
                      <w:rFonts w:hint="eastAsia"/>
                      <w:color w:val="auto"/>
                      <w:highlight w:val="none"/>
                    </w:rPr>
                    <w:t>2.（500－100）万元×0.7％＝2.8万元</w:t>
                  </w:r>
                </w:p>
                <w:p w14:paraId="21363581">
                  <w:pPr>
                    <w:pStyle w:val="7"/>
                    <w:ind w:firstLine="0" w:firstLineChars="0"/>
                    <w:rPr>
                      <w:color w:val="auto"/>
                      <w:highlight w:val="none"/>
                    </w:rPr>
                  </w:pPr>
                  <w:r>
                    <w:rPr>
                      <w:rFonts w:hint="eastAsia"/>
                      <w:color w:val="auto"/>
                      <w:highlight w:val="none"/>
                    </w:rPr>
                    <w:t>3.（1000－500）万元×0.55％＝2.75万元</w:t>
                  </w:r>
                </w:p>
                <w:p w14:paraId="7F68196E">
                  <w:pPr>
                    <w:pStyle w:val="7"/>
                    <w:ind w:firstLine="0" w:firstLineChars="0"/>
                    <w:rPr>
                      <w:color w:val="auto"/>
                      <w:highlight w:val="none"/>
                    </w:rPr>
                  </w:pPr>
                  <w:r>
                    <w:rPr>
                      <w:rFonts w:hint="eastAsia"/>
                      <w:color w:val="auto"/>
                      <w:highlight w:val="none"/>
                    </w:rPr>
                    <w:t>4.（5000－1000）万元×0.35％＝14万元</w:t>
                  </w:r>
                </w:p>
                <w:p w14:paraId="6B586EC6">
                  <w:pPr>
                    <w:pStyle w:val="7"/>
                    <w:ind w:firstLine="0" w:firstLineChars="0"/>
                    <w:rPr>
                      <w:color w:val="auto"/>
                      <w:highlight w:val="none"/>
                    </w:rPr>
                  </w:pPr>
                  <w:r>
                    <w:rPr>
                      <w:rFonts w:hint="eastAsia"/>
                      <w:color w:val="auto"/>
                      <w:highlight w:val="none"/>
                    </w:rPr>
                    <w:t>5.（5500－5000）万元×</w:t>
                  </w:r>
                  <w:r>
                    <w:rPr>
                      <w:rFonts w:hint="eastAsia"/>
                      <w:color w:val="auto"/>
                      <w:highlight w:val="none"/>
                      <w:lang w:val="zh-CN"/>
                    </w:rPr>
                    <w:t>0.2％</w:t>
                  </w:r>
                  <w:r>
                    <w:rPr>
                      <w:rFonts w:hint="eastAsia"/>
                      <w:color w:val="auto"/>
                      <w:highlight w:val="none"/>
                    </w:rPr>
                    <w:t>＝1万元</w:t>
                  </w:r>
                </w:p>
                <w:p w14:paraId="71CF29C8">
                  <w:pPr>
                    <w:pStyle w:val="7"/>
                    <w:ind w:firstLine="0" w:firstLineChars="0"/>
                    <w:rPr>
                      <w:color w:val="auto"/>
                      <w:highlight w:val="none"/>
                    </w:rPr>
                  </w:pPr>
                  <w:r>
                    <w:rPr>
                      <w:rFonts w:hint="eastAsia"/>
                      <w:color w:val="auto"/>
                      <w:highlight w:val="none"/>
                    </w:rPr>
                    <w:t>6.合计收费为：1.5＋2.8＋2.75＋14＋1＝21.55万元</w:t>
                  </w:r>
                </w:p>
              </w:tc>
            </w:tr>
          </w:tbl>
          <w:p w14:paraId="54EFA726">
            <w:pPr>
              <w:pStyle w:val="7"/>
              <w:ind w:firstLine="0" w:firstLineChars="0"/>
              <w:rPr>
                <w:color w:val="auto"/>
                <w:highlight w:val="none"/>
              </w:rPr>
            </w:pPr>
          </w:p>
          <w:p w14:paraId="55F7ECF9">
            <w:pPr>
              <w:pStyle w:val="7"/>
              <w:ind w:firstLine="0" w:firstLineChars="0"/>
              <w:jc w:val="center"/>
              <w:rPr>
                <w:color w:val="auto"/>
                <w:highlight w:val="none"/>
              </w:rPr>
            </w:pPr>
            <w:r>
              <w:rPr>
                <w:rFonts w:hint="eastAsia" w:ascii="宋体" w:hAnsi="宋体" w:cs="宋体"/>
                <w:color w:val="auto"/>
                <w:sz w:val="24"/>
                <w:szCs w:val="22"/>
                <w:highlight w:val="none"/>
              </w:rPr>
              <w:t>表2：招标代理服务费取费标准</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616"/>
              <w:gridCol w:w="1077"/>
              <w:gridCol w:w="1960"/>
            </w:tblGrid>
            <w:tr w14:paraId="754E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pct"/>
                  <w:vAlign w:val="center"/>
                </w:tcPr>
                <w:p w14:paraId="19542730">
                  <w:pPr>
                    <w:pStyle w:val="7"/>
                    <w:ind w:firstLine="0" w:firstLineChars="0"/>
                    <w:rPr>
                      <w:color w:val="auto"/>
                      <w:highlight w:val="none"/>
                    </w:rPr>
                  </w:pPr>
                  <w:r>
                    <w:rPr>
                      <w:rFonts w:hint="eastAsia"/>
                      <w:color w:val="auto"/>
                      <w:highlight w:val="none"/>
                    </w:rPr>
                    <w:t>类别</w:t>
                  </w:r>
                </w:p>
              </w:tc>
              <w:tc>
                <w:tcPr>
                  <w:tcW w:w="1415" w:type="pct"/>
                  <w:vAlign w:val="center"/>
                </w:tcPr>
                <w:p w14:paraId="41435F01">
                  <w:pPr>
                    <w:pStyle w:val="7"/>
                    <w:ind w:firstLine="0" w:firstLineChars="0"/>
                    <w:rPr>
                      <w:color w:val="auto"/>
                      <w:highlight w:val="none"/>
                    </w:rPr>
                  </w:pPr>
                  <w:r>
                    <w:rPr>
                      <w:rFonts w:hint="eastAsia"/>
                      <w:color w:val="auto"/>
                      <w:highlight w:val="none"/>
                    </w:rPr>
                    <w:t>中标金额</w:t>
                  </w:r>
                </w:p>
                <w:p w14:paraId="5EBE612A">
                  <w:pPr>
                    <w:pStyle w:val="7"/>
                    <w:ind w:firstLine="0" w:firstLineChars="0"/>
                    <w:rPr>
                      <w:color w:val="auto"/>
                      <w:highlight w:val="none"/>
                    </w:rPr>
                  </w:pPr>
                  <w:r>
                    <w:rPr>
                      <w:rFonts w:hint="eastAsia"/>
                      <w:color w:val="auto"/>
                      <w:highlight w:val="none"/>
                    </w:rPr>
                    <w:t>（设中标金额为X）</w:t>
                  </w:r>
                </w:p>
              </w:tc>
              <w:tc>
                <w:tcPr>
                  <w:tcW w:w="943" w:type="pct"/>
                  <w:vAlign w:val="center"/>
                </w:tcPr>
                <w:p w14:paraId="0B7B1FD1">
                  <w:pPr>
                    <w:pStyle w:val="7"/>
                    <w:ind w:firstLine="0" w:firstLineChars="0"/>
                    <w:rPr>
                      <w:color w:val="auto"/>
                      <w:highlight w:val="none"/>
                    </w:rPr>
                  </w:pPr>
                  <w:r>
                    <w:rPr>
                      <w:rFonts w:hint="eastAsia"/>
                      <w:color w:val="auto"/>
                      <w:highlight w:val="none"/>
                    </w:rPr>
                    <w:t>取费率</w:t>
                  </w:r>
                </w:p>
              </w:tc>
              <w:tc>
                <w:tcPr>
                  <w:tcW w:w="1714" w:type="pct"/>
                  <w:vAlign w:val="center"/>
                </w:tcPr>
                <w:p w14:paraId="39AEAF05">
                  <w:pPr>
                    <w:pStyle w:val="7"/>
                    <w:ind w:firstLine="0" w:firstLineChars="0"/>
                    <w:rPr>
                      <w:color w:val="auto"/>
                      <w:highlight w:val="none"/>
                    </w:rPr>
                  </w:pPr>
                  <w:r>
                    <w:rPr>
                      <w:rFonts w:hint="eastAsia"/>
                      <w:color w:val="auto"/>
                      <w:highlight w:val="none"/>
                    </w:rPr>
                    <w:t>备注</w:t>
                  </w:r>
                </w:p>
              </w:tc>
            </w:tr>
            <w:tr w14:paraId="771E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pct"/>
                  <w:vMerge w:val="restart"/>
                  <w:vAlign w:val="center"/>
                </w:tcPr>
                <w:p w14:paraId="5F6C43FA">
                  <w:pPr>
                    <w:pStyle w:val="7"/>
                    <w:ind w:firstLine="0" w:firstLineChars="0"/>
                    <w:rPr>
                      <w:color w:val="auto"/>
                      <w:highlight w:val="none"/>
                    </w:rPr>
                  </w:pPr>
                  <w:r>
                    <w:rPr>
                      <w:rFonts w:hint="eastAsia"/>
                      <w:color w:val="auto"/>
                      <w:highlight w:val="none"/>
                    </w:rPr>
                    <w:t>货物类</w:t>
                  </w:r>
                </w:p>
              </w:tc>
              <w:tc>
                <w:tcPr>
                  <w:tcW w:w="1415" w:type="pct"/>
                  <w:vAlign w:val="center"/>
                </w:tcPr>
                <w:p w14:paraId="2310EE41">
                  <w:pPr>
                    <w:pStyle w:val="7"/>
                    <w:ind w:firstLine="0" w:firstLineChars="0"/>
                    <w:rPr>
                      <w:color w:val="auto"/>
                      <w:highlight w:val="none"/>
                    </w:rPr>
                  </w:pPr>
                  <w:r>
                    <w:rPr>
                      <w:rFonts w:hint="eastAsia"/>
                      <w:color w:val="auto"/>
                      <w:highlight w:val="none"/>
                    </w:rPr>
                    <w:t>X≤5000万元</w:t>
                  </w:r>
                </w:p>
              </w:tc>
              <w:tc>
                <w:tcPr>
                  <w:tcW w:w="943" w:type="pct"/>
                  <w:vAlign w:val="center"/>
                </w:tcPr>
                <w:p w14:paraId="5B65A964">
                  <w:pPr>
                    <w:pStyle w:val="7"/>
                    <w:ind w:firstLine="0" w:firstLineChars="0"/>
                    <w:rPr>
                      <w:color w:val="auto"/>
                      <w:highlight w:val="none"/>
                    </w:rPr>
                  </w:pPr>
                  <w:r>
                    <w:rPr>
                      <w:rFonts w:hint="eastAsia"/>
                      <w:color w:val="auto"/>
                      <w:highlight w:val="none"/>
                    </w:rPr>
                    <w:t>80%</w:t>
                  </w:r>
                </w:p>
              </w:tc>
              <w:tc>
                <w:tcPr>
                  <w:tcW w:w="1714" w:type="pct"/>
                  <w:vAlign w:val="center"/>
                </w:tcPr>
                <w:p w14:paraId="4DD66412">
                  <w:pPr>
                    <w:pStyle w:val="7"/>
                    <w:ind w:firstLine="0" w:firstLineChars="0"/>
                    <w:rPr>
                      <w:color w:val="auto"/>
                      <w:highlight w:val="none"/>
                    </w:rPr>
                  </w:pPr>
                </w:p>
              </w:tc>
            </w:tr>
            <w:tr w14:paraId="5194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pct"/>
                  <w:vMerge w:val="continue"/>
                  <w:vAlign w:val="center"/>
                </w:tcPr>
                <w:p w14:paraId="6265E893">
                  <w:pPr>
                    <w:pStyle w:val="7"/>
                    <w:ind w:firstLine="0" w:firstLineChars="0"/>
                    <w:rPr>
                      <w:color w:val="auto"/>
                      <w:highlight w:val="none"/>
                    </w:rPr>
                  </w:pPr>
                </w:p>
              </w:tc>
              <w:tc>
                <w:tcPr>
                  <w:tcW w:w="1415" w:type="pct"/>
                  <w:vAlign w:val="center"/>
                </w:tcPr>
                <w:p w14:paraId="7F494200">
                  <w:pPr>
                    <w:pStyle w:val="7"/>
                    <w:ind w:firstLine="0" w:firstLineChars="0"/>
                    <w:rPr>
                      <w:color w:val="auto"/>
                      <w:highlight w:val="none"/>
                    </w:rPr>
                  </w:pPr>
                  <w:r>
                    <w:rPr>
                      <w:rFonts w:hint="eastAsia"/>
                      <w:color w:val="auto"/>
                      <w:highlight w:val="none"/>
                    </w:rPr>
                    <w:t>5000万元＜X</w:t>
                  </w:r>
                </w:p>
              </w:tc>
              <w:tc>
                <w:tcPr>
                  <w:tcW w:w="943" w:type="pct"/>
                  <w:vAlign w:val="center"/>
                </w:tcPr>
                <w:p w14:paraId="5AF421E5">
                  <w:pPr>
                    <w:pStyle w:val="7"/>
                    <w:ind w:firstLine="0" w:firstLineChars="0"/>
                    <w:rPr>
                      <w:color w:val="auto"/>
                      <w:highlight w:val="none"/>
                    </w:rPr>
                  </w:pPr>
                  <w:r>
                    <w:rPr>
                      <w:rFonts w:hint="eastAsia"/>
                      <w:color w:val="auto"/>
                      <w:highlight w:val="none"/>
                    </w:rPr>
                    <w:t>50%</w:t>
                  </w:r>
                </w:p>
              </w:tc>
              <w:tc>
                <w:tcPr>
                  <w:tcW w:w="1714" w:type="pct"/>
                  <w:vAlign w:val="center"/>
                </w:tcPr>
                <w:p w14:paraId="56128236">
                  <w:pPr>
                    <w:pStyle w:val="7"/>
                    <w:ind w:firstLine="0" w:firstLineChars="0"/>
                    <w:rPr>
                      <w:color w:val="auto"/>
                      <w:highlight w:val="none"/>
                    </w:rPr>
                  </w:pPr>
                  <w:r>
                    <w:rPr>
                      <w:rFonts w:hint="eastAsia"/>
                      <w:color w:val="auto"/>
                      <w:highlight w:val="none"/>
                    </w:rPr>
                    <w:t>取50%后不足239200元的，按239200元记取。</w:t>
                  </w:r>
                </w:p>
              </w:tc>
            </w:tr>
            <w:tr w14:paraId="4661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pct"/>
                  <w:vMerge w:val="restart"/>
                  <w:vAlign w:val="center"/>
                </w:tcPr>
                <w:p w14:paraId="31D82F65">
                  <w:pPr>
                    <w:pStyle w:val="7"/>
                    <w:ind w:firstLine="0" w:firstLineChars="0"/>
                    <w:rPr>
                      <w:color w:val="auto"/>
                      <w:highlight w:val="none"/>
                    </w:rPr>
                  </w:pPr>
                  <w:r>
                    <w:rPr>
                      <w:rFonts w:hint="eastAsia"/>
                      <w:color w:val="auto"/>
                      <w:highlight w:val="none"/>
                    </w:rPr>
                    <w:t>服务类</w:t>
                  </w:r>
                </w:p>
              </w:tc>
              <w:tc>
                <w:tcPr>
                  <w:tcW w:w="1415" w:type="pct"/>
                  <w:vAlign w:val="center"/>
                </w:tcPr>
                <w:p w14:paraId="26E8D679">
                  <w:pPr>
                    <w:pStyle w:val="7"/>
                    <w:ind w:firstLine="0" w:firstLineChars="0"/>
                    <w:rPr>
                      <w:color w:val="auto"/>
                      <w:highlight w:val="none"/>
                    </w:rPr>
                  </w:pPr>
                  <w:r>
                    <w:rPr>
                      <w:rFonts w:hint="eastAsia"/>
                      <w:color w:val="auto"/>
                      <w:highlight w:val="none"/>
                    </w:rPr>
                    <w:t>X≤5000万元</w:t>
                  </w:r>
                </w:p>
              </w:tc>
              <w:tc>
                <w:tcPr>
                  <w:tcW w:w="943" w:type="pct"/>
                  <w:vAlign w:val="center"/>
                </w:tcPr>
                <w:p w14:paraId="4726757A">
                  <w:pPr>
                    <w:pStyle w:val="7"/>
                    <w:ind w:firstLine="0" w:firstLineChars="0"/>
                    <w:rPr>
                      <w:color w:val="auto"/>
                      <w:highlight w:val="none"/>
                    </w:rPr>
                  </w:pPr>
                  <w:r>
                    <w:rPr>
                      <w:rFonts w:hint="eastAsia"/>
                      <w:color w:val="auto"/>
                      <w:highlight w:val="none"/>
                    </w:rPr>
                    <w:t>80%</w:t>
                  </w:r>
                </w:p>
              </w:tc>
              <w:tc>
                <w:tcPr>
                  <w:tcW w:w="1714" w:type="pct"/>
                  <w:vAlign w:val="center"/>
                </w:tcPr>
                <w:p w14:paraId="38109573">
                  <w:pPr>
                    <w:pStyle w:val="7"/>
                    <w:ind w:firstLine="0" w:firstLineChars="0"/>
                    <w:rPr>
                      <w:color w:val="auto"/>
                      <w:highlight w:val="none"/>
                    </w:rPr>
                  </w:pPr>
                </w:p>
              </w:tc>
            </w:tr>
            <w:tr w14:paraId="0173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pct"/>
                  <w:vMerge w:val="continue"/>
                  <w:vAlign w:val="center"/>
                </w:tcPr>
                <w:p w14:paraId="35276622">
                  <w:pPr>
                    <w:pStyle w:val="7"/>
                    <w:ind w:firstLine="0" w:firstLineChars="0"/>
                    <w:rPr>
                      <w:color w:val="auto"/>
                      <w:highlight w:val="none"/>
                    </w:rPr>
                  </w:pPr>
                </w:p>
              </w:tc>
              <w:tc>
                <w:tcPr>
                  <w:tcW w:w="1415" w:type="pct"/>
                  <w:vAlign w:val="center"/>
                </w:tcPr>
                <w:p w14:paraId="45E5C7DC">
                  <w:pPr>
                    <w:pStyle w:val="7"/>
                    <w:ind w:firstLine="0" w:firstLineChars="0"/>
                    <w:rPr>
                      <w:color w:val="auto"/>
                      <w:highlight w:val="none"/>
                    </w:rPr>
                  </w:pPr>
                  <w:r>
                    <w:rPr>
                      <w:rFonts w:hint="eastAsia"/>
                      <w:color w:val="auto"/>
                      <w:highlight w:val="none"/>
                    </w:rPr>
                    <w:t>5000万元＜X</w:t>
                  </w:r>
                </w:p>
              </w:tc>
              <w:tc>
                <w:tcPr>
                  <w:tcW w:w="943" w:type="pct"/>
                  <w:vAlign w:val="center"/>
                </w:tcPr>
                <w:p w14:paraId="00F1D1C6">
                  <w:pPr>
                    <w:pStyle w:val="7"/>
                    <w:ind w:firstLine="0" w:firstLineChars="0"/>
                    <w:rPr>
                      <w:color w:val="auto"/>
                      <w:highlight w:val="none"/>
                    </w:rPr>
                  </w:pPr>
                  <w:r>
                    <w:rPr>
                      <w:rFonts w:hint="eastAsia"/>
                      <w:color w:val="auto"/>
                      <w:highlight w:val="none"/>
                    </w:rPr>
                    <w:t>50%</w:t>
                  </w:r>
                </w:p>
              </w:tc>
              <w:tc>
                <w:tcPr>
                  <w:tcW w:w="1714" w:type="pct"/>
                  <w:vAlign w:val="center"/>
                </w:tcPr>
                <w:p w14:paraId="050B9676">
                  <w:pPr>
                    <w:pStyle w:val="7"/>
                    <w:ind w:firstLine="0" w:firstLineChars="0"/>
                    <w:rPr>
                      <w:color w:val="auto"/>
                      <w:highlight w:val="none"/>
                    </w:rPr>
                  </w:pPr>
                  <w:r>
                    <w:rPr>
                      <w:rFonts w:hint="eastAsia"/>
                      <w:color w:val="auto"/>
                      <w:highlight w:val="none"/>
                    </w:rPr>
                    <w:t>取50%后不足135600元的，按135600元记取。</w:t>
                  </w:r>
                </w:p>
              </w:tc>
            </w:tr>
            <w:tr w14:paraId="4F03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pct"/>
                  <w:vMerge w:val="restart"/>
                  <w:vAlign w:val="center"/>
                </w:tcPr>
                <w:p w14:paraId="66A7EB50">
                  <w:pPr>
                    <w:pStyle w:val="7"/>
                    <w:ind w:firstLine="0" w:firstLineChars="0"/>
                    <w:rPr>
                      <w:color w:val="auto"/>
                      <w:highlight w:val="none"/>
                    </w:rPr>
                  </w:pPr>
                  <w:r>
                    <w:rPr>
                      <w:rFonts w:hint="eastAsia"/>
                      <w:color w:val="auto"/>
                      <w:highlight w:val="none"/>
                    </w:rPr>
                    <w:t>施工类</w:t>
                  </w:r>
                </w:p>
              </w:tc>
              <w:tc>
                <w:tcPr>
                  <w:tcW w:w="1415" w:type="pct"/>
                  <w:vAlign w:val="center"/>
                </w:tcPr>
                <w:p w14:paraId="6404D608">
                  <w:pPr>
                    <w:pStyle w:val="7"/>
                    <w:ind w:firstLine="0" w:firstLineChars="0"/>
                    <w:rPr>
                      <w:color w:val="auto"/>
                      <w:highlight w:val="none"/>
                    </w:rPr>
                  </w:pPr>
                  <w:r>
                    <w:rPr>
                      <w:rFonts w:hint="eastAsia"/>
                      <w:color w:val="auto"/>
                      <w:highlight w:val="none"/>
                    </w:rPr>
                    <w:t>X≤5000万元</w:t>
                  </w:r>
                </w:p>
              </w:tc>
              <w:tc>
                <w:tcPr>
                  <w:tcW w:w="943" w:type="pct"/>
                  <w:vAlign w:val="center"/>
                </w:tcPr>
                <w:p w14:paraId="4F3270AB">
                  <w:pPr>
                    <w:pStyle w:val="7"/>
                    <w:ind w:firstLine="0" w:firstLineChars="0"/>
                    <w:rPr>
                      <w:color w:val="auto"/>
                      <w:highlight w:val="none"/>
                    </w:rPr>
                  </w:pPr>
                  <w:r>
                    <w:rPr>
                      <w:rFonts w:hint="eastAsia"/>
                      <w:color w:val="auto"/>
                      <w:highlight w:val="none"/>
                    </w:rPr>
                    <w:t>80%</w:t>
                  </w:r>
                </w:p>
              </w:tc>
              <w:tc>
                <w:tcPr>
                  <w:tcW w:w="1714" w:type="pct"/>
                  <w:vAlign w:val="center"/>
                </w:tcPr>
                <w:p w14:paraId="2A33E120">
                  <w:pPr>
                    <w:pStyle w:val="7"/>
                    <w:ind w:firstLine="0" w:firstLineChars="0"/>
                    <w:rPr>
                      <w:color w:val="auto"/>
                      <w:highlight w:val="none"/>
                    </w:rPr>
                  </w:pPr>
                </w:p>
              </w:tc>
            </w:tr>
            <w:tr w14:paraId="0492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pct"/>
                  <w:vMerge w:val="continue"/>
                  <w:vAlign w:val="center"/>
                </w:tcPr>
                <w:p w14:paraId="5F824C83">
                  <w:pPr>
                    <w:pStyle w:val="7"/>
                    <w:ind w:firstLine="0" w:firstLineChars="0"/>
                    <w:rPr>
                      <w:color w:val="auto"/>
                      <w:highlight w:val="none"/>
                    </w:rPr>
                  </w:pPr>
                </w:p>
              </w:tc>
              <w:tc>
                <w:tcPr>
                  <w:tcW w:w="1415" w:type="pct"/>
                  <w:vAlign w:val="center"/>
                </w:tcPr>
                <w:p w14:paraId="12F2ED93">
                  <w:pPr>
                    <w:pStyle w:val="7"/>
                    <w:ind w:firstLine="0" w:firstLineChars="0"/>
                    <w:rPr>
                      <w:color w:val="auto"/>
                      <w:highlight w:val="none"/>
                    </w:rPr>
                  </w:pPr>
                  <w:r>
                    <w:rPr>
                      <w:rFonts w:hint="eastAsia"/>
                      <w:color w:val="auto"/>
                      <w:highlight w:val="none"/>
                    </w:rPr>
                    <w:t>5000万元＜X</w:t>
                  </w:r>
                </w:p>
              </w:tc>
              <w:tc>
                <w:tcPr>
                  <w:tcW w:w="943" w:type="pct"/>
                  <w:vAlign w:val="center"/>
                </w:tcPr>
                <w:p w14:paraId="43088BE7">
                  <w:pPr>
                    <w:pStyle w:val="7"/>
                    <w:ind w:firstLine="0" w:firstLineChars="0"/>
                    <w:rPr>
                      <w:color w:val="auto"/>
                      <w:highlight w:val="none"/>
                    </w:rPr>
                  </w:pPr>
                  <w:r>
                    <w:rPr>
                      <w:rFonts w:hint="eastAsia"/>
                      <w:color w:val="auto"/>
                      <w:highlight w:val="none"/>
                    </w:rPr>
                    <w:t>50%</w:t>
                  </w:r>
                </w:p>
              </w:tc>
              <w:tc>
                <w:tcPr>
                  <w:tcW w:w="1714" w:type="pct"/>
                  <w:vAlign w:val="center"/>
                </w:tcPr>
                <w:p w14:paraId="7510012C">
                  <w:pPr>
                    <w:pStyle w:val="7"/>
                    <w:ind w:firstLine="0" w:firstLineChars="0"/>
                    <w:rPr>
                      <w:color w:val="auto"/>
                      <w:highlight w:val="none"/>
                    </w:rPr>
                  </w:pPr>
                  <w:r>
                    <w:rPr>
                      <w:rFonts w:hint="eastAsia"/>
                      <w:color w:val="auto"/>
                      <w:highlight w:val="none"/>
                    </w:rPr>
                    <w:t>取50%后不足164400元的，按164400元记取。</w:t>
                  </w:r>
                </w:p>
              </w:tc>
            </w:tr>
            <w:tr w14:paraId="7185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02BE7A0A">
                  <w:pPr>
                    <w:pStyle w:val="7"/>
                    <w:ind w:firstLine="0" w:firstLineChars="0"/>
                    <w:rPr>
                      <w:color w:val="auto"/>
                      <w:highlight w:val="none"/>
                    </w:rPr>
                  </w:pPr>
                  <w:r>
                    <w:rPr>
                      <w:rFonts w:hint="eastAsia"/>
                      <w:color w:val="auto"/>
                      <w:highlight w:val="none"/>
                    </w:rPr>
                    <w:t>收费说明：</w:t>
                  </w:r>
                </w:p>
                <w:p w14:paraId="10FC32A6">
                  <w:pPr>
                    <w:pStyle w:val="7"/>
                    <w:ind w:firstLine="0" w:firstLineChars="0"/>
                    <w:rPr>
                      <w:color w:val="auto"/>
                      <w:highlight w:val="none"/>
                    </w:rPr>
                  </w:pPr>
                  <w:r>
                    <w:rPr>
                      <w:rFonts w:hint="eastAsia"/>
                      <w:color w:val="auto"/>
                      <w:highlight w:val="none"/>
                    </w:rPr>
                    <w:t>1.招标代理服务费按项目收取。如一批项目同批次招标的（各项目采用同一批评标专家相继评标的视为同批次招标项目），同批次分不同档次，1至2个项目为一档，3至4个项目为二档，以此类推，以各档次内中标金额为基数计算招标代理服务费。同批次的不同招标项目按照中标金额占比分摊招标代理费。</w:t>
                  </w:r>
                </w:p>
                <w:p w14:paraId="4298CCCD">
                  <w:pPr>
                    <w:pStyle w:val="7"/>
                    <w:ind w:firstLine="0" w:firstLineChars="0"/>
                    <w:rPr>
                      <w:color w:val="auto"/>
                      <w:highlight w:val="none"/>
                    </w:rPr>
                  </w:pPr>
                  <w:r>
                    <w:rPr>
                      <w:rFonts w:hint="eastAsia"/>
                      <w:color w:val="auto"/>
                      <w:highlight w:val="none"/>
                    </w:rPr>
                    <w:t>2.招标代理服务费以中标金额为基数，按表1计算后得出招标代理服务费初始金额，初始金额再按照表2对应的取费率进行计算得出最终的招标代理服务费收费金额，由中标人向招标代理服务机构缴纳；该金额为含税金额。</w:t>
                  </w:r>
                </w:p>
                <w:p w14:paraId="0CF3A714">
                  <w:pPr>
                    <w:pStyle w:val="7"/>
                    <w:ind w:firstLine="0" w:firstLineChars="0"/>
                    <w:rPr>
                      <w:color w:val="auto"/>
                      <w:highlight w:val="none"/>
                    </w:rPr>
                  </w:pPr>
                  <w:r>
                    <w:rPr>
                      <w:rFonts w:hint="eastAsia"/>
                      <w:color w:val="auto"/>
                      <w:highlight w:val="none"/>
                    </w:rPr>
                    <w:t>3.计算后招标代理服务费最高不超过30万元。</w:t>
                  </w:r>
                </w:p>
              </w:tc>
            </w:tr>
          </w:tbl>
          <w:p w14:paraId="391FDC8A">
            <w:pPr>
              <w:spacing w:line="360" w:lineRule="auto"/>
              <w:rPr>
                <w:rFonts w:hint="eastAsia" w:ascii="宋体" w:hAnsi="宋体" w:cs="宋体"/>
                <w:color w:val="auto"/>
                <w:kern w:val="0"/>
                <w:szCs w:val="21"/>
                <w:highlight w:val="none"/>
              </w:rPr>
            </w:pPr>
          </w:p>
        </w:tc>
      </w:tr>
      <w:tr w14:paraId="5595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67E710F5">
            <w:pPr>
              <w:spacing w:line="360" w:lineRule="auto"/>
              <w:jc w:val="center"/>
              <w:rPr>
                <w:rFonts w:hint="eastAsia"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8</w:t>
            </w:r>
          </w:p>
        </w:tc>
        <w:tc>
          <w:tcPr>
            <w:tcW w:w="2566" w:type="dxa"/>
            <w:tcBorders>
              <w:top w:val="single" w:color="auto" w:sz="4" w:space="0"/>
              <w:left w:val="single" w:color="auto" w:sz="4" w:space="0"/>
              <w:bottom w:val="single" w:color="auto" w:sz="4" w:space="0"/>
              <w:right w:val="single" w:color="auto" w:sz="4" w:space="0"/>
            </w:tcBorders>
            <w:vAlign w:val="center"/>
          </w:tcPr>
          <w:p w14:paraId="20D16904">
            <w:pPr>
              <w:spacing w:line="360" w:lineRule="auto"/>
              <w:rPr>
                <w:rFonts w:hint="eastAsia" w:ascii="宋体" w:hAnsi="宋体"/>
                <w:color w:val="auto"/>
                <w:szCs w:val="21"/>
                <w:highlight w:val="none"/>
              </w:rPr>
            </w:pPr>
            <w:r>
              <w:rPr>
                <w:rFonts w:hint="eastAsia" w:ascii="宋体" w:hAnsi="宋体" w:cs="仿宋_GB2312"/>
                <w:color w:val="auto"/>
                <w:kern w:val="0"/>
                <w:szCs w:val="21"/>
                <w:highlight w:val="none"/>
              </w:rPr>
              <w:t>保密</w:t>
            </w:r>
          </w:p>
        </w:tc>
        <w:tc>
          <w:tcPr>
            <w:tcW w:w="5938" w:type="dxa"/>
            <w:tcBorders>
              <w:top w:val="single" w:color="auto" w:sz="4" w:space="0"/>
              <w:left w:val="single" w:color="auto" w:sz="4" w:space="0"/>
              <w:bottom w:val="single" w:color="auto" w:sz="4" w:space="0"/>
              <w:right w:val="single" w:color="auto" w:sz="4" w:space="0"/>
            </w:tcBorders>
            <w:vAlign w:val="center"/>
          </w:tcPr>
          <w:p w14:paraId="13342A1D">
            <w:pPr>
              <w:keepNext w:val="0"/>
              <w:keepLines w:val="0"/>
              <w:pageBreakBefore w:val="0"/>
              <w:widowControl w:val="0"/>
              <w:kinsoku/>
              <w:wordWrap/>
              <w:overflowPunct/>
              <w:topLinePunct w:val="0"/>
              <w:autoSpaceDE/>
              <w:autoSpaceDN/>
              <w:bidi w:val="0"/>
              <w:adjustRightInd/>
              <w:snapToGrid/>
              <w:spacing w:line="390" w:lineRule="exact"/>
              <w:textAlignment w:val="auto"/>
              <w:rPr>
                <w:color w:val="auto"/>
                <w:highlight w:val="none"/>
              </w:rPr>
            </w:pPr>
            <w:r>
              <w:rPr>
                <w:rFonts w:hint="eastAsia"/>
                <w:color w:val="auto"/>
                <w:highlight w:val="none"/>
              </w:rPr>
              <w:t>（1）凡参与招标工作的有关人员均应自觉接受有关主管部门的监督，不得向他人透露可能影响公平竞争的有关招标投标的其他情况。</w:t>
            </w:r>
          </w:p>
          <w:p w14:paraId="389D9076">
            <w:pPr>
              <w:keepNext w:val="0"/>
              <w:keepLines w:val="0"/>
              <w:pageBreakBefore w:val="0"/>
              <w:widowControl w:val="0"/>
              <w:kinsoku/>
              <w:wordWrap/>
              <w:overflowPunct/>
              <w:topLinePunct w:val="0"/>
              <w:autoSpaceDE/>
              <w:autoSpaceDN/>
              <w:bidi w:val="0"/>
              <w:adjustRightInd/>
              <w:snapToGrid/>
              <w:spacing w:line="390" w:lineRule="exact"/>
              <w:textAlignment w:val="auto"/>
              <w:rPr>
                <w:color w:val="auto"/>
                <w:highlight w:val="none"/>
              </w:rPr>
            </w:pPr>
            <w:r>
              <w:rPr>
                <w:rFonts w:hint="eastAsia"/>
                <w:color w:val="auto"/>
                <w:highlight w:val="none"/>
              </w:rPr>
              <w:t>（2）开标后，直至向中标的投标人发出《中标通知书》时止，凡与审查、澄清、评价和比较投标的有关资料以及授标意见等，均不得向投标人及与评标无关的其他人透露。</w:t>
            </w:r>
          </w:p>
          <w:p w14:paraId="7AAF83A9">
            <w:pPr>
              <w:keepNext w:val="0"/>
              <w:keepLines w:val="0"/>
              <w:pageBreakBefore w:val="0"/>
              <w:widowControl w:val="0"/>
              <w:kinsoku/>
              <w:wordWrap/>
              <w:overflowPunct/>
              <w:topLinePunct w:val="0"/>
              <w:autoSpaceDE/>
              <w:autoSpaceDN/>
              <w:bidi w:val="0"/>
              <w:adjustRightInd/>
              <w:snapToGrid/>
              <w:spacing w:line="390" w:lineRule="exact"/>
              <w:textAlignment w:val="auto"/>
              <w:rPr>
                <w:color w:val="auto"/>
                <w:highlight w:val="none"/>
              </w:rPr>
            </w:pPr>
            <w:r>
              <w:rPr>
                <w:rFonts w:hint="eastAsia"/>
                <w:color w:val="auto"/>
                <w:highlight w:val="none"/>
              </w:rPr>
              <w:t>（3）除投标人被要求对投标文件进行澄清外，从开标之时起至授予合同期间，投标人不得就与其投标文件有关的事项主动与评标委员会、招标代理机构以及招标人联系。</w:t>
            </w:r>
          </w:p>
          <w:p w14:paraId="34F9774D">
            <w:pPr>
              <w:keepNext w:val="0"/>
              <w:keepLines w:val="0"/>
              <w:pageBreakBefore w:val="0"/>
              <w:widowControl w:val="0"/>
              <w:kinsoku/>
              <w:wordWrap/>
              <w:overflowPunct/>
              <w:topLinePunct w:val="0"/>
              <w:autoSpaceDE/>
              <w:autoSpaceDN/>
              <w:bidi w:val="0"/>
              <w:adjustRightInd/>
              <w:snapToGrid/>
              <w:spacing w:line="390" w:lineRule="exact"/>
              <w:textAlignment w:val="auto"/>
              <w:rPr>
                <w:color w:val="auto"/>
                <w:highlight w:val="none"/>
              </w:rPr>
            </w:pPr>
            <w:r>
              <w:rPr>
                <w:rFonts w:hint="eastAsia"/>
                <w:color w:val="auto"/>
                <w:highlight w:val="none"/>
              </w:rPr>
              <w:t>（4）从开标之日起至授予合同期间，投标人试图在投标文件审查、澄清、比较和评价时对评标委员会和招标代理机构施加任何影响或对招标人的比较及授予合同的决定进行影响，都可能导致其投标文件被拒绝。</w:t>
            </w:r>
          </w:p>
          <w:p w14:paraId="23582381">
            <w:pPr>
              <w:keepNext w:val="0"/>
              <w:keepLines w:val="0"/>
              <w:pageBreakBefore w:val="0"/>
              <w:widowControl w:val="0"/>
              <w:kinsoku/>
              <w:wordWrap/>
              <w:overflowPunct/>
              <w:topLinePunct w:val="0"/>
              <w:autoSpaceDE/>
              <w:autoSpaceDN/>
              <w:bidi w:val="0"/>
              <w:adjustRightInd/>
              <w:snapToGrid/>
              <w:spacing w:line="390" w:lineRule="exact"/>
              <w:textAlignment w:val="auto"/>
              <w:rPr>
                <w:color w:val="auto"/>
                <w:highlight w:val="none"/>
              </w:rPr>
            </w:pPr>
            <w:r>
              <w:rPr>
                <w:rFonts w:hint="eastAsia"/>
                <w:color w:val="auto"/>
                <w:highlight w:val="none"/>
              </w:rPr>
              <w:t>（5）投标人不得串通作弊，以不正当手段妨碍、排挤其他投标人，扰乱招标市场，破坏公平竞争原则。</w:t>
            </w:r>
          </w:p>
          <w:p w14:paraId="7F4C7284">
            <w:pPr>
              <w:keepNext w:val="0"/>
              <w:keepLines w:val="0"/>
              <w:pageBreakBefore w:val="0"/>
              <w:widowControl w:val="0"/>
              <w:kinsoku/>
              <w:wordWrap/>
              <w:overflowPunct/>
              <w:topLinePunct w:val="0"/>
              <w:autoSpaceDE/>
              <w:autoSpaceDN/>
              <w:bidi w:val="0"/>
              <w:adjustRightInd/>
              <w:snapToGrid/>
              <w:spacing w:line="390" w:lineRule="exact"/>
              <w:textAlignment w:val="auto"/>
              <w:rPr>
                <w:color w:val="auto"/>
                <w:highlight w:val="none"/>
              </w:rPr>
            </w:pPr>
            <w:r>
              <w:rPr>
                <w:rFonts w:hint="eastAsia"/>
                <w:color w:val="auto"/>
                <w:highlight w:val="none"/>
              </w:rPr>
              <w:t>（6）获得本招标文件者，应对文件进行保密，不得用作本次投标以外的任何用途。</w:t>
            </w:r>
          </w:p>
          <w:p w14:paraId="3398318E">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cs="宋体"/>
                <w:color w:val="auto"/>
                <w:kern w:val="0"/>
                <w:szCs w:val="21"/>
                <w:highlight w:val="none"/>
              </w:rPr>
            </w:pPr>
            <w:r>
              <w:rPr>
                <w:rFonts w:hint="eastAsia"/>
                <w:color w:val="auto"/>
                <w:highlight w:val="none"/>
              </w:rPr>
              <w:t>（7）由招标人向投标人提供的图纸、详细资料、样品（模型、模件）所有其他资料，被视为保密资料，仅被用于它所规定的用途，除非得到招标人的同意，不能向任何第三方透露。开标完成后，应招标人要求，投标人应归还所有从招标人处获得的保密资料。</w:t>
            </w:r>
          </w:p>
        </w:tc>
      </w:tr>
      <w:tr w14:paraId="4C98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0857C849">
            <w:pPr>
              <w:spacing w:line="360" w:lineRule="auto"/>
              <w:jc w:val="center"/>
              <w:rPr>
                <w:rFonts w:hint="eastAsia"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9</w:t>
            </w:r>
          </w:p>
        </w:tc>
        <w:tc>
          <w:tcPr>
            <w:tcW w:w="2566" w:type="dxa"/>
            <w:tcBorders>
              <w:top w:val="single" w:color="auto" w:sz="4" w:space="0"/>
              <w:left w:val="single" w:color="auto" w:sz="4" w:space="0"/>
              <w:bottom w:val="single" w:color="auto" w:sz="4" w:space="0"/>
              <w:right w:val="single" w:color="auto" w:sz="4" w:space="0"/>
            </w:tcBorders>
            <w:vAlign w:val="center"/>
          </w:tcPr>
          <w:p w14:paraId="4B51496E">
            <w:pPr>
              <w:spacing w:line="360" w:lineRule="auto"/>
              <w:jc w:val="lef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投标人是否参加开标</w:t>
            </w:r>
          </w:p>
        </w:tc>
        <w:tc>
          <w:tcPr>
            <w:tcW w:w="5938" w:type="dxa"/>
            <w:tcBorders>
              <w:top w:val="single" w:color="auto" w:sz="4" w:space="0"/>
              <w:left w:val="single" w:color="auto" w:sz="4" w:space="0"/>
              <w:bottom w:val="single" w:color="auto" w:sz="4" w:space="0"/>
              <w:right w:val="single" w:color="auto" w:sz="4" w:space="0"/>
            </w:tcBorders>
            <w:vAlign w:val="center"/>
          </w:tcPr>
          <w:p w14:paraId="00A39826">
            <w:pPr>
              <w:spacing w:line="360" w:lineRule="auto"/>
              <w:rPr>
                <w:rFonts w:hint="eastAsia" w:ascii="宋体" w:hAnsi="宋体"/>
                <w:color w:val="auto"/>
                <w:szCs w:val="21"/>
                <w:highlight w:val="none"/>
              </w:rPr>
            </w:pPr>
            <w:r>
              <w:rPr>
                <w:rFonts w:hint="eastAsia" w:ascii="宋体" w:hAnsi="宋体"/>
                <w:color w:val="auto"/>
                <w:szCs w:val="21"/>
                <w:highlight w:val="none"/>
              </w:rPr>
              <w:t>开标时，投标人代表有权出席开标会，也可以自主决定不参加开标会，若投标人代表对开标过程提出异议，该投标人代表须同时出示本人身份证原件。</w:t>
            </w:r>
          </w:p>
        </w:tc>
      </w:tr>
      <w:tr w14:paraId="0141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0F166094">
            <w:pPr>
              <w:spacing w:line="360" w:lineRule="auto"/>
              <w:jc w:val="center"/>
              <w:rPr>
                <w:rFonts w:hint="eastAsia" w:ascii="宋体" w:hAnsi="宋体"/>
                <w:color w:val="auto"/>
                <w:szCs w:val="21"/>
                <w:highlight w:val="none"/>
              </w:rPr>
            </w:pPr>
            <w:r>
              <w:rPr>
                <w:rFonts w:hint="eastAsia" w:ascii="宋体" w:hAnsi="宋体"/>
                <w:color w:val="auto"/>
                <w:szCs w:val="21"/>
                <w:highlight w:val="none"/>
              </w:rPr>
              <w:t>10.10</w:t>
            </w:r>
          </w:p>
        </w:tc>
        <w:tc>
          <w:tcPr>
            <w:tcW w:w="2566" w:type="dxa"/>
            <w:tcBorders>
              <w:top w:val="single" w:color="auto" w:sz="4" w:space="0"/>
              <w:left w:val="single" w:color="auto" w:sz="4" w:space="0"/>
              <w:bottom w:val="single" w:color="auto" w:sz="4" w:space="0"/>
              <w:right w:val="single" w:color="auto" w:sz="4" w:space="0"/>
            </w:tcBorders>
            <w:vAlign w:val="center"/>
          </w:tcPr>
          <w:p w14:paraId="6CAD9642">
            <w:pPr>
              <w:spacing w:line="360" w:lineRule="auto"/>
              <w:jc w:val="left"/>
              <w:rPr>
                <w:rFonts w:hint="eastAsia" w:ascii="宋体" w:hAnsi="宋体" w:cs="仿宋_GB2312"/>
                <w:color w:val="auto"/>
                <w:kern w:val="0"/>
                <w:szCs w:val="21"/>
                <w:highlight w:val="none"/>
              </w:rPr>
            </w:pPr>
            <w:r>
              <w:rPr>
                <w:rFonts w:hint="eastAsia" w:ascii="宋体" w:hAnsi="宋体"/>
                <w:color w:val="auto"/>
                <w:highlight w:val="none"/>
              </w:rPr>
              <w:t>真实性审查</w:t>
            </w:r>
          </w:p>
        </w:tc>
        <w:tc>
          <w:tcPr>
            <w:tcW w:w="5938" w:type="dxa"/>
            <w:tcBorders>
              <w:top w:val="single" w:color="auto" w:sz="4" w:space="0"/>
              <w:left w:val="single" w:color="auto" w:sz="4" w:space="0"/>
              <w:bottom w:val="single" w:color="auto" w:sz="4" w:space="0"/>
              <w:right w:val="single" w:color="auto" w:sz="4" w:space="0"/>
            </w:tcBorders>
            <w:vAlign w:val="center"/>
          </w:tcPr>
          <w:p w14:paraId="3183D93E">
            <w:pPr>
              <w:spacing w:line="360" w:lineRule="auto"/>
              <w:jc w:val="left"/>
              <w:rPr>
                <w:color w:val="auto"/>
                <w:highlight w:val="none"/>
              </w:rPr>
            </w:pPr>
            <w:r>
              <w:rPr>
                <w:rFonts w:hint="eastAsia"/>
                <w:color w:val="auto"/>
                <w:highlight w:val="none"/>
              </w:rPr>
              <w:t>（1）在授子合同前，招标人有权组织对投标人的真实性审查。包括对投标人的资格证明文件、业绩证明文件、对招标文件实质性条款响应文件、履约能力证明文件的真实性进行核查，若发现其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取消其投标或中标候选人资格。</w:t>
            </w:r>
          </w:p>
          <w:p w14:paraId="2D1D2AEB">
            <w:pPr>
              <w:spacing w:line="360" w:lineRule="auto"/>
              <w:jc w:val="left"/>
              <w:rPr>
                <w:rFonts w:hint="eastAsia" w:ascii="宋体" w:hAnsi="宋体"/>
                <w:color w:val="auto"/>
                <w:szCs w:val="21"/>
                <w:highlight w:val="none"/>
              </w:rPr>
            </w:pPr>
            <w:r>
              <w:rPr>
                <w:rFonts w:hint="eastAsia"/>
                <w:color w:val="auto"/>
                <w:highlight w:val="none"/>
              </w:rPr>
              <w:t>（2）投标人在招标人通知其提供上述证明资料原件进行核查的要求后,未能在通知后5个自然日内提供原件进行核查的，视为投标人无法提供真实的资料，招标人有权按照评标委员会提出的中标候选人名单排序依次确定其他中标候选人为中标人或重新招标。</w:t>
            </w:r>
          </w:p>
        </w:tc>
      </w:tr>
      <w:tr w14:paraId="5801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6"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14:paraId="4FEE7F5B">
            <w:pPr>
              <w:spacing w:line="360" w:lineRule="auto"/>
              <w:jc w:val="center"/>
              <w:rPr>
                <w:rFonts w:hint="eastAsia" w:ascii="宋体" w:hAnsi="宋体"/>
                <w:color w:val="auto"/>
                <w:szCs w:val="21"/>
                <w:highlight w:val="none"/>
              </w:rPr>
            </w:pPr>
            <w:r>
              <w:rPr>
                <w:rFonts w:ascii="宋体" w:hAnsi="宋体"/>
                <w:color w:val="auto"/>
                <w:szCs w:val="22"/>
                <w:highlight w:val="none"/>
              </w:rPr>
              <w:t>2.4</w:t>
            </w:r>
            <w:r>
              <w:rPr>
                <w:rFonts w:hint="eastAsia" w:ascii="宋体" w:hAnsi="宋体"/>
                <w:color w:val="auto"/>
                <w:szCs w:val="22"/>
                <w:highlight w:val="none"/>
              </w:rPr>
              <w:t>款、</w:t>
            </w:r>
            <w:r>
              <w:rPr>
                <w:rFonts w:ascii="宋体" w:hAnsi="宋体"/>
                <w:color w:val="auto"/>
                <w:szCs w:val="22"/>
                <w:highlight w:val="none"/>
              </w:rPr>
              <w:t>5.3</w:t>
            </w:r>
            <w:r>
              <w:rPr>
                <w:rFonts w:hint="eastAsia" w:ascii="宋体" w:hAnsi="宋体"/>
                <w:color w:val="auto"/>
                <w:szCs w:val="22"/>
                <w:highlight w:val="none"/>
              </w:rPr>
              <w:t>和</w:t>
            </w:r>
            <w:r>
              <w:rPr>
                <w:rFonts w:ascii="宋体" w:hAnsi="宋体"/>
                <w:color w:val="auto"/>
                <w:szCs w:val="22"/>
                <w:highlight w:val="none"/>
              </w:rPr>
              <w:t>7.2</w:t>
            </w:r>
          </w:p>
        </w:tc>
        <w:tc>
          <w:tcPr>
            <w:tcW w:w="2566" w:type="dxa"/>
            <w:tcBorders>
              <w:top w:val="single" w:color="auto" w:sz="4" w:space="0"/>
              <w:left w:val="single" w:color="auto" w:sz="4" w:space="0"/>
              <w:bottom w:val="single" w:color="auto" w:sz="4" w:space="0"/>
              <w:right w:val="single" w:color="auto" w:sz="4" w:space="0"/>
            </w:tcBorders>
            <w:vAlign w:val="center"/>
          </w:tcPr>
          <w:p w14:paraId="7D5469A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异议受理</w:t>
            </w:r>
          </w:p>
        </w:tc>
        <w:tc>
          <w:tcPr>
            <w:tcW w:w="5938" w:type="dxa"/>
            <w:tcBorders>
              <w:top w:val="single" w:color="auto" w:sz="4" w:space="0"/>
              <w:left w:val="single" w:color="auto" w:sz="4" w:space="0"/>
              <w:bottom w:val="single" w:color="auto" w:sz="4" w:space="0"/>
              <w:right w:val="single" w:color="auto" w:sz="4" w:space="0"/>
            </w:tcBorders>
            <w:vAlign w:val="center"/>
          </w:tcPr>
          <w:p w14:paraId="7D679DFA">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潜在投标人或利害关系人可以通过线下或线上的形式提出异议。线上提出异议的，应通过广州交易集团有限公司（广州公共资源交易中心）电子交易系统提交，招标人也应通过广州交易集团有限公司（广州公共资源交易中心）电子交易系统答复线上提交的异议。具体按照广州交易集团有限公司（广州公共资源交易中心）交易平台相关指南进行操作。作出答复前，应当暂停招标投标活动。</w:t>
            </w:r>
          </w:p>
          <w:p w14:paraId="21EAD604">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注：异议可在线提出及回复，详见</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网站发布的《关于开通全流程在线异议功能的通知》。</w:t>
            </w:r>
          </w:p>
        </w:tc>
      </w:tr>
    </w:tbl>
    <w:p w14:paraId="328A19C1">
      <w:pPr>
        <w:spacing w:line="400" w:lineRule="exact"/>
        <w:rPr>
          <w:rFonts w:hint="eastAsia" w:ascii="宋体" w:hAnsi="宋体"/>
          <w:color w:val="auto"/>
          <w:highlight w:val="none"/>
        </w:rPr>
      </w:pPr>
      <w:r>
        <w:rPr>
          <w:rFonts w:hint="eastAsia" w:ascii="宋体" w:hAnsi="宋体"/>
          <w:color w:val="auto"/>
          <w:highlight w:val="none"/>
        </w:rPr>
        <w:t>备注：投标人须知正文与《投标人须知前附表》描述存在不一致之处，以《投标人须知前附表》为准。</w:t>
      </w:r>
    </w:p>
    <w:p w14:paraId="77EE74DC">
      <w:pPr>
        <w:spacing w:line="360" w:lineRule="auto"/>
        <w:jc w:val="left"/>
        <w:rPr>
          <w:b/>
          <w:color w:val="auto"/>
          <w:highlight w:val="none"/>
        </w:rPr>
      </w:pPr>
      <w:r>
        <w:rPr>
          <w:rFonts w:ascii="宋体" w:hAnsi="宋体"/>
          <w:color w:val="auto"/>
          <w:highlight w:val="none"/>
        </w:rPr>
        <w:br w:type="page"/>
      </w:r>
      <w:bookmarkStart w:id="45" w:name="_Toc30326"/>
      <w:bookmarkStart w:id="46" w:name="_Hlk35011823"/>
      <w:r>
        <w:rPr>
          <w:rFonts w:hint="eastAsia" w:ascii="宋体" w:hAnsi="宋体"/>
          <w:color w:val="auto"/>
          <w:highlight w:val="none"/>
        </w:rPr>
        <w:t>附件一、</w:t>
      </w:r>
      <w:bookmarkStart w:id="47" w:name="_Toc29545500"/>
      <w:r>
        <w:rPr>
          <w:rFonts w:hint="eastAsia"/>
          <w:b/>
          <w:color w:val="auto"/>
          <w:highlight w:val="none"/>
        </w:rPr>
        <w:t>投标文件否决性条款摘要</w:t>
      </w:r>
      <w:bookmarkEnd w:id="45"/>
      <w:bookmarkEnd w:id="47"/>
      <w:r>
        <w:rPr>
          <w:rFonts w:hint="eastAsia"/>
          <w:b/>
          <w:color w:val="auto"/>
          <w:highlight w:val="none"/>
        </w:rPr>
        <w:t xml:space="preserve">   </w:t>
      </w:r>
    </w:p>
    <w:p w14:paraId="4B0D9A04">
      <w:pPr>
        <w:spacing w:line="0" w:lineRule="atLeast"/>
        <w:rPr>
          <w:color w:val="auto"/>
          <w:highlight w:val="none"/>
        </w:rPr>
      </w:pPr>
    </w:p>
    <w:p w14:paraId="328DD06F">
      <w:pPr>
        <w:spacing w:line="360" w:lineRule="auto"/>
        <w:jc w:val="center"/>
        <w:rPr>
          <w:color w:val="auto"/>
          <w:sz w:val="30"/>
          <w:szCs w:val="30"/>
          <w:highlight w:val="none"/>
        </w:rPr>
      </w:pPr>
      <w:bookmarkStart w:id="48" w:name="_Toc532318005"/>
      <w:bookmarkStart w:id="49" w:name="_Toc8572392"/>
      <w:bookmarkStart w:id="50" w:name="_Toc16053"/>
      <w:bookmarkStart w:id="51" w:name="_Toc29545501"/>
      <w:bookmarkStart w:id="52" w:name="_Toc357586305"/>
      <w:bookmarkStart w:id="53" w:name="_Toc9001119"/>
      <w:r>
        <w:rPr>
          <w:rFonts w:hint="eastAsia"/>
          <w:b/>
          <w:color w:val="auto"/>
          <w:highlight w:val="none"/>
        </w:rPr>
        <w:t>投标文件否决性条款摘要</w:t>
      </w:r>
      <w:bookmarkEnd w:id="48"/>
      <w:bookmarkEnd w:id="49"/>
      <w:bookmarkEnd w:id="50"/>
      <w:bookmarkEnd w:id="51"/>
      <w:bookmarkEnd w:id="52"/>
      <w:bookmarkEnd w:id="53"/>
    </w:p>
    <w:p w14:paraId="2FF45541">
      <w:pPr>
        <w:spacing w:line="400" w:lineRule="exact"/>
        <w:ind w:right="-197" w:firstLine="422" w:firstLineChars="200"/>
        <w:rPr>
          <w:rFonts w:hint="eastAsia" w:ascii="宋体" w:hAnsi="宋体"/>
          <w:b/>
          <w:color w:val="auto"/>
          <w:highlight w:val="none"/>
        </w:rPr>
      </w:pPr>
      <w:r>
        <w:rPr>
          <w:rFonts w:hint="eastAsia" w:ascii="宋体" w:hAnsi="宋体"/>
          <w:b/>
          <w:color w:val="auto"/>
          <w:highlight w:val="none"/>
        </w:rPr>
        <w:t>重要提示：</w:t>
      </w:r>
      <w:r>
        <w:rPr>
          <w:rFonts w:hint="eastAsia" w:ascii="宋体" w:hAnsi="宋体"/>
          <w:color w:val="auto"/>
          <w:highlight w:val="none"/>
        </w:rPr>
        <w:t>本摘要是本招标文件(含招标文件的澄清、修改、补充文件等)中涉及的所有否决性条款的集中列示，包括：招标文件规定的在开标会上当场宣布投标文件不予受理或为无效投标的情形，初步评审、详细评审阶段发现重大偏差的情形。</w:t>
      </w:r>
      <w:r>
        <w:rPr>
          <w:rFonts w:hint="eastAsia" w:ascii="宋体" w:hAnsi="宋体"/>
          <w:b/>
          <w:color w:val="auto"/>
          <w:highlight w:val="none"/>
        </w:rPr>
        <w:t>除出现本摘要集中列示的否决性条款规定的情形以外，投标文件出现的其他任何情形均不得作否决处理。招标文件中有关否决性条款的阐述与本摘要所列内容不一致的，以本摘要列示的内容为准</w:t>
      </w:r>
      <w:r>
        <w:rPr>
          <w:rFonts w:hint="eastAsia" w:ascii="宋体" w:hAnsi="宋体"/>
          <w:color w:val="auto"/>
          <w:highlight w:val="none"/>
        </w:rPr>
        <w:t>。</w:t>
      </w:r>
    </w:p>
    <w:p w14:paraId="442B2C82">
      <w:pPr>
        <w:spacing w:line="400" w:lineRule="exact"/>
        <w:ind w:right="-197" w:firstLine="420" w:firstLineChars="200"/>
        <w:rPr>
          <w:rFonts w:hint="eastAsia" w:ascii="宋体" w:hAnsi="宋体"/>
          <w:color w:val="auto"/>
          <w:highlight w:val="none"/>
        </w:rPr>
      </w:pPr>
      <w:r>
        <w:rPr>
          <w:rFonts w:hint="eastAsia" w:ascii="宋体" w:hAnsi="宋体"/>
          <w:color w:val="auto"/>
          <w:highlight w:val="none"/>
        </w:rPr>
        <w:t>如招标人通过招标文件的澄清、修改、补充文件予以增加否决性条款的，招标人应当重新编写本摘要内容，将新增否决性条款列入本摘要，并发布新的完整的《投标文件否决性条款摘要》。否则，增加的否决性条款无效。</w:t>
      </w:r>
    </w:p>
    <w:p w14:paraId="4A15D081">
      <w:pPr>
        <w:spacing w:line="400" w:lineRule="exact"/>
        <w:ind w:right="-197" w:firstLine="420" w:firstLineChars="200"/>
        <w:rPr>
          <w:rFonts w:hint="eastAsia" w:ascii="宋体" w:hAnsi="宋体"/>
          <w:color w:val="auto"/>
          <w:highlight w:val="none"/>
        </w:rPr>
      </w:pPr>
      <w:r>
        <w:rPr>
          <w:rFonts w:hint="eastAsia" w:ascii="宋体" w:hAnsi="宋体"/>
          <w:color w:val="auto"/>
          <w:highlight w:val="none"/>
        </w:rPr>
        <w:t>招标人负责在开标会上判定投标文件不予受理或为无效投标的情形。</w:t>
      </w:r>
    </w:p>
    <w:p w14:paraId="2895BFEA">
      <w:pPr>
        <w:spacing w:line="400" w:lineRule="exact"/>
        <w:ind w:right="-197" w:firstLine="420" w:firstLineChars="200"/>
        <w:rPr>
          <w:rFonts w:hint="eastAsia" w:ascii="宋体" w:hAnsi="宋体"/>
          <w:color w:val="auto"/>
          <w:highlight w:val="none"/>
        </w:rPr>
      </w:pPr>
      <w:r>
        <w:rPr>
          <w:rFonts w:hint="eastAsia" w:ascii="宋体" w:hAnsi="宋体"/>
          <w:color w:val="auto"/>
          <w:highlight w:val="none"/>
        </w:rPr>
        <w:t>评标委员会应将在初步评审阶段和详细评审阶段发现的投标文件中的重大偏差情况列入评标报告中的“否决投标情况说明”，对该投标文件作否决处理；对于发现的其他偏差情况应列入细微偏差，向招标人提出相关意见和建议，但不得对该投标作否决处理。</w:t>
      </w:r>
    </w:p>
    <w:p w14:paraId="0C99339C">
      <w:pPr>
        <w:spacing w:line="400" w:lineRule="exact"/>
        <w:ind w:right="-197" w:firstLine="422" w:firstLineChars="200"/>
        <w:rPr>
          <w:rFonts w:hint="eastAsia" w:ascii="宋体" w:hAnsi="宋体"/>
          <w:b/>
          <w:color w:val="auto"/>
          <w:highlight w:val="none"/>
        </w:rPr>
      </w:pPr>
      <w:bookmarkStart w:id="54" w:name="_Toc9001120"/>
      <w:bookmarkStart w:id="55" w:name="_Toc8572393"/>
      <w:r>
        <w:rPr>
          <w:rFonts w:hint="eastAsia" w:ascii="宋体" w:hAnsi="宋体"/>
          <w:b/>
          <w:color w:val="auto"/>
          <w:highlight w:val="none"/>
        </w:rPr>
        <w:t>一、在开标会上，判定投标文件不予受理情形（由招标人负责判定）：</w:t>
      </w:r>
      <w:bookmarkEnd w:id="54"/>
      <w:bookmarkEnd w:id="55"/>
      <w:r>
        <w:rPr>
          <w:rFonts w:hint="eastAsia" w:ascii="宋体" w:hAnsi="宋体"/>
          <w:b/>
          <w:color w:val="auto"/>
          <w:highlight w:val="none"/>
        </w:rPr>
        <w:t xml:space="preserve"> </w:t>
      </w:r>
    </w:p>
    <w:p w14:paraId="133AB2DC">
      <w:pPr>
        <w:spacing w:line="400" w:lineRule="exact"/>
        <w:ind w:right="-198" w:firstLine="420" w:firstLineChars="200"/>
        <w:rPr>
          <w:rFonts w:hint="eastAsia" w:ascii="宋体" w:hAnsi="宋体"/>
          <w:color w:val="auto"/>
          <w:highlight w:val="none"/>
        </w:rPr>
      </w:pPr>
      <w:r>
        <w:rPr>
          <w:rFonts w:hint="eastAsia" w:ascii="宋体" w:hAnsi="宋体"/>
          <w:color w:val="auto"/>
          <w:highlight w:val="none"/>
        </w:rPr>
        <w:t>（一）判定投标文件不予受理的情形：</w:t>
      </w:r>
    </w:p>
    <w:p w14:paraId="247D2404">
      <w:pPr>
        <w:tabs>
          <w:tab w:val="left" w:pos="1080"/>
        </w:tabs>
        <w:spacing w:line="400" w:lineRule="exact"/>
        <w:ind w:right="-197" w:firstLine="420" w:firstLineChars="200"/>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rPr>
        <w:t>、逾期上传的投标文件；</w:t>
      </w:r>
    </w:p>
    <w:p w14:paraId="784B091F">
      <w:pPr>
        <w:tabs>
          <w:tab w:val="left" w:pos="1080"/>
        </w:tabs>
        <w:spacing w:line="400" w:lineRule="exact"/>
        <w:ind w:right="-197" w:firstLine="420" w:firstLineChars="200"/>
        <w:rPr>
          <w:rFonts w:hint="eastAsia" w:ascii="宋体" w:hAnsi="宋体"/>
          <w:color w:val="auto"/>
          <w:highlight w:val="none"/>
        </w:rPr>
      </w:pPr>
      <w:r>
        <w:rPr>
          <w:rFonts w:ascii="宋体" w:hAnsi="宋体"/>
          <w:color w:val="auto"/>
          <w:highlight w:val="none"/>
        </w:rPr>
        <w:t>2</w:t>
      </w:r>
      <w:r>
        <w:rPr>
          <w:rFonts w:hint="eastAsia" w:ascii="宋体" w:hAnsi="宋体"/>
          <w:color w:val="auto"/>
          <w:highlight w:val="none"/>
        </w:rPr>
        <w:t>、投标人的投标保证金未按规定要求提交；</w:t>
      </w:r>
    </w:p>
    <w:p w14:paraId="66B1BE8E">
      <w:pPr>
        <w:spacing w:line="400" w:lineRule="exact"/>
        <w:ind w:right="-197" w:firstLine="413" w:firstLineChars="196"/>
        <w:rPr>
          <w:rFonts w:hint="eastAsia" w:ascii="宋体" w:hAnsi="宋体"/>
          <w:b/>
          <w:color w:val="auto"/>
          <w:highlight w:val="none"/>
          <w:u w:val="single"/>
        </w:rPr>
      </w:pPr>
      <w:r>
        <w:rPr>
          <w:rFonts w:hint="eastAsia" w:ascii="宋体" w:hAnsi="宋体"/>
          <w:b/>
          <w:color w:val="auto"/>
          <w:highlight w:val="none"/>
        </w:rPr>
        <w:t>注：投标文件出现上述情形被判定不予受理的，招标人将退回该投标文件。</w:t>
      </w:r>
    </w:p>
    <w:p w14:paraId="1BB35FC7">
      <w:pPr>
        <w:spacing w:line="400" w:lineRule="exact"/>
        <w:ind w:right="-197" w:firstLine="422" w:firstLineChars="200"/>
        <w:rPr>
          <w:rFonts w:hint="eastAsia" w:ascii="宋体" w:hAnsi="宋体"/>
          <w:b/>
          <w:color w:val="auto"/>
          <w:highlight w:val="none"/>
        </w:rPr>
      </w:pPr>
      <w:bookmarkStart w:id="56" w:name="_Toc8572394"/>
      <w:bookmarkStart w:id="57" w:name="_Toc9001121"/>
      <w:r>
        <w:rPr>
          <w:rFonts w:hint="eastAsia" w:ascii="宋体" w:hAnsi="宋体"/>
          <w:b/>
          <w:color w:val="auto"/>
          <w:highlight w:val="none"/>
        </w:rPr>
        <w:t>二、初步评审阶段和详细评审阶段有下列情形之一的，评标委员会应当否决其投标：</w:t>
      </w:r>
      <w:bookmarkEnd w:id="56"/>
      <w:bookmarkEnd w:id="57"/>
      <w:r>
        <w:rPr>
          <w:rFonts w:hint="eastAsia" w:ascii="宋体" w:hAnsi="宋体"/>
          <w:b/>
          <w:color w:val="auto"/>
          <w:highlight w:val="none"/>
        </w:rPr>
        <w:t xml:space="preserve"> </w:t>
      </w:r>
    </w:p>
    <w:p w14:paraId="3D791529">
      <w:pPr>
        <w:tabs>
          <w:tab w:val="left" w:pos="1080"/>
        </w:tabs>
        <w:spacing w:line="400" w:lineRule="exact"/>
        <w:ind w:right="-197" w:firstLine="420" w:firstLineChars="200"/>
        <w:rPr>
          <w:rFonts w:hint="eastAsia" w:ascii="宋体" w:hAnsi="宋体"/>
          <w:color w:val="auto"/>
          <w:highlight w:val="none"/>
        </w:rPr>
      </w:pPr>
      <w:r>
        <w:rPr>
          <w:rFonts w:hint="eastAsia" w:ascii="宋体" w:hAnsi="宋体"/>
          <w:color w:val="auto"/>
          <w:highlight w:val="none"/>
        </w:rPr>
        <w:t>1、投标人不符合国家或者招标文件规定的资格条件；</w:t>
      </w:r>
    </w:p>
    <w:p w14:paraId="546C30DF">
      <w:pPr>
        <w:tabs>
          <w:tab w:val="left" w:pos="1080"/>
        </w:tabs>
        <w:spacing w:line="400" w:lineRule="exact"/>
        <w:ind w:right="-197" w:firstLine="420" w:firstLineChars="200"/>
        <w:rPr>
          <w:rFonts w:hint="eastAsia" w:ascii="宋体" w:hAnsi="宋体"/>
          <w:color w:val="auto"/>
          <w:highlight w:val="none"/>
        </w:rPr>
      </w:pPr>
      <w:r>
        <w:rPr>
          <w:rFonts w:hint="eastAsia" w:ascii="宋体" w:hAnsi="宋体"/>
          <w:color w:val="auto"/>
          <w:highlight w:val="none"/>
        </w:rPr>
        <w:t>2、投标文件不符合招标文件评标办法前附表的要求；</w:t>
      </w:r>
    </w:p>
    <w:p w14:paraId="7D13C858">
      <w:pPr>
        <w:tabs>
          <w:tab w:val="left" w:pos="1080"/>
        </w:tabs>
        <w:spacing w:line="400" w:lineRule="exact"/>
        <w:ind w:right="-197" w:firstLine="420" w:firstLineChars="200"/>
        <w:rPr>
          <w:rFonts w:hint="eastAsia" w:ascii="宋体" w:hAnsi="宋体"/>
          <w:color w:val="auto"/>
          <w:highlight w:val="none"/>
        </w:rPr>
      </w:pPr>
      <w:r>
        <w:rPr>
          <w:rFonts w:hint="eastAsia" w:ascii="宋体" w:hAnsi="宋体"/>
          <w:color w:val="auto"/>
          <w:highlight w:val="none"/>
        </w:rPr>
        <w:t>3、评标委员会要求澄清、说明、补正，投标人拒不进行澄清、说明、补正的；或评标委员会根据评标办法对投标文件的计算错误进行修正后，投标人不接受修正后的投标报价；</w:t>
      </w:r>
    </w:p>
    <w:p w14:paraId="08CBA656">
      <w:pPr>
        <w:tabs>
          <w:tab w:val="left" w:pos="1080"/>
        </w:tabs>
        <w:spacing w:line="400" w:lineRule="exact"/>
        <w:ind w:right="-197" w:firstLine="420" w:firstLineChars="200"/>
        <w:rPr>
          <w:rFonts w:hint="eastAsia" w:ascii="宋体" w:hAnsi="宋体"/>
          <w:color w:val="auto"/>
          <w:highlight w:val="none"/>
        </w:rPr>
      </w:pPr>
      <w:r>
        <w:rPr>
          <w:rFonts w:hint="eastAsia" w:ascii="宋体" w:hAnsi="宋体"/>
          <w:color w:val="auto"/>
          <w:highlight w:val="none"/>
        </w:rPr>
        <w:t>4、投标报价更改了不可竞争费用或低于投标人的成本；招标人选定的限制不平衡报价的项目，投标人的投标报价超出招标人限定报价范围；</w:t>
      </w:r>
    </w:p>
    <w:p w14:paraId="2E41B079">
      <w:pPr>
        <w:tabs>
          <w:tab w:val="left" w:pos="1080"/>
        </w:tabs>
        <w:spacing w:line="400" w:lineRule="exact"/>
        <w:ind w:right="-197" w:firstLine="420" w:firstLineChars="200"/>
        <w:rPr>
          <w:rFonts w:hint="eastAsia" w:ascii="宋体" w:hAnsi="宋体"/>
          <w:color w:val="auto"/>
          <w:highlight w:val="none"/>
        </w:rPr>
      </w:pPr>
      <w:r>
        <w:rPr>
          <w:rFonts w:hint="eastAsia" w:ascii="宋体" w:hAnsi="宋体"/>
          <w:color w:val="auto"/>
          <w:highlight w:val="none"/>
        </w:rPr>
        <w:t>5、投标文件附有明显有失公允，招标人不能接受的条件；</w:t>
      </w:r>
    </w:p>
    <w:p w14:paraId="0099E18A">
      <w:pPr>
        <w:tabs>
          <w:tab w:val="left" w:pos="1080"/>
        </w:tabs>
        <w:spacing w:line="400" w:lineRule="exact"/>
        <w:ind w:right="-197" w:firstLine="420" w:firstLineChars="200"/>
        <w:rPr>
          <w:rFonts w:hint="eastAsia" w:ascii="宋体" w:hAnsi="宋体"/>
          <w:b/>
          <w:color w:val="auto"/>
          <w:highlight w:val="none"/>
        </w:rPr>
      </w:pPr>
      <w:r>
        <w:rPr>
          <w:rFonts w:hint="eastAsia" w:ascii="宋体" w:hAnsi="宋体"/>
          <w:color w:val="auto"/>
          <w:highlight w:val="none"/>
        </w:rPr>
        <w:t>6、投标人有以他人的名义投标、串通投标、弄虚作假、行贿等违法行为；</w:t>
      </w:r>
    </w:p>
    <w:p w14:paraId="1576106B">
      <w:pPr>
        <w:pStyle w:val="18"/>
        <w:tabs>
          <w:tab w:val="left" w:pos="1080"/>
        </w:tabs>
        <w:spacing w:before="0" w:beforeAutospacing="0" w:after="0" w:afterAutospacing="0" w:line="400" w:lineRule="exact"/>
        <w:ind w:right="-197" w:firstLine="420" w:firstLineChars="200"/>
        <w:rPr>
          <w:rFonts w:hint="eastAsia"/>
          <w:color w:val="auto"/>
          <w:sz w:val="21"/>
          <w:szCs w:val="21"/>
          <w:highlight w:val="none"/>
        </w:rPr>
      </w:pPr>
      <w:r>
        <w:rPr>
          <w:rFonts w:hint="eastAsia"/>
          <w:color w:val="auto"/>
          <w:sz w:val="21"/>
          <w:szCs w:val="21"/>
          <w:highlight w:val="none"/>
        </w:rPr>
        <w:t>7、技术标（如有）经评标委员会评审为不合格的；</w:t>
      </w:r>
    </w:p>
    <w:p w14:paraId="48B5B435">
      <w:pPr>
        <w:pStyle w:val="18"/>
        <w:tabs>
          <w:tab w:val="left" w:pos="1080"/>
        </w:tabs>
        <w:spacing w:before="0" w:beforeAutospacing="0" w:after="0" w:afterAutospacing="0" w:line="400" w:lineRule="exact"/>
        <w:ind w:right="-197" w:firstLine="420" w:firstLineChars="200"/>
        <w:jc w:val="both"/>
        <w:rPr>
          <w:rFonts w:hint="eastAsia"/>
          <w:color w:val="auto"/>
          <w:sz w:val="21"/>
          <w:szCs w:val="21"/>
          <w:highlight w:val="none"/>
        </w:rPr>
      </w:pPr>
      <w:r>
        <w:rPr>
          <w:rFonts w:hint="eastAsia"/>
          <w:color w:val="auto"/>
          <w:sz w:val="21"/>
          <w:szCs w:val="21"/>
          <w:highlight w:val="none"/>
        </w:rPr>
        <w:t>8、法律、法规、规章规定的其他情形。</w:t>
      </w:r>
    </w:p>
    <w:p w14:paraId="76700AD2">
      <w:pPr>
        <w:spacing w:line="400" w:lineRule="exact"/>
        <w:ind w:right="-198" w:firstLine="413" w:firstLineChars="196"/>
        <w:rPr>
          <w:rFonts w:hint="eastAsia" w:ascii="宋体" w:hAnsi="宋体"/>
          <w:b/>
          <w:color w:val="auto"/>
          <w:highlight w:val="none"/>
        </w:rPr>
      </w:pPr>
      <w:r>
        <w:rPr>
          <w:rFonts w:hint="eastAsia" w:ascii="宋体" w:hAnsi="宋体"/>
          <w:b/>
          <w:color w:val="auto"/>
          <w:highlight w:val="none"/>
        </w:rPr>
        <w:t>注：以他人的名义投标、串通投标、弄虚作假的行为认定</w:t>
      </w:r>
    </w:p>
    <w:p w14:paraId="569B1F79">
      <w:pPr>
        <w:spacing w:line="400" w:lineRule="exact"/>
        <w:ind w:right="-198" w:firstLine="525" w:firstLineChars="250"/>
        <w:rPr>
          <w:rFonts w:hint="eastAsia" w:ascii="宋体" w:hAnsi="宋体"/>
          <w:color w:val="auto"/>
          <w:highlight w:val="none"/>
        </w:rPr>
      </w:pPr>
      <w:r>
        <w:rPr>
          <w:rFonts w:hint="eastAsia" w:ascii="宋体" w:hAnsi="宋体"/>
          <w:color w:val="auto"/>
          <w:highlight w:val="none"/>
        </w:rPr>
        <w:t>（1）使用通过受让或者租借等方式获取的资格、资质证书投标的，属于以他人名义投标。</w:t>
      </w:r>
    </w:p>
    <w:p w14:paraId="03FB844A">
      <w:pPr>
        <w:spacing w:line="400" w:lineRule="exact"/>
        <w:ind w:left="479" w:leftChars="228" w:right="-198"/>
        <w:rPr>
          <w:rFonts w:hint="eastAsia" w:ascii="宋体" w:hAnsi="宋体"/>
          <w:color w:val="auto"/>
          <w:highlight w:val="none"/>
        </w:rPr>
      </w:pPr>
      <w:r>
        <w:rPr>
          <w:rFonts w:hint="eastAsia" w:ascii="宋体" w:hAnsi="宋体"/>
          <w:color w:val="auto"/>
          <w:highlight w:val="none"/>
        </w:rPr>
        <w:t>（2）有下列情形之一的，属于投标人相互串通投标：</w:t>
      </w:r>
    </w:p>
    <w:p w14:paraId="69D9F523">
      <w:pPr>
        <w:spacing w:line="400" w:lineRule="exact"/>
        <w:ind w:left="1004" w:leftChars="228" w:right="-198" w:hanging="525" w:hangingChars="250"/>
        <w:rPr>
          <w:rFonts w:hint="eastAsia" w:ascii="宋体" w:hAnsi="宋体"/>
          <w:color w:val="auto"/>
          <w:highlight w:val="none"/>
        </w:rPr>
      </w:pPr>
      <w:r>
        <w:rPr>
          <w:rFonts w:hint="eastAsia" w:ascii="宋体" w:hAnsi="宋体"/>
          <w:color w:val="auto"/>
          <w:highlight w:val="none"/>
        </w:rPr>
        <w:t>①投标人之间协商投标报价等投标文件的实质性内容；</w:t>
      </w:r>
    </w:p>
    <w:p w14:paraId="5EA12832">
      <w:pPr>
        <w:spacing w:line="400" w:lineRule="exact"/>
        <w:ind w:left="1004" w:leftChars="228" w:right="-198" w:hanging="525" w:hangingChars="250"/>
        <w:rPr>
          <w:rFonts w:hint="eastAsia" w:ascii="宋体" w:hAnsi="宋体"/>
          <w:color w:val="auto"/>
          <w:highlight w:val="none"/>
        </w:rPr>
      </w:pPr>
      <w:r>
        <w:rPr>
          <w:rFonts w:hint="eastAsia" w:ascii="宋体" w:hAnsi="宋体"/>
          <w:color w:val="auto"/>
          <w:highlight w:val="none"/>
        </w:rPr>
        <w:t>②投标人之间约定中标人；</w:t>
      </w:r>
    </w:p>
    <w:p w14:paraId="08A6F97D">
      <w:pPr>
        <w:spacing w:line="400" w:lineRule="exact"/>
        <w:ind w:left="1004" w:leftChars="228" w:right="-198" w:hanging="525" w:hangingChars="250"/>
        <w:rPr>
          <w:rFonts w:hint="eastAsia" w:ascii="宋体" w:hAnsi="宋体"/>
          <w:color w:val="auto"/>
          <w:highlight w:val="none"/>
        </w:rPr>
      </w:pPr>
      <w:r>
        <w:rPr>
          <w:rFonts w:hint="eastAsia" w:ascii="宋体" w:hAnsi="宋体"/>
          <w:color w:val="auto"/>
          <w:highlight w:val="none"/>
        </w:rPr>
        <w:t>③投标人之间约定部分投标人放弃投标或者中标；</w:t>
      </w:r>
    </w:p>
    <w:p w14:paraId="251E9031">
      <w:pPr>
        <w:spacing w:line="400" w:lineRule="exact"/>
        <w:ind w:left="1004" w:leftChars="228" w:right="-198" w:hanging="525" w:hangingChars="250"/>
        <w:rPr>
          <w:rFonts w:hint="eastAsia" w:ascii="宋体" w:hAnsi="宋体"/>
          <w:color w:val="auto"/>
          <w:highlight w:val="none"/>
        </w:rPr>
      </w:pPr>
      <w:r>
        <w:rPr>
          <w:rFonts w:hint="eastAsia" w:ascii="宋体" w:hAnsi="宋体"/>
          <w:color w:val="auto"/>
          <w:highlight w:val="none"/>
        </w:rPr>
        <w:t>④属于同一集团、协会、商会等组织成员的投标人按照该组织要求协同投标；</w:t>
      </w:r>
    </w:p>
    <w:p w14:paraId="3A8431B3">
      <w:pPr>
        <w:spacing w:line="400" w:lineRule="exact"/>
        <w:ind w:left="1004" w:leftChars="228" w:right="-198" w:hanging="525" w:hangingChars="250"/>
        <w:rPr>
          <w:rFonts w:hint="eastAsia" w:ascii="宋体" w:hAnsi="宋体"/>
          <w:color w:val="auto"/>
          <w:highlight w:val="none"/>
        </w:rPr>
      </w:pPr>
      <w:r>
        <w:rPr>
          <w:rFonts w:hint="eastAsia" w:ascii="宋体" w:hAnsi="宋体"/>
          <w:color w:val="auto"/>
          <w:highlight w:val="none"/>
        </w:rPr>
        <w:t>⑤投标人之间为谋取中标或者排斥特定投标人而采取的其他联合行动。</w:t>
      </w:r>
    </w:p>
    <w:p w14:paraId="0FF39229">
      <w:pPr>
        <w:spacing w:line="400" w:lineRule="exact"/>
        <w:ind w:left="1004" w:leftChars="228" w:right="-198" w:hanging="525" w:hangingChars="250"/>
        <w:rPr>
          <w:rFonts w:hint="eastAsia" w:ascii="宋体" w:hAnsi="宋体"/>
          <w:color w:val="auto"/>
          <w:highlight w:val="none"/>
        </w:rPr>
      </w:pPr>
      <w:r>
        <w:rPr>
          <w:rFonts w:hint="eastAsia" w:ascii="宋体" w:hAnsi="宋体"/>
          <w:color w:val="auto"/>
          <w:highlight w:val="none"/>
        </w:rPr>
        <w:t>（3）有下列情形之一的，视为投标人相互串通投标：</w:t>
      </w:r>
    </w:p>
    <w:p w14:paraId="1AA4FBB4">
      <w:pPr>
        <w:spacing w:line="400" w:lineRule="exact"/>
        <w:ind w:left="1004" w:leftChars="228" w:right="-198" w:hanging="525" w:hangingChars="250"/>
        <w:rPr>
          <w:rFonts w:hint="eastAsia" w:ascii="宋体" w:hAnsi="宋体"/>
          <w:color w:val="auto"/>
          <w:highlight w:val="none"/>
        </w:rPr>
      </w:pPr>
      <w:r>
        <w:rPr>
          <w:rFonts w:hint="eastAsia" w:ascii="宋体" w:hAnsi="宋体"/>
          <w:color w:val="auto"/>
          <w:highlight w:val="none"/>
        </w:rPr>
        <w:t>①不同投标人的投标文件由同一单位或者个人编制；</w:t>
      </w:r>
    </w:p>
    <w:p w14:paraId="5FD938A7">
      <w:pPr>
        <w:spacing w:line="400" w:lineRule="exact"/>
        <w:ind w:left="1004" w:leftChars="228" w:right="-198" w:hanging="525" w:hangingChars="250"/>
        <w:rPr>
          <w:rFonts w:hint="eastAsia" w:ascii="宋体" w:hAnsi="宋体"/>
          <w:color w:val="auto"/>
          <w:highlight w:val="none"/>
        </w:rPr>
      </w:pPr>
      <w:r>
        <w:rPr>
          <w:rFonts w:hint="eastAsia" w:ascii="宋体" w:hAnsi="宋体"/>
          <w:color w:val="auto"/>
          <w:highlight w:val="none"/>
        </w:rPr>
        <w:t>②不同投标人委托同一单位或者个人办理投标事宜；</w:t>
      </w:r>
    </w:p>
    <w:p w14:paraId="6ED56915">
      <w:pPr>
        <w:spacing w:line="400" w:lineRule="exact"/>
        <w:ind w:left="1004" w:leftChars="228" w:right="-198" w:hanging="525" w:hangingChars="250"/>
        <w:rPr>
          <w:rFonts w:hint="eastAsia" w:ascii="宋体" w:hAnsi="宋体"/>
          <w:color w:val="auto"/>
          <w:highlight w:val="none"/>
        </w:rPr>
      </w:pPr>
      <w:r>
        <w:rPr>
          <w:rFonts w:hint="eastAsia" w:ascii="宋体" w:hAnsi="宋体"/>
          <w:color w:val="auto"/>
          <w:highlight w:val="none"/>
        </w:rPr>
        <w:t>③不同投标人的投标文件载明的项目管理成员为同一人；</w:t>
      </w:r>
    </w:p>
    <w:p w14:paraId="2DBB1A12">
      <w:pPr>
        <w:spacing w:line="400" w:lineRule="exact"/>
        <w:ind w:left="1004" w:leftChars="228" w:right="-198" w:hanging="525" w:hangingChars="250"/>
        <w:rPr>
          <w:rFonts w:hint="eastAsia" w:ascii="宋体" w:hAnsi="宋体"/>
          <w:color w:val="auto"/>
          <w:highlight w:val="none"/>
        </w:rPr>
      </w:pPr>
      <w:r>
        <w:rPr>
          <w:rFonts w:hint="eastAsia" w:ascii="宋体" w:hAnsi="宋体"/>
          <w:color w:val="auto"/>
          <w:highlight w:val="none"/>
        </w:rPr>
        <w:t>④不同投标人的投标文件异常一致或者投标报价呈规律性差异；</w:t>
      </w:r>
    </w:p>
    <w:p w14:paraId="6A9F1900">
      <w:pPr>
        <w:spacing w:line="400" w:lineRule="exact"/>
        <w:ind w:left="1004" w:leftChars="228" w:right="-198" w:hanging="525" w:hangingChars="250"/>
        <w:rPr>
          <w:rFonts w:hint="eastAsia" w:ascii="宋体" w:hAnsi="宋体"/>
          <w:color w:val="auto"/>
          <w:highlight w:val="none"/>
        </w:rPr>
      </w:pPr>
      <w:r>
        <w:rPr>
          <w:rFonts w:hint="eastAsia" w:ascii="宋体" w:hAnsi="宋体"/>
          <w:color w:val="auto"/>
          <w:highlight w:val="none"/>
        </w:rPr>
        <w:t>⑤不同投标人的投标文件相互混装；</w:t>
      </w:r>
    </w:p>
    <w:p w14:paraId="6467631C">
      <w:pPr>
        <w:spacing w:line="400" w:lineRule="exact"/>
        <w:ind w:left="1004" w:leftChars="228" w:right="-198" w:hanging="525" w:hangingChars="250"/>
        <w:rPr>
          <w:rFonts w:hint="eastAsia" w:ascii="宋体" w:hAnsi="宋体"/>
          <w:color w:val="auto"/>
          <w:highlight w:val="none"/>
        </w:rPr>
      </w:pPr>
      <w:r>
        <w:rPr>
          <w:rFonts w:hint="eastAsia" w:ascii="宋体" w:hAnsi="宋体"/>
          <w:color w:val="auto"/>
          <w:highlight w:val="none"/>
        </w:rPr>
        <w:t>⑥不同投标人的投标保证金从同一单位或者个人的账户转出。</w:t>
      </w:r>
    </w:p>
    <w:p w14:paraId="555B6AC3">
      <w:pPr>
        <w:spacing w:line="400" w:lineRule="exact"/>
        <w:ind w:left="1004" w:leftChars="228" w:right="-198" w:hanging="525" w:hangingChars="250"/>
        <w:rPr>
          <w:rFonts w:hint="eastAsia" w:ascii="宋体" w:hAnsi="宋体"/>
          <w:color w:val="auto"/>
          <w:highlight w:val="none"/>
        </w:rPr>
      </w:pPr>
      <w:r>
        <w:rPr>
          <w:rFonts w:hint="eastAsia" w:ascii="宋体" w:hAnsi="宋体"/>
          <w:color w:val="auto"/>
          <w:highlight w:val="none"/>
        </w:rPr>
        <w:t>（4）投标人有下列情形之一的，属于以其他方式弄虚作假的行为：</w:t>
      </w:r>
    </w:p>
    <w:p w14:paraId="0FD151CE">
      <w:pPr>
        <w:spacing w:line="400" w:lineRule="exact"/>
        <w:ind w:left="1004" w:leftChars="228" w:right="-198" w:hanging="525" w:hangingChars="250"/>
        <w:rPr>
          <w:rFonts w:hint="eastAsia" w:ascii="宋体" w:hAnsi="宋体"/>
          <w:color w:val="auto"/>
          <w:highlight w:val="none"/>
        </w:rPr>
      </w:pPr>
      <w:r>
        <w:rPr>
          <w:rFonts w:hint="eastAsia" w:ascii="宋体" w:hAnsi="宋体"/>
          <w:color w:val="auto"/>
          <w:highlight w:val="none"/>
        </w:rPr>
        <w:t>①使用伪造、变造的许可证件；</w:t>
      </w:r>
    </w:p>
    <w:p w14:paraId="6F97C0B1">
      <w:pPr>
        <w:spacing w:line="400" w:lineRule="exact"/>
        <w:ind w:left="1004" w:leftChars="228" w:right="-198" w:hanging="525" w:hangingChars="250"/>
        <w:rPr>
          <w:rFonts w:hint="eastAsia" w:ascii="宋体" w:hAnsi="宋体"/>
          <w:color w:val="auto"/>
          <w:highlight w:val="none"/>
        </w:rPr>
      </w:pPr>
      <w:r>
        <w:rPr>
          <w:rFonts w:hint="eastAsia" w:ascii="宋体" w:hAnsi="宋体"/>
          <w:color w:val="auto"/>
          <w:highlight w:val="none"/>
        </w:rPr>
        <w:t>②提供虚假的财务状况或者业绩；</w:t>
      </w:r>
    </w:p>
    <w:p w14:paraId="622FA766">
      <w:pPr>
        <w:spacing w:line="400" w:lineRule="exact"/>
        <w:ind w:left="1004" w:leftChars="228" w:right="-198" w:hanging="525" w:hangingChars="250"/>
        <w:rPr>
          <w:rFonts w:hint="eastAsia" w:ascii="宋体" w:hAnsi="宋体"/>
          <w:color w:val="auto"/>
          <w:highlight w:val="none"/>
        </w:rPr>
      </w:pPr>
      <w:r>
        <w:rPr>
          <w:rFonts w:hint="eastAsia" w:ascii="宋体" w:hAnsi="宋体"/>
          <w:color w:val="auto"/>
          <w:highlight w:val="none"/>
        </w:rPr>
        <w:t>③提供虚假的项目负责人或者主要技术人员简历、劳动关系证明；</w:t>
      </w:r>
    </w:p>
    <w:p w14:paraId="7A5C9DA0">
      <w:pPr>
        <w:spacing w:line="400" w:lineRule="exact"/>
        <w:ind w:left="1004" w:leftChars="228" w:right="-198" w:hanging="525" w:hangingChars="250"/>
        <w:rPr>
          <w:rFonts w:hint="eastAsia" w:ascii="宋体" w:hAnsi="宋体"/>
          <w:color w:val="auto"/>
          <w:highlight w:val="none"/>
        </w:rPr>
      </w:pPr>
      <w:r>
        <w:rPr>
          <w:rFonts w:hint="eastAsia" w:ascii="宋体" w:hAnsi="宋体"/>
          <w:color w:val="auto"/>
          <w:highlight w:val="none"/>
        </w:rPr>
        <w:t>④提供虚假的信用状况；</w:t>
      </w:r>
    </w:p>
    <w:p w14:paraId="14222DEF">
      <w:pPr>
        <w:spacing w:line="400" w:lineRule="exact"/>
        <w:ind w:left="1004" w:leftChars="228" w:right="-198" w:hanging="525" w:hangingChars="250"/>
        <w:rPr>
          <w:rFonts w:hint="eastAsia" w:ascii="宋体" w:hAnsi="宋体"/>
          <w:color w:val="auto"/>
          <w:highlight w:val="none"/>
        </w:rPr>
      </w:pPr>
      <w:r>
        <w:rPr>
          <w:rFonts w:hint="eastAsia" w:ascii="宋体" w:hAnsi="宋体"/>
          <w:color w:val="auto"/>
          <w:highlight w:val="none"/>
        </w:rPr>
        <w:t>⑤其他弄虚作假的行为。</w:t>
      </w:r>
    </w:p>
    <w:p w14:paraId="6C0BB94B">
      <w:pPr>
        <w:spacing w:line="360" w:lineRule="auto"/>
        <w:jc w:val="center"/>
        <w:rPr>
          <w:color w:val="auto"/>
          <w:sz w:val="30"/>
          <w:szCs w:val="30"/>
          <w:highlight w:val="none"/>
        </w:rPr>
      </w:pPr>
      <w:bookmarkStart w:id="58" w:name="_Toc532318006"/>
      <w:bookmarkStart w:id="59" w:name="_Toc29545502"/>
      <w:bookmarkStart w:id="60" w:name="_Toc16256"/>
      <w:bookmarkStart w:id="61" w:name="_Toc9001122"/>
      <w:bookmarkStart w:id="62" w:name="_Toc8572395"/>
      <w:r>
        <w:rPr>
          <w:rFonts w:hint="eastAsia"/>
          <w:b/>
          <w:color w:val="auto"/>
          <w:highlight w:val="none"/>
        </w:rPr>
        <w:t>招标无效、投标无效、中标无效的认定及处理</w:t>
      </w:r>
      <w:bookmarkEnd w:id="58"/>
      <w:bookmarkEnd w:id="59"/>
      <w:bookmarkEnd w:id="60"/>
      <w:bookmarkEnd w:id="61"/>
      <w:bookmarkEnd w:id="62"/>
    </w:p>
    <w:p w14:paraId="26634E64">
      <w:pPr>
        <w:spacing w:line="400" w:lineRule="exact"/>
        <w:ind w:firstLine="422" w:firstLineChars="200"/>
        <w:rPr>
          <w:rFonts w:hint="eastAsia" w:ascii="宋体" w:hAnsi="宋体" w:cs="宋体"/>
          <w:color w:val="auto"/>
          <w:highlight w:val="none"/>
        </w:rPr>
      </w:pPr>
      <w:bookmarkStart w:id="63" w:name="_Toc9001123"/>
      <w:bookmarkStart w:id="64" w:name="_Toc8572396"/>
      <w:r>
        <w:rPr>
          <w:rFonts w:hint="eastAsia" w:ascii="宋体" w:hAnsi="宋体" w:cs="宋体"/>
          <w:b/>
          <w:bCs/>
          <w:color w:val="auto"/>
          <w:highlight w:val="none"/>
        </w:rPr>
        <w:t>一、招标无效的情形（包括但不限于）：</w:t>
      </w:r>
      <w:bookmarkEnd w:id="63"/>
      <w:bookmarkEnd w:id="64"/>
    </w:p>
    <w:p w14:paraId="0D100518">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（一）违法发布公告，</w:t>
      </w:r>
      <w:r>
        <w:rPr>
          <w:rFonts w:ascii="宋体" w:hAnsi="宋体"/>
          <w:color w:val="auto"/>
          <w:highlight w:val="none"/>
        </w:rPr>
        <w:t>包括不在指定媒介发布资格预审公告和招标公告</w:t>
      </w:r>
      <w:r>
        <w:rPr>
          <w:rFonts w:hint="eastAsia" w:ascii="宋体" w:hAnsi="宋体" w:cs="宋体"/>
          <w:color w:val="auto"/>
          <w:highlight w:val="none"/>
        </w:rPr>
        <w:t>；</w:t>
      </w:r>
    </w:p>
    <w:p w14:paraId="53E3E336">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（二）</w:t>
      </w:r>
      <w:r>
        <w:rPr>
          <w:rFonts w:hint="eastAsia" w:ascii="宋体" w:hAnsi="宋体"/>
          <w:color w:val="auto"/>
          <w:highlight w:val="none"/>
        </w:rPr>
        <w:t>未经批准，</w:t>
      </w:r>
      <w:r>
        <w:rPr>
          <w:rFonts w:hint="eastAsia" w:ascii="宋体" w:hAnsi="宋体" w:cs="宋体"/>
          <w:color w:val="auto"/>
          <w:highlight w:val="none"/>
        </w:rPr>
        <w:t>应当公开招标而邀请招标；</w:t>
      </w:r>
    </w:p>
    <w:p w14:paraId="1DD28B0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（三）招标文件发售时间不符合法定要求；</w:t>
      </w:r>
    </w:p>
    <w:p w14:paraId="1ABF6975">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（四）不按照招标文件载明的标准和方法进行资格审查，或者资格审查委员会的组建不符合法定要求；</w:t>
      </w:r>
    </w:p>
    <w:p w14:paraId="1AEAC12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（五）招标人或者招标代理机构限制排斥潜在投标人；</w:t>
      </w:r>
    </w:p>
    <w:p w14:paraId="47F51B9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（六）招标人或者招标代理机构向他人透露已获取招标文件的潜在投标人的名称、数量或者可能影响公平竞争的有关招投标的其他情况，或者泄露标底；</w:t>
      </w:r>
    </w:p>
    <w:p w14:paraId="2B0C078B">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（七）招标人或者招标代理机构与投标人串通；</w:t>
      </w:r>
    </w:p>
    <w:p w14:paraId="4F3DFFC0">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（八）招标代理机构在所代理的招标项目中投标或者代理投标。</w:t>
      </w:r>
    </w:p>
    <w:p w14:paraId="3FB5C855">
      <w:pPr>
        <w:spacing w:line="400" w:lineRule="exact"/>
        <w:ind w:firstLine="422" w:firstLineChars="200"/>
        <w:rPr>
          <w:rFonts w:hint="eastAsia" w:ascii="宋体" w:hAnsi="宋体" w:cs="宋体"/>
          <w:color w:val="auto"/>
          <w:highlight w:val="none"/>
        </w:rPr>
      </w:pPr>
      <w:r>
        <w:rPr>
          <w:rFonts w:hint="eastAsia" w:ascii="宋体" w:hAnsi="宋体" w:cs="宋体"/>
          <w:b/>
          <w:color w:val="auto"/>
          <w:highlight w:val="none"/>
        </w:rPr>
        <w:t>上述违法行为，如果在投标截止前发现的，责令改正并顺延投标截止时间。如果在投标截止后被发现和查实，且对中标结果造成实质性影响的，招标无效。如果是在中标通知书发出后被查实且影响中标结果的，中标无效。招标被确认无效的，招标人应当重新招标。</w:t>
      </w:r>
      <w:r>
        <w:rPr>
          <w:rFonts w:hint="eastAsia" w:ascii="宋体" w:hAnsi="宋体" w:cs="宋体"/>
          <w:color w:val="auto"/>
          <w:highlight w:val="none"/>
        </w:rPr>
        <w:t xml:space="preserve">    </w:t>
      </w:r>
    </w:p>
    <w:p w14:paraId="3D93B2EE">
      <w:pPr>
        <w:spacing w:line="400" w:lineRule="exact"/>
        <w:ind w:firstLine="420" w:firstLineChars="200"/>
        <w:rPr>
          <w:rFonts w:hint="eastAsia" w:ascii="宋体" w:hAnsi="宋体" w:cs="宋体"/>
          <w:color w:val="auto"/>
          <w:highlight w:val="none"/>
        </w:rPr>
      </w:pPr>
    </w:p>
    <w:p w14:paraId="113AA72F">
      <w:pPr>
        <w:spacing w:line="400" w:lineRule="exact"/>
        <w:ind w:firstLine="422" w:firstLineChars="200"/>
        <w:rPr>
          <w:rFonts w:hint="eastAsia" w:ascii="宋体" w:hAnsi="宋体" w:cs="宋体"/>
          <w:b/>
          <w:bCs/>
          <w:color w:val="auto"/>
          <w:highlight w:val="none"/>
        </w:rPr>
      </w:pPr>
      <w:bookmarkStart w:id="65" w:name="_Toc9001124"/>
      <w:bookmarkStart w:id="66" w:name="_Toc8572397"/>
      <w:r>
        <w:rPr>
          <w:rFonts w:hint="eastAsia" w:ascii="宋体" w:hAnsi="宋体" w:cs="宋体"/>
          <w:b/>
          <w:bCs/>
          <w:color w:val="auto"/>
          <w:highlight w:val="none"/>
        </w:rPr>
        <w:t>二、投标无效的情形（包括但不限于）：</w:t>
      </w:r>
      <w:bookmarkEnd w:id="65"/>
      <w:bookmarkEnd w:id="66"/>
    </w:p>
    <w:p w14:paraId="123AA96F">
      <w:pPr>
        <w:autoSpaceDN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（一）与招标人存在利害关系可能影响招标公正性的法人、其他组织或者个人参加投标的；</w:t>
      </w:r>
    </w:p>
    <w:p w14:paraId="7998BF9E">
      <w:pPr>
        <w:autoSpaceDN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（二）单位负责人为同一人或者存在控股、管理关系的不同单位，参加同一标段投标或者未划分标段的同一招标项目投标的；</w:t>
      </w:r>
    </w:p>
    <w:p w14:paraId="08173E2B">
      <w:pPr>
        <w:autoSpaceDN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（三）联合体增减、更换成员的；</w:t>
      </w:r>
    </w:p>
    <w:p w14:paraId="0EF59B64">
      <w:pPr>
        <w:autoSpaceDN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（四）联合体各方在同一招标项目中以自己名义单独投标或者参加其他联合体投标的；</w:t>
      </w:r>
    </w:p>
    <w:p w14:paraId="62C91405">
      <w:pPr>
        <w:autoSpaceDN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（五）投标人发生合并、分立、破产等重大变化，不再具备资格预审文件（适用于资格预审项目）、招标文件规定的资格条件或者其投标影响招标公正性的；</w:t>
      </w:r>
    </w:p>
    <w:p w14:paraId="65785E99">
      <w:pPr>
        <w:autoSpaceDN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（六）投标人相互串通投标或者与招标人串通投标的；</w:t>
      </w:r>
    </w:p>
    <w:p w14:paraId="747153BA">
      <w:pPr>
        <w:autoSpaceDN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（七）投标人以他人名义投标或者以其他方式弄虚作假，骗取中标的；</w:t>
      </w:r>
    </w:p>
    <w:p w14:paraId="35DE90FC">
      <w:pPr>
        <w:autoSpaceDN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（八）投标人向招标人或者评标委员会成员行贿的；</w:t>
      </w:r>
    </w:p>
    <w:p w14:paraId="27D7872B">
      <w:pPr>
        <w:autoSpaceDN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（九）投标人受到财产被查封、冻结或者被责令停产停业、吊销营业执照、取消投标资格等处罚的其他违法行为；</w:t>
      </w:r>
    </w:p>
    <w:p w14:paraId="6641418D">
      <w:pPr>
        <w:autoSpaceDN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（十）存在《广东省实施&lt;中华人民共和国招标投标法&gt;办法》第</w:t>
      </w:r>
      <w:r>
        <w:rPr>
          <w:rFonts w:ascii="宋体" w:hAnsi="宋体" w:cs="宋体"/>
          <w:color w:val="auto"/>
          <w:highlight w:val="none"/>
        </w:rPr>
        <w:t>十六条</w:t>
      </w:r>
      <w:r>
        <w:rPr>
          <w:rFonts w:hint="eastAsia" w:ascii="宋体" w:hAnsi="宋体" w:cs="宋体"/>
          <w:color w:val="auto"/>
          <w:highlight w:val="none"/>
        </w:rPr>
        <w:t>规定</w:t>
      </w:r>
      <w:r>
        <w:rPr>
          <w:rFonts w:ascii="宋体" w:hAnsi="宋体" w:cs="宋体"/>
          <w:color w:val="auto"/>
          <w:highlight w:val="none"/>
        </w:rPr>
        <w:t>的</w:t>
      </w:r>
      <w:r>
        <w:rPr>
          <w:rFonts w:hint="eastAsia" w:ascii="宋体" w:hAnsi="宋体" w:cs="宋体"/>
          <w:color w:val="auto"/>
          <w:highlight w:val="none"/>
        </w:rPr>
        <w:t>（一）、</w:t>
      </w:r>
      <w:r>
        <w:rPr>
          <w:rFonts w:ascii="宋体" w:hAnsi="宋体" w:cs="宋体"/>
          <w:color w:val="auto"/>
          <w:highlight w:val="none"/>
        </w:rPr>
        <w:t>（</w:t>
      </w:r>
      <w:r>
        <w:rPr>
          <w:rFonts w:hint="eastAsia" w:ascii="宋体" w:hAnsi="宋体" w:cs="宋体"/>
          <w:color w:val="auto"/>
          <w:highlight w:val="none"/>
        </w:rPr>
        <w:t>三</w:t>
      </w:r>
      <w:r>
        <w:rPr>
          <w:rFonts w:ascii="宋体" w:hAnsi="宋体" w:cs="宋体"/>
          <w:color w:val="auto"/>
          <w:highlight w:val="none"/>
        </w:rPr>
        <w:t>）</w:t>
      </w:r>
      <w:r>
        <w:rPr>
          <w:rFonts w:hint="eastAsia" w:ascii="宋体" w:hAnsi="宋体" w:cs="宋体"/>
          <w:color w:val="auto"/>
          <w:highlight w:val="none"/>
        </w:rPr>
        <w:t>～</w:t>
      </w:r>
      <w:r>
        <w:rPr>
          <w:rFonts w:ascii="宋体" w:hAnsi="宋体" w:cs="宋体"/>
          <w:color w:val="auto"/>
          <w:highlight w:val="none"/>
        </w:rPr>
        <w:t>（</w:t>
      </w:r>
      <w:r>
        <w:rPr>
          <w:rFonts w:hint="eastAsia" w:ascii="宋体" w:hAnsi="宋体" w:cs="宋体"/>
          <w:color w:val="auto"/>
          <w:highlight w:val="none"/>
        </w:rPr>
        <w:t>六</w:t>
      </w:r>
      <w:r>
        <w:rPr>
          <w:rFonts w:ascii="宋体" w:hAnsi="宋体" w:cs="宋体"/>
          <w:color w:val="auto"/>
          <w:highlight w:val="none"/>
        </w:rPr>
        <w:t>）</w:t>
      </w:r>
      <w:r>
        <w:rPr>
          <w:rFonts w:hint="eastAsia" w:ascii="宋体" w:hAnsi="宋体" w:cs="宋体"/>
          <w:color w:val="auto"/>
          <w:highlight w:val="none"/>
        </w:rPr>
        <w:t>情形</w:t>
      </w:r>
      <w:r>
        <w:rPr>
          <w:rFonts w:ascii="宋体" w:hAnsi="宋体" w:cs="宋体"/>
          <w:color w:val="auto"/>
          <w:highlight w:val="none"/>
        </w:rPr>
        <w:t>的。</w:t>
      </w:r>
    </w:p>
    <w:p w14:paraId="599808FC">
      <w:pPr>
        <w:autoSpaceDN w:val="0"/>
        <w:spacing w:line="400" w:lineRule="exact"/>
        <w:ind w:firstLine="422" w:firstLineChars="200"/>
        <w:rPr>
          <w:rFonts w:hint="eastAsia" w:ascii="宋体" w:hAnsi="宋体" w:cs="宋体"/>
          <w:b/>
          <w:color w:val="auto"/>
          <w:highlight w:val="none"/>
        </w:rPr>
      </w:pPr>
      <w:r>
        <w:rPr>
          <w:rFonts w:hint="eastAsia" w:ascii="宋体" w:hAnsi="宋体" w:cs="宋体"/>
          <w:b/>
          <w:color w:val="auto"/>
          <w:highlight w:val="none"/>
        </w:rPr>
        <w:t>投标被确认无效的，在评标过程中，相关投标应当被否决；在中标候选人公示阶段，应当取消其中标资格；已发出中标通知书的，中标无效。</w:t>
      </w:r>
    </w:p>
    <w:p w14:paraId="5706A9A5">
      <w:pPr>
        <w:spacing w:line="400" w:lineRule="exact"/>
        <w:ind w:firstLine="422" w:firstLineChars="200"/>
        <w:rPr>
          <w:rFonts w:hint="eastAsia" w:ascii="宋体" w:hAnsi="宋体" w:cs="宋体"/>
          <w:b/>
          <w:bCs/>
          <w:color w:val="auto"/>
          <w:highlight w:val="none"/>
        </w:rPr>
      </w:pPr>
      <w:bookmarkStart w:id="67" w:name="_Toc8572398"/>
      <w:bookmarkStart w:id="68" w:name="_Toc9001125"/>
      <w:r>
        <w:rPr>
          <w:rFonts w:hint="eastAsia" w:ascii="宋体" w:hAnsi="宋体" w:cs="宋体"/>
          <w:b/>
          <w:bCs/>
          <w:color w:val="auto"/>
          <w:highlight w:val="none"/>
        </w:rPr>
        <w:t>三、中标无效的情形（包括但不限于）：</w:t>
      </w:r>
      <w:bookmarkEnd w:id="67"/>
      <w:bookmarkEnd w:id="68"/>
    </w:p>
    <w:p w14:paraId="34EFBECE">
      <w:pPr>
        <w:autoSpaceDN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（一）招标人或者招标代理机构接受未通过资格预审的单位或者个人参加投标的（适用于资格预审项目）；</w:t>
      </w:r>
    </w:p>
    <w:p w14:paraId="6DE6D864">
      <w:pPr>
        <w:autoSpaceDN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（二）招标人或者招标代理机构接受应当拒收的投标文件的；</w:t>
      </w:r>
    </w:p>
    <w:p w14:paraId="3C23FD8D">
      <w:pPr>
        <w:autoSpaceDN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（三）评标委员会的组建、更换违反《招标投标法》和《条例》规定；</w:t>
      </w:r>
    </w:p>
    <w:p w14:paraId="1EEF4502">
      <w:pPr>
        <w:autoSpaceDN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（四）评标委员会成员有《招标投标法》</w:t>
      </w: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\l "_第五十六条"</w:instrText>
      </w:r>
      <w:r>
        <w:rPr>
          <w:rFonts w:hint="eastAsia" w:ascii="宋体" w:hAnsi="宋体" w:cs="宋体"/>
          <w:color w:val="auto"/>
          <w:highlight w:val="none"/>
        </w:rPr>
        <w:fldChar w:fldCharType="separate"/>
      </w:r>
      <w:r>
        <w:rPr>
          <w:rFonts w:hint="eastAsia" w:ascii="宋体" w:hAnsi="宋体" w:cs="宋体"/>
          <w:color w:val="auto"/>
          <w:highlight w:val="none"/>
        </w:rPr>
        <w:t>第56条</w:t>
      </w:r>
      <w:r>
        <w:rPr>
          <w:rFonts w:hint="eastAsia" w:ascii="宋体" w:hAnsi="宋体" w:cs="宋体"/>
          <w:color w:val="auto"/>
          <w:highlight w:val="none"/>
        </w:rPr>
        <w:fldChar w:fldCharType="end"/>
      </w:r>
      <w:r>
        <w:rPr>
          <w:rFonts w:hint="eastAsia" w:ascii="宋体" w:hAnsi="宋体" w:cs="宋体"/>
          <w:color w:val="auto"/>
          <w:highlight w:val="none"/>
        </w:rPr>
        <w:t>，以及《条例》</w:t>
      </w:r>
      <w:r>
        <w:rPr>
          <w:color w:val="auto"/>
          <w:highlight w:val="none"/>
        </w:rPr>
        <w:fldChar w:fldCharType="begin"/>
      </w:r>
      <w:r>
        <w:rPr>
          <w:color w:val="auto"/>
          <w:highlight w:val="none"/>
        </w:rPr>
        <w:instrText xml:space="preserve"> HYPERLINK \l "_第七十一条_[评委违规的责任]" </w:instrText>
      </w:r>
      <w:r>
        <w:rPr>
          <w:color w:val="auto"/>
          <w:highlight w:val="none"/>
        </w:rPr>
        <w:fldChar w:fldCharType="separate"/>
      </w:r>
      <w:r>
        <w:rPr>
          <w:rFonts w:hint="eastAsia" w:ascii="宋体" w:hAnsi="宋体" w:cs="宋体"/>
          <w:color w:val="auto"/>
          <w:highlight w:val="none"/>
        </w:rPr>
        <w:t>第71条</w:t>
      </w:r>
      <w:r>
        <w:rPr>
          <w:rFonts w:hint="eastAsia" w:ascii="宋体" w:hAnsi="宋体" w:cs="宋体"/>
          <w:color w:val="auto"/>
          <w:highlight w:val="none"/>
        </w:rPr>
        <w:fldChar w:fldCharType="end"/>
      </w:r>
      <w:r>
        <w:rPr>
          <w:rFonts w:hint="eastAsia" w:ascii="宋体" w:hAnsi="宋体" w:cs="宋体"/>
          <w:color w:val="auto"/>
          <w:highlight w:val="none"/>
        </w:rPr>
        <w:t>、</w:t>
      </w:r>
      <w:r>
        <w:rPr>
          <w:color w:val="auto"/>
          <w:highlight w:val="none"/>
        </w:rPr>
        <w:fldChar w:fldCharType="begin"/>
      </w:r>
      <w:r>
        <w:rPr>
          <w:color w:val="auto"/>
          <w:highlight w:val="none"/>
        </w:rPr>
        <w:instrText xml:space="preserve"> HYPERLINK \l "_第七十二条_[评委受贿的责任]" </w:instrText>
      </w:r>
      <w:r>
        <w:rPr>
          <w:color w:val="auto"/>
          <w:highlight w:val="none"/>
        </w:rPr>
        <w:fldChar w:fldCharType="separate"/>
      </w:r>
      <w:r>
        <w:rPr>
          <w:rFonts w:hint="eastAsia" w:ascii="宋体" w:hAnsi="宋体" w:cs="宋体"/>
          <w:color w:val="auto"/>
          <w:highlight w:val="none"/>
        </w:rPr>
        <w:t>第72条</w:t>
      </w:r>
      <w:r>
        <w:rPr>
          <w:rFonts w:hint="eastAsia" w:ascii="宋体" w:hAnsi="宋体" w:cs="宋体"/>
          <w:color w:val="auto"/>
          <w:highlight w:val="none"/>
        </w:rPr>
        <w:fldChar w:fldCharType="end"/>
      </w:r>
      <w:r>
        <w:rPr>
          <w:rFonts w:hint="eastAsia" w:ascii="宋体" w:hAnsi="宋体" w:cs="宋体"/>
          <w:color w:val="auto"/>
          <w:highlight w:val="none"/>
        </w:rPr>
        <w:t>所列行为之一的；</w:t>
      </w:r>
    </w:p>
    <w:p w14:paraId="0EB2E349">
      <w:pPr>
        <w:autoSpaceDN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（五）招标人向他人透露已获取招标文件的潜在投标人的名称、数量或者可能影响公平竞争的有关招标投标的其他情况的，或者泄露标底，影响中标结果的；</w:t>
      </w:r>
    </w:p>
    <w:p w14:paraId="50D81D93">
      <w:pPr>
        <w:autoSpaceDN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（六）招标代理机构泄露应当保密的与招标投标活动有关的情况和资料的，或者与招标人、投标人串通损害国家利益、社会公共利益或者他人合法权益，影响中标结果的；</w:t>
      </w:r>
    </w:p>
    <w:p w14:paraId="7ACED4F0">
      <w:pPr>
        <w:autoSpaceDN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（七）投标人相互串通投标或者与招标人串通投标的，投标人以向招标人或者评标委员会成员行贿的手段谋取中标的；</w:t>
      </w:r>
    </w:p>
    <w:p w14:paraId="6DF4CC1F">
      <w:pPr>
        <w:autoSpaceDN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（八）投标人以他人名义投标或者以其他方式弄虚作假，骗取中标的；</w:t>
      </w:r>
    </w:p>
    <w:p w14:paraId="15565F5A">
      <w:pPr>
        <w:autoSpaceDN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（九）招标人与投标人就投标价格、投标方案等实质性内容进行谈判，影响中标结果的；</w:t>
      </w:r>
    </w:p>
    <w:p w14:paraId="65A38992">
      <w:pPr>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（十）招标人在评标委员会依法推荐的中标候选人以外确定中标人的，依法必须进行招标的项目在所有投标被评标委员会否决后自行确定中标人的。</w:t>
      </w:r>
    </w:p>
    <w:p w14:paraId="3A5CBF7B">
      <w:pPr>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（十一）真实性审查</w:t>
      </w:r>
    </w:p>
    <w:p w14:paraId="0F7DFF7B">
      <w:pPr>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在授予合同前，招标人有权组织对投标人的真实性审查。包括对投标人的资格证明文件、业绩证明文件、对招标文件实质性条款响应文件、履约能力证明文件的真实性进行核查，若发现其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取消其投标或中标候选人资格。</w:t>
      </w:r>
    </w:p>
    <w:p w14:paraId="01E2F7FC">
      <w:pPr>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投标人在招标人通知其提供上述证明资料原件进行核查的要求后，未能在通知后5个自然日内提供原件进行核查的，视为投标人无法提供真实的资料，招标人有权按照评标委员会提出的中标候选人名单排序依次确定其他中标候选人为中标人或重新招标。</w:t>
      </w:r>
    </w:p>
    <w:p w14:paraId="51271243">
      <w:pPr>
        <w:autoSpaceDN w:val="0"/>
        <w:spacing w:line="400" w:lineRule="exact"/>
        <w:ind w:firstLine="422" w:firstLineChars="200"/>
        <w:jc w:val="left"/>
        <w:rPr>
          <w:rFonts w:hint="eastAsia" w:ascii="宋体" w:hAnsi="宋体" w:cs="宋体"/>
          <w:b/>
          <w:color w:val="auto"/>
          <w:highlight w:val="none"/>
        </w:rPr>
      </w:pPr>
      <w:r>
        <w:rPr>
          <w:rFonts w:hint="eastAsia" w:ascii="宋体" w:hAnsi="宋体" w:cs="宋体"/>
          <w:b/>
          <w:color w:val="auto"/>
          <w:highlight w:val="none"/>
        </w:rPr>
        <w:t>中标被确认无效的，按照《招标投标法》</w:t>
      </w:r>
      <w:r>
        <w:rPr>
          <w:color w:val="auto"/>
          <w:highlight w:val="none"/>
        </w:rPr>
        <w:fldChar w:fldCharType="begin"/>
      </w:r>
      <w:r>
        <w:rPr>
          <w:color w:val="auto"/>
          <w:highlight w:val="none"/>
        </w:rPr>
        <w:instrText xml:space="preserve"> HYPERLINK \l "_第六十四条" </w:instrText>
      </w:r>
      <w:r>
        <w:rPr>
          <w:color w:val="auto"/>
          <w:highlight w:val="none"/>
        </w:rPr>
        <w:fldChar w:fldCharType="separate"/>
      </w:r>
      <w:r>
        <w:rPr>
          <w:rFonts w:hint="eastAsia" w:ascii="宋体" w:hAnsi="宋体" w:cs="宋体"/>
          <w:b/>
          <w:color w:val="auto"/>
          <w:highlight w:val="none"/>
        </w:rPr>
        <w:t>第64条</w:t>
      </w:r>
      <w:r>
        <w:rPr>
          <w:rFonts w:hint="eastAsia" w:ascii="宋体" w:hAnsi="宋体" w:cs="宋体"/>
          <w:b/>
          <w:color w:val="auto"/>
          <w:highlight w:val="none"/>
        </w:rPr>
        <w:fldChar w:fldCharType="end"/>
      </w:r>
      <w:r>
        <w:rPr>
          <w:rFonts w:hint="eastAsia" w:ascii="宋体" w:hAnsi="宋体" w:cs="宋体"/>
          <w:b/>
          <w:color w:val="auto"/>
          <w:highlight w:val="none"/>
        </w:rPr>
        <w:t>规定，由招标人从符合条件的其他中标候选人中确定中标人或者重新招标。</w:t>
      </w:r>
    </w:p>
    <w:p w14:paraId="68F1F323">
      <w:pPr>
        <w:spacing w:line="360" w:lineRule="auto"/>
        <w:jc w:val="center"/>
        <w:rPr>
          <w:color w:val="auto"/>
          <w:sz w:val="30"/>
          <w:szCs w:val="30"/>
          <w:highlight w:val="none"/>
        </w:rPr>
      </w:pPr>
      <w:bookmarkStart w:id="69" w:name="_Toc8572399"/>
      <w:bookmarkStart w:id="70" w:name="_Toc9001126"/>
      <w:bookmarkStart w:id="71" w:name="_Toc532318007"/>
      <w:bookmarkStart w:id="72" w:name="_Toc3896"/>
      <w:bookmarkStart w:id="73" w:name="_Toc29545503"/>
      <w:r>
        <w:rPr>
          <w:rFonts w:hint="eastAsia"/>
          <w:b/>
          <w:color w:val="auto"/>
          <w:highlight w:val="none"/>
        </w:rPr>
        <w:t>不予退还投标保证金的情形</w:t>
      </w:r>
      <w:bookmarkEnd w:id="69"/>
      <w:bookmarkEnd w:id="70"/>
      <w:bookmarkEnd w:id="71"/>
      <w:bookmarkEnd w:id="72"/>
      <w:bookmarkEnd w:id="73"/>
    </w:p>
    <w:p w14:paraId="6B19B095">
      <w:pPr>
        <w:spacing w:line="400" w:lineRule="exact"/>
        <w:rPr>
          <w:rFonts w:hint="eastAsia" w:ascii="宋体" w:hAnsi="宋体" w:cs="宋体"/>
          <w:b/>
          <w:bCs/>
          <w:color w:val="auto"/>
          <w:highlight w:val="none"/>
        </w:rPr>
      </w:pPr>
      <w:r>
        <w:rPr>
          <w:rFonts w:hint="eastAsia" w:ascii="宋体" w:hAnsi="宋体" w:cs="宋体"/>
          <w:color w:val="auto"/>
          <w:sz w:val="24"/>
          <w:highlight w:val="none"/>
        </w:rPr>
        <w:t xml:space="preserve">    </w:t>
      </w:r>
      <w:r>
        <w:rPr>
          <w:rFonts w:hint="eastAsia" w:ascii="宋体" w:hAnsi="宋体" w:cs="宋体"/>
          <w:b/>
          <w:bCs/>
          <w:color w:val="auto"/>
          <w:highlight w:val="none"/>
        </w:rPr>
        <w:t>一、有下列情形之一的，投标保证金将不予退还：</w:t>
      </w:r>
    </w:p>
    <w:p w14:paraId="7BE473F4">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（一）投标人在投标有效期内撤销投标文件；</w:t>
      </w:r>
    </w:p>
    <w:p w14:paraId="74B9915E">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（二）无正当理由不与招标人订立合同，在签订合同时向招标人提出附加条件，或者不按照招标文件要求提交履约保证金；</w:t>
      </w:r>
    </w:p>
    <w:p w14:paraId="1745CEDC">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（三）发生投标人须知前附表规定的其他可以不予退还投标保证金的情形。</w:t>
      </w:r>
    </w:p>
    <w:p w14:paraId="085F00FD">
      <w:pPr>
        <w:spacing w:line="400" w:lineRule="exact"/>
        <w:ind w:firstLine="480" w:firstLineChars="200"/>
        <w:rPr>
          <w:rFonts w:hint="eastAsia" w:ascii="宋体" w:hAnsi="宋体" w:cs="宋体"/>
          <w:color w:val="auto"/>
          <w:sz w:val="24"/>
          <w:highlight w:val="none"/>
        </w:rPr>
      </w:pPr>
    </w:p>
    <w:p w14:paraId="136E001A">
      <w:pPr>
        <w:spacing w:line="0" w:lineRule="atLeast"/>
        <w:rPr>
          <w:color w:val="auto"/>
          <w:highlight w:val="none"/>
        </w:rPr>
      </w:pPr>
    </w:p>
    <w:p w14:paraId="4130D52B">
      <w:pPr>
        <w:spacing w:line="360" w:lineRule="auto"/>
        <w:jc w:val="center"/>
        <w:rPr>
          <w:b/>
          <w:color w:val="auto"/>
          <w:highlight w:val="none"/>
        </w:rPr>
      </w:pPr>
      <w:bookmarkStart w:id="74" w:name="_Toc29545504"/>
      <w:bookmarkStart w:id="75" w:name="_Toc19896"/>
      <w:bookmarkStart w:id="76" w:name="_Toc8572400"/>
      <w:bookmarkStart w:id="77" w:name="_Toc9001127"/>
      <w:r>
        <w:rPr>
          <w:rFonts w:hint="eastAsia"/>
          <w:b/>
          <w:color w:val="auto"/>
          <w:highlight w:val="none"/>
        </w:rPr>
        <w:t>招标文件</w:t>
      </w:r>
      <w:r>
        <w:rPr>
          <w:b/>
          <w:color w:val="auto"/>
          <w:highlight w:val="none"/>
        </w:rPr>
        <w:t>中其他否决性条款汇总</w:t>
      </w:r>
      <w:bookmarkEnd w:id="74"/>
      <w:bookmarkEnd w:id="75"/>
      <w:bookmarkEnd w:id="76"/>
      <w:bookmarkEnd w:id="77"/>
    </w:p>
    <w:p w14:paraId="52D4CF0D">
      <w:pPr>
        <w:spacing w:line="0" w:lineRule="atLeast"/>
        <w:rPr>
          <w:color w:val="auto"/>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63"/>
        <w:gridCol w:w="5634"/>
      </w:tblGrid>
      <w:tr w14:paraId="1669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Align w:val="center"/>
          </w:tcPr>
          <w:p w14:paraId="7E5203C8">
            <w:pPr>
              <w:spacing w:line="0" w:lineRule="atLeast"/>
              <w:jc w:val="center"/>
              <w:rPr>
                <w:rFonts w:hint="eastAsia" w:ascii="宋体" w:hAnsi="宋体"/>
                <w:color w:val="auto"/>
                <w:highlight w:val="none"/>
              </w:rPr>
            </w:pPr>
            <w:r>
              <w:rPr>
                <w:rFonts w:hint="eastAsia" w:ascii="宋体" w:hAnsi="宋体"/>
                <w:color w:val="auto"/>
                <w:highlight w:val="none"/>
              </w:rPr>
              <w:t>序号</w:t>
            </w:r>
          </w:p>
        </w:tc>
        <w:tc>
          <w:tcPr>
            <w:tcW w:w="2163" w:type="dxa"/>
            <w:vAlign w:val="center"/>
          </w:tcPr>
          <w:p w14:paraId="5A12DB71">
            <w:pPr>
              <w:spacing w:line="0" w:lineRule="atLeast"/>
              <w:jc w:val="center"/>
              <w:rPr>
                <w:rFonts w:hint="eastAsia" w:ascii="宋体" w:hAnsi="宋体"/>
                <w:color w:val="auto"/>
                <w:highlight w:val="none"/>
              </w:rPr>
            </w:pPr>
            <w:r>
              <w:rPr>
                <w:rFonts w:hint="eastAsia" w:ascii="宋体" w:hAnsi="宋体"/>
                <w:color w:val="auto"/>
                <w:highlight w:val="none"/>
              </w:rPr>
              <w:t>条款号</w:t>
            </w:r>
          </w:p>
        </w:tc>
        <w:tc>
          <w:tcPr>
            <w:tcW w:w="5634" w:type="dxa"/>
          </w:tcPr>
          <w:p w14:paraId="5C957DF4">
            <w:pPr>
              <w:spacing w:line="0" w:lineRule="atLeast"/>
              <w:jc w:val="center"/>
              <w:rPr>
                <w:rFonts w:hint="eastAsia" w:ascii="宋体" w:hAnsi="宋体"/>
                <w:color w:val="auto"/>
                <w:highlight w:val="none"/>
              </w:rPr>
            </w:pPr>
            <w:r>
              <w:rPr>
                <w:rFonts w:hint="eastAsia" w:ascii="宋体" w:hAnsi="宋体"/>
                <w:color w:val="auto"/>
                <w:highlight w:val="none"/>
              </w:rPr>
              <w:t>说明</w:t>
            </w:r>
          </w:p>
        </w:tc>
      </w:tr>
      <w:tr w14:paraId="14A1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243E5D13">
            <w:pPr>
              <w:spacing w:line="0" w:lineRule="atLeast"/>
              <w:rPr>
                <w:rFonts w:hint="eastAsia" w:ascii="宋体" w:hAnsi="宋体"/>
                <w:color w:val="auto"/>
                <w:highlight w:val="none"/>
              </w:rPr>
            </w:pPr>
            <w:r>
              <w:rPr>
                <w:rFonts w:hint="eastAsia" w:ascii="宋体" w:hAnsi="宋体"/>
                <w:color w:val="auto"/>
                <w:highlight w:val="none"/>
              </w:rPr>
              <w:t>一</w:t>
            </w:r>
            <w:r>
              <w:rPr>
                <w:rFonts w:ascii="宋体" w:hAnsi="宋体"/>
                <w:color w:val="auto"/>
                <w:highlight w:val="none"/>
              </w:rPr>
              <w:t>、</w:t>
            </w:r>
          </w:p>
        </w:tc>
        <w:tc>
          <w:tcPr>
            <w:tcW w:w="2163" w:type="dxa"/>
          </w:tcPr>
          <w:p w14:paraId="269726D6">
            <w:pPr>
              <w:spacing w:line="0" w:lineRule="atLeast"/>
              <w:rPr>
                <w:rFonts w:hint="eastAsia" w:ascii="宋体" w:hAnsi="宋体"/>
                <w:color w:val="auto"/>
                <w:highlight w:val="none"/>
              </w:rPr>
            </w:pPr>
            <w:r>
              <w:rPr>
                <w:rFonts w:hint="eastAsia" w:ascii="宋体" w:hAnsi="宋体"/>
                <w:color w:val="auto"/>
                <w:highlight w:val="none"/>
              </w:rPr>
              <w:t>第二章</w:t>
            </w:r>
            <w:r>
              <w:rPr>
                <w:rFonts w:ascii="宋体" w:hAnsi="宋体"/>
                <w:color w:val="auto"/>
                <w:highlight w:val="none"/>
              </w:rPr>
              <w:t>投标人须知</w:t>
            </w:r>
          </w:p>
        </w:tc>
        <w:tc>
          <w:tcPr>
            <w:tcW w:w="5634" w:type="dxa"/>
          </w:tcPr>
          <w:p w14:paraId="49C71CA0">
            <w:pPr>
              <w:spacing w:line="0" w:lineRule="atLeast"/>
              <w:rPr>
                <w:rFonts w:hint="eastAsia" w:ascii="宋体" w:hAnsi="宋体"/>
                <w:color w:val="auto"/>
                <w:highlight w:val="none"/>
              </w:rPr>
            </w:pPr>
          </w:p>
        </w:tc>
      </w:tr>
      <w:tr w14:paraId="7DE4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7E4AE5D7">
            <w:pPr>
              <w:numPr>
                <w:ilvl w:val="0"/>
                <w:numId w:val="1"/>
              </w:numPr>
              <w:spacing w:line="0" w:lineRule="atLeast"/>
              <w:rPr>
                <w:rFonts w:hint="eastAsia" w:ascii="宋体" w:hAnsi="宋体"/>
                <w:color w:val="auto"/>
                <w:highlight w:val="none"/>
              </w:rPr>
            </w:pPr>
          </w:p>
        </w:tc>
        <w:tc>
          <w:tcPr>
            <w:tcW w:w="2163" w:type="dxa"/>
          </w:tcPr>
          <w:p w14:paraId="27C1C885">
            <w:pPr>
              <w:spacing w:line="0" w:lineRule="atLeast"/>
              <w:rPr>
                <w:rFonts w:hint="eastAsia" w:ascii="宋体" w:hAnsi="宋体"/>
                <w:color w:val="auto"/>
                <w:highlight w:val="none"/>
              </w:rPr>
            </w:pPr>
            <w:r>
              <w:rPr>
                <w:rFonts w:hint="eastAsia" w:ascii="宋体" w:hAnsi="宋体"/>
                <w:color w:val="auto"/>
                <w:highlight w:val="none"/>
              </w:rPr>
              <w:t>1.4.1</w:t>
            </w:r>
          </w:p>
        </w:tc>
        <w:tc>
          <w:tcPr>
            <w:tcW w:w="5634" w:type="dxa"/>
          </w:tcPr>
          <w:p w14:paraId="36034CCB">
            <w:pPr>
              <w:spacing w:line="0" w:lineRule="atLeast"/>
              <w:rPr>
                <w:rFonts w:hint="eastAsia" w:ascii="宋体" w:hAnsi="宋体"/>
                <w:color w:val="auto"/>
                <w:highlight w:val="none"/>
              </w:rPr>
            </w:pPr>
          </w:p>
        </w:tc>
      </w:tr>
      <w:tr w14:paraId="7799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7A4E75BE">
            <w:pPr>
              <w:numPr>
                <w:ilvl w:val="0"/>
                <w:numId w:val="1"/>
              </w:numPr>
              <w:spacing w:line="0" w:lineRule="atLeast"/>
              <w:rPr>
                <w:rFonts w:hint="eastAsia" w:ascii="宋体" w:hAnsi="宋体"/>
                <w:color w:val="auto"/>
                <w:highlight w:val="none"/>
              </w:rPr>
            </w:pPr>
          </w:p>
        </w:tc>
        <w:tc>
          <w:tcPr>
            <w:tcW w:w="2163" w:type="dxa"/>
          </w:tcPr>
          <w:p w14:paraId="3B530EC7">
            <w:pPr>
              <w:spacing w:line="0" w:lineRule="atLeast"/>
              <w:rPr>
                <w:rFonts w:hint="eastAsia" w:ascii="宋体" w:hAnsi="宋体"/>
                <w:color w:val="auto"/>
                <w:highlight w:val="none"/>
              </w:rPr>
            </w:pPr>
            <w:r>
              <w:rPr>
                <w:rFonts w:hint="eastAsia" w:ascii="宋体" w:hAnsi="宋体"/>
                <w:color w:val="auto"/>
                <w:highlight w:val="none"/>
              </w:rPr>
              <w:t>1.4.3</w:t>
            </w:r>
          </w:p>
        </w:tc>
        <w:tc>
          <w:tcPr>
            <w:tcW w:w="5634" w:type="dxa"/>
          </w:tcPr>
          <w:p w14:paraId="5979213A">
            <w:pPr>
              <w:spacing w:line="0" w:lineRule="atLeast"/>
              <w:rPr>
                <w:rFonts w:hint="eastAsia" w:ascii="宋体" w:hAnsi="宋体"/>
                <w:color w:val="auto"/>
                <w:highlight w:val="none"/>
              </w:rPr>
            </w:pPr>
          </w:p>
        </w:tc>
      </w:tr>
      <w:tr w14:paraId="7DD6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2D48427C">
            <w:pPr>
              <w:numPr>
                <w:ilvl w:val="0"/>
                <w:numId w:val="1"/>
              </w:numPr>
              <w:spacing w:line="0" w:lineRule="atLeast"/>
              <w:rPr>
                <w:rFonts w:hint="eastAsia" w:ascii="宋体" w:hAnsi="宋体"/>
                <w:color w:val="auto"/>
                <w:highlight w:val="none"/>
              </w:rPr>
            </w:pPr>
          </w:p>
        </w:tc>
        <w:tc>
          <w:tcPr>
            <w:tcW w:w="2163" w:type="dxa"/>
          </w:tcPr>
          <w:p w14:paraId="2CD4DD03">
            <w:pPr>
              <w:spacing w:line="0" w:lineRule="atLeast"/>
              <w:rPr>
                <w:rFonts w:hint="eastAsia" w:ascii="宋体" w:hAnsi="宋体"/>
                <w:color w:val="auto"/>
                <w:highlight w:val="none"/>
              </w:rPr>
            </w:pPr>
            <w:r>
              <w:rPr>
                <w:rFonts w:hint="eastAsia" w:ascii="宋体" w:hAnsi="宋体"/>
                <w:color w:val="auto"/>
                <w:highlight w:val="none"/>
              </w:rPr>
              <w:t>3.4.2</w:t>
            </w:r>
          </w:p>
        </w:tc>
        <w:tc>
          <w:tcPr>
            <w:tcW w:w="5634" w:type="dxa"/>
          </w:tcPr>
          <w:p w14:paraId="5FC7C46E">
            <w:pPr>
              <w:spacing w:line="0" w:lineRule="atLeast"/>
              <w:rPr>
                <w:rFonts w:hint="eastAsia" w:ascii="宋体" w:hAnsi="宋体"/>
                <w:color w:val="auto"/>
                <w:highlight w:val="none"/>
              </w:rPr>
            </w:pPr>
          </w:p>
        </w:tc>
      </w:tr>
      <w:tr w14:paraId="706E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6D83D883">
            <w:pPr>
              <w:numPr>
                <w:ilvl w:val="0"/>
                <w:numId w:val="1"/>
              </w:numPr>
              <w:spacing w:line="0" w:lineRule="atLeast"/>
              <w:rPr>
                <w:rFonts w:hint="eastAsia" w:ascii="宋体" w:hAnsi="宋体"/>
                <w:color w:val="auto"/>
                <w:highlight w:val="none"/>
              </w:rPr>
            </w:pPr>
          </w:p>
        </w:tc>
        <w:tc>
          <w:tcPr>
            <w:tcW w:w="2163" w:type="dxa"/>
          </w:tcPr>
          <w:p w14:paraId="67D9B227">
            <w:pPr>
              <w:spacing w:line="0" w:lineRule="atLeast"/>
              <w:rPr>
                <w:rFonts w:hint="eastAsia" w:ascii="宋体" w:hAnsi="宋体"/>
                <w:color w:val="auto"/>
                <w:highlight w:val="none"/>
              </w:rPr>
            </w:pPr>
            <w:r>
              <w:rPr>
                <w:rFonts w:hint="eastAsia" w:ascii="宋体" w:hAnsi="宋体"/>
                <w:color w:val="auto"/>
                <w:highlight w:val="none"/>
              </w:rPr>
              <w:t>3.4.4</w:t>
            </w:r>
          </w:p>
        </w:tc>
        <w:tc>
          <w:tcPr>
            <w:tcW w:w="5634" w:type="dxa"/>
          </w:tcPr>
          <w:p w14:paraId="522B297C">
            <w:pPr>
              <w:spacing w:line="0" w:lineRule="atLeast"/>
              <w:rPr>
                <w:rFonts w:hint="eastAsia" w:ascii="宋体" w:hAnsi="宋体"/>
                <w:color w:val="auto"/>
                <w:highlight w:val="none"/>
              </w:rPr>
            </w:pPr>
          </w:p>
        </w:tc>
      </w:tr>
      <w:tr w14:paraId="1BE6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57BFAC36">
            <w:pPr>
              <w:numPr>
                <w:ilvl w:val="0"/>
                <w:numId w:val="1"/>
              </w:numPr>
              <w:spacing w:line="0" w:lineRule="atLeast"/>
              <w:rPr>
                <w:rFonts w:hint="eastAsia" w:ascii="宋体" w:hAnsi="宋体"/>
                <w:color w:val="auto"/>
                <w:highlight w:val="none"/>
              </w:rPr>
            </w:pPr>
          </w:p>
        </w:tc>
        <w:tc>
          <w:tcPr>
            <w:tcW w:w="2163" w:type="dxa"/>
          </w:tcPr>
          <w:p w14:paraId="7070E130">
            <w:pPr>
              <w:spacing w:line="0" w:lineRule="atLeast"/>
              <w:rPr>
                <w:rFonts w:hint="eastAsia" w:ascii="宋体" w:hAnsi="宋体"/>
                <w:color w:val="auto"/>
                <w:highlight w:val="none"/>
              </w:rPr>
            </w:pPr>
            <w:r>
              <w:rPr>
                <w:rFonts w:hint="eastAsia" w:ascii="宋体" w:hAnsi="宋体"/>
                <w:color w:val="auto"/>
                <w:highlight w:val="none"/>
              </w:rPr>
              <w:t>4.2.5</w:t>
            </w:r>
            <w:r>
              <w:rPr>
                <w:rFonts w:ascii="宋体" w:hAnsi="宋体"/>
                <w:color w:val="auto"/>
                <w:highlight w:val="none"/>
              </w:rPr>
              <w:t>(</w:t>
            </w:r>
            <w:r>
              <w:rPr>
                <w:rFonts w:hint="eastAsia" w:ascii="宋体" w:hAnsi="宋体"/>
                <w:color w:val="auto"/>
                <w:highlight w:val="none"/>
              </w:rPr>
              <w:t>B</w:t>
            </w:r>
            <w:r>
              <w:rPr>
                <w:rFonts w:ascii="宋体" w:hAnsi="宋体"/>
                <w:color w:val="auto"/>
                <w:highlight w:val="none"/>
              </w:rPr>
              <w:t>)</w:t>
            </w:r>
          </w:p>
        </w:tc>
        <w:tc>
          <w:tcPr>
            <w:tcW w:w="5634" w:type="dxa"/>
          </w:tcPr>
          <w:p w14:paraId="1BD2F124">
            <w:pPr>
              <w:spacing w:line="0" w:lineRule="atLeast"/>
              <w:rPr>
                <w:rFonts w:hint="eastAsia" w:ascii="宋体" w:hAnsi="宋体"/>
                <w:color w:val="auto"/>
                <w:highlight w:val="none"/>
              </w:rPr>
            </w:pPr>
          </w:p>
        </w:tc>
      </w:tr>
      <w:tr w14:paraId="0764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7F844342">
            <w:pPr>
              <w:numPr>
                <w:ilvl w:val="0"/>
                <w:numId w:val="1"/>
              </w:numPr>
              <w:spacing w:line="0" w:lineRule="atLeast"/>
              <w:rPr>
                <w:rFonts w:hint="eastAsia" w:ascii="宋体" w:hAnsi="宋体"/>
                <w:color w:val="auto"/>
                <w:highlight w:val="none"/>
              </w:rPr>
            </w:pPr>
          </w:p>
        </w:tc>
        <w:tc>
          <w:tcPr>
            <w:tcW w:w="2163" w:type="dxa"/>
          </w:tcPr>
          <w:p w14:paraId="70DC9AB3">
            <w:pPr>
              <w:spacing w:line="0" w:lineRule="atLeast"/>
              <w:rPr>
                <w:rFonts w:hint="eastAsia" w:ascii="宋体" w:hAnsi="宋体"/>
                <w:color w:val="auto"/>
                <w:highlight w:val="none"/>
              </w:rPr>
            </w:pPr>
            <w:r>
              <w:rPr>
                <w:rFonts w:hint="eastAsia" w:ascii="宋体" w:hAnsi="宋体"/>
                <w:color w:val="auto"/>
                <w:highlight w:val="none"/>
              </w:rPr>
              <w:t>7.6.2</w:t>
            </w:r>
          </w:p>
        </w:tc>
        <w:tc>
          <w:tcPr>
            <w:tcW w:w="5634" w:type="dxa"/>
          </w:tcPr>
          <w:p w14:paraId="5426A52F">
            <w:pPr>
              <w:spacing w:line="0" w:lineRule="atLeast"/>
              <w:rPr>
                <w:rFonts w:hint="eastAsia" w:ascii="宋体" w:hAnsi="宋体"/>
                <w:color w:val="auto"/>
                <w:highlight w:val="none"/>
              </w:rPr>
            </w:pPr>
          </w:p>
        </w:tc>
      </w:tr>
      <w:tr w14:paraId="2BCB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30AF613B">
            <w:pPr>
              <w:numPr>
                <w:ilvl w:val="0"/>
                <w:numId w:val="1"/>
              </w:numPr>
              <w:spacing w:line="0" w:lineRule="atLeast"/>
              <w:rPr>
                <w:rFonts w:hint="eastAsia" w:ascii="宋体" w:hAnsi="宋体"/>
                <w:color w:val="auto"/>
                <w:highlight w:val="none"/>
              </w:rPr>
            </w:pPr>
          </w:p>
        </w:tc>
        <w:tc>
          <w:tcPr>
            <w:tcW w:w="2163" w:type="dxa"/>
          </w:tcPr>
          <w:p w14:paraId="3B50CE4D">
            <w:pPr>
              <w:spacing w:line="0" w:lineRule="atLeast"/>
              <w:rPr>
                <w:rFonts w:hint="eastAsia" w:ascii="宋体" w:hAnsi="宋体"/>
                <w:color w:val="auto"/>
                <w:highlight w:val="none"/>
              </w:rPr>
            </w:pPr>
            <w:r>
              <w:rPr>
                <w:rFonts w:hint="eastAsia" w:ascii="宋体" w:hAnsi="宋体"/>
                <w:color w:val="auto"/>
                <w:highlight w:val="none"/>
              </w:rPr>
              <w:t>7.7.1</w:t>
            </w:r>
          </w:p>
        </w:tc>
        <w:tc>
          <w:tcPr>
            <w:tcW w:w="5634" w:type="dxa"/>
          </w:tcPr>
          <w:p w14:paraId="789896E1">
            <w:pPr>
              <w:spacing w:line="0" w:lineRule="atLeast"/>
              <w:rPr>
                <w:rFonts w:hint="eastAsia" w:ascii="宋体" w:hAnsi="宋体"/>
                <w:color w:val="auto"/>
                <w:highlight w:val="none"/>
              </w:rPr>
            </w:pPr>
          </w:p>
        </w:tc>
      </w:tr>
      <w:tr w14:paraId="1DE3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581A42D8">
            <w:pPr>
              <w:numPr>
                <w:ilvl w:val="0"/>
                <w:numId w:val="1"/>
              </w:numPr>
              <w:spacing w:line="0" w:lineRule="atLeast"/>
              <w:rPr>
                <w:rFonts w:hint="eastAsia" w:ascii="宋体" w:hAnsi="宋体"/>
                <w:color w:val="auto"/>
                <w:highlight w:val="none"/>
              </w:rPr>
            </w:pPr>
          </w:p>
        </w:tc>
        <w:tc>
          <w:tcPr>
            <w:tcW w:w="2163" w:type="dxa"/>
          </w:tcPr>
          <w:p w14:paraId="32B99F61">
            <w:pPr>
              <w:spacing w:line="0" w:lineRule="atLeast"/>
              <w:rPr>
                <w:rFonts w:hint="eastAsia" w:ascii="宋体" w:hAnsi="宋体"/>
                <w:color w:val="auto"/>
                <w:highlight w:val="none"/>
              </w:rPr>
            </w:pPr>
            <w:r>
              <w:rPr>
                <w:rFonts w:hint="eastAsia" w:ascii="宋体" w:hAnsi="宋体"/>
                <w:color w:val="auto"/>
                <w:highlight w:val="none"/>
              </w:rPr>
              <w:t>7.7.2</w:t>
            </w:r>
          </w:p>
        </w:tc>
        <w:tc>
          <w:tcPr>
            <w:tcW w:w="5634" w:type="dxa"/>
          </w:tcPr>
          <w:p w14:paraId="59BB1929">
            <w:pPr>
              <w:spacing w:line="0" w:lineRule="atLeast"/>
              <w:rPr>
                <w:rFonts w:hint="eastAsia" w:ascii="宋体" w:hAnsi="宋体"/>
                <w:color w:val="auto"/>
                <w:highlight w:val="none"/>
              </w:rPr>
            </w:pPr>
          </w:p>
        </w:tc>
      </w:tr>
      <w:tr w14:paraId="038E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153FDEE5">
            <w:pPr>
              <w:spacing w:line="0" w:lineRule="atLeast"/>
              <w:rPr>
                <w:rFonts w:hint="eastAsia" w:ascii="宋体" w:hAnsi="宋体"/>
                <w:color w:val="auto"/>
                <w:highlight w:val="none"/>
              </w:rPr>
            </w:pPr>
            <w:r>
              <w:rPr>
                <w:rFonts w:hint="eastAsia" w:ascii="宋体" w:hAnsi="宋体"/>
                <w:color w:val="auto"/>
                <w:highlight w:val="none"/>
              </w:rPr>
              <w:t>二</w:t>
            </w:r>
            <w:r>
              <w:rPr>
                <w:rFonts w:ascii="宋体" w:hAnsi="宋体"/>
                <w:color w:val="auto"/>
                <w:highlight w:val="none"/>
              </w:rPr>
              <w:t>、</w:t>
            </w:r>
          </w:p>
        </w:tc>
        <w:tc>
          <w:tcPr>
            <w:tcW w:w="2163" w:type="dxa"/>
          </w:tcPr>
          <w:p w14:paraId="69435A7D">
            <w:pPr>
              <w:spacing w:line="0" w:lineRule="atLeast"/>
              <w:rPr>
                <w:rFonts w:hint="eastAsia" w:ascii="宋体" w:hAnsi="宋体"/>
                <w:color w:val="auto"/>
                <w:highlight w:val="none"/>
              </w:rPr>
            </w:pPr>
            <w:r>
              <w:rPr>
                <w:rFonts w:hint="eastAsia" w:ascii="宋体" w:hAnsi="宋体"/>
                <w:color w:val="auto"/>
                <w:highlight w:val="none"/>
              </w:rPr>
              <w:t>第三章评标办法</w:t>
            </w:r>
          </w:p>
        </w:tc>
        <w:tc>
          <w:tcPr>
            <w:tcW w:w="5634" w:type="dxa"/>
          </w:tcPr>
          <w:p w14:paraId="13EF23BD">
            <w:pPr>
              <w:spacing w:line="0" w:lineRule="atLeast"/>
              <w:rPr>
                <w:rFonts w:hint="eastAsia" w:ascii="宋体" w:hAnsi="宋体"/>
                <w:color w:val="auto"/>
                <w:highlight w:val="none"/>
              </w:rPr>
            </w:pPr>
          </w:p>
        </w:tc>
      </w:tr>
      <w:tr w14:paraId="3E8F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6ECBD0E3">
            <w:pPr>
              <w:numPr>
                <w:ilvl w:val="0"/>
                <w:numId w:val="2"/>
              </w:numPr>
              <w:spacing w:line="0" w:lineRule="atLeast"/>
              <w:rPr>
                <w:rFonts w:hint="eastAsia" w:ascii="宋体" w:hAnsi="宋体"/>
                <w:color w:val="auto"/>
                <w:highlight w:val="none"/>
              </w:rPr>
            </w:pPr>
          </w:p>
        </w:tc>
        <w:tc>
          <w:tcPr>
            <w:tcW w:w="2163" w:type="dxa"/>
          </w:tcPr>
          <w:p w14:paraId="4ED9569F">
            <w:pPr>
              <w:spacing w:line="0" w:lineRule="atLeast"/>
              <w:rPr>
                <w:rFonts w:hint="eastAsia" w:ascii="宋体" w:hAnsi="宋体"/>
                <w:color w:val="auto"/>
                <w:highlight w:val="none"/>
              </w:rPr>
            </w:pPr>
            <w:r>
              <w:rPr>
                <w:rFonts w:hint="eastAsia" w:ascii="宋体" w:hAnsi="宋体"/>
                <w:color w:val="auto"/>
                <w:highlight w:val="none"/>
              </w:rPr>
              <w:t>3.1</w:t>
            </w:r>
          </w:p>
        </w:tc>
        <w:tc>
          <w:tcPr>
            <w:tcW w:w="5634" w:type="dxa"/>
          </w:tcPr>
          <w:p w14:paraId="1543BC09">
            <w:pPr>
              <w:spacing w:line="0" w:lineRule="atLeast"/>
              <w:rPr>
                <w:rFonts w:hint="eastAsia" w:ascii="宋体" w:hAnsi="宋体"/>
                <w:color w:val="auto"/>
                <w:szCs w:val="22"/>
                <w:highlight w:val="none"/>
              </w:rPr>
            </w:pPr>
          </w:p>
        </w:tc>
      </w:tr>
      <w:tr w14:paraId="1656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54C87E79">
            <w:pPr>
              <w:numPr>
                <w:ilvl w:val="0"/>
                <w:numId w:val="2"/>
              </w:numPr>
              <w:spacing w:line="0" w:lineRule="atLeast"/>
              <w:rPr>
                <w:rFonts w:hint="eastAsia" w:ascii="宋体" w:hAnsi="宋体"/>
                <w:color w:val="auto"/>
                <w:highlight w:val="none"/>
              </w:rPr>
            </w:pPr>
          </w:p>
        </w:tc>
        <w:tc>
          <w:tcPr>
            <w:tcW w:w="2163" w:type="dxa"/>
          </w:tcPr>
          <w:p w14:paraId="069BDFD3">
            <w:pPr>
              <w:spacing w:line="0" w:lineRule="atLeast"/>
              <w:rPr>
                <w:rFonts w:hint="eastAsia" w:ascii="宋体" w:hAnsi="宋体"/>
                <w:color w:val="auto"/>
                <w:highlight w:val="none"/>
              </w:rPr>
            </w:pPr>
            <w:r>
              <w:rPr>
                <w:rFonts w:hint="eastAsia" w:ascii="宋体" w:hAnsi="宋体"/>
                <w:color w:val="auto"/>
                <w:highlight w:val="none"/>
              </w:rPr>
              <w:t>3.2.4</w:t>
            </w:r>
          </w:p>
        </w:tc>
        <w:tc>
          <w:tcPr>
            <w:tcW w:w="5634" w:type="dxa"/>
          </w:tcPr>
          <w:p w14:paraId="10123A0F">
            <w:pPr>
              <w:spacing w:line="0" w:lineRule="atLeast"/>
              <w:rPr>
                <w:rFonts w:hint="eastAsia" w:ascii="宋体" w:hAnsi="宋体"/>
                <w:color w:val="auto"/>
                <w:highlight w:val="none"/>
              </w:rPr>
            </w:pPr>
          </w:p>
        </w:tc>
      </w:tr>
      <w:bookmarkEnd w:id="46"/>
    </w:tbl>
    <w:p w14:paraId="68BEB850">
      <w:pPr>
        <w:rPr>
          <w:rFonts w:hint="eastAsia" w:ascii="宋体" w:hAnsi="宋体"/>
          <w:color w:val="auto"/>
          <w:highlight w:val="none"/>
        </w:rPr>
      </w:pPr>
    </w:p>
    <w:p w14:paraId="593383F0">
      <w:pPr>
        <w:rPr>
          <w:rFonts w:hint="eastAsia" w:ascii="宋体" w:hAnsi="宋体"/>
          <w:color w:val="auto"/>
          <w:highlight w:val="none"/>
        </w:rPr>
      </w:pPr>
    </w:p>
    <w:p w14:paraId="7B98C47B">
      <w:pPr>
        <w:rPr>
          <w:rFonts w:hint="eastAsia" w:ascii="宋体" w:hAnsi="宋体"/>
          <w:color w:val="auto"/>
          <w:highlight w:val="none"/>
        </w:rPr>
      </w:pPr>
    </w:p>
    <w:p w14:paraId="08335215">
      <w:pPr>
        <w:keepNext/>
        <w:keepLines/>
        <w:adjustRightInd w:val="0"/>
        <w:spacing w:before="240" w:after="120"/>
        <w:textAlignment w:val="baseline"/>
        <w:outlineLvl w:val="1"/>
        <w:rPr>
          <w:rFonts w:hint="eastAsia" w:ascii="宋体" w:hAnsi="宋体"/>
          <w:b/>
          <w:color w:val="auto"/>
          <w:kern w:val="0"/>
          <w:sz w:val="28"/>
          <w:szCs w:val="20"/>
          <w:highlight w:val="none"/>
        </w:rPr>
      </w:pPr>
      <w:r>
        <w:rPr>
          <w:rFonts w:ascii="宋体" w:hAnsi="宋体"/>
          <w:color w:val="auto"/>
          <w:highlight w:val="none"/>
        </w:rPr>
        <w:br w:type="page"/>
      </w:r>
      <w:bookmarkStart w:id="78" w:name="_Toc2462"/>
      <w:bookmarkStart w:id="79" w:name="_Toc26232"/>
      <w:bookmarkStart w:id="80" w:name="_Toc23922"/>
      <w:bookmarkStart w:id="81" w:name="_Toc30897"/>
      <w:bookmarkStart w:id="82" w:name="_Toc9590359"/>
      <w:bookmarkStart w:id="83" w:name="_Toc8745"/>
      <w:bookmarkStart w:id="84" w:name="_Toc28641"/>
      <w:bookmarkStart w:id="85" w:name="_Toc23571"/>
      <w:bookmarkStart w:id="86" w:name="_Toc32575"/>
      <w:bookmarkStart w:id="87" w:name="_Toc18178"/>
      <w:r>
        <w:rPr>
          <w:rFonts w:ascii="宋体" w:hAnsi="宋体"/>
          <w:b/>
          <w:color w:val="auto"/>
          <w:kern w:val="0"/>
          <w:sz w:val="28"/>
          <w:szCs w:val="20"/>
          <w:highlight w:val="none"/>
        </w:rPr>
        <w:t>1.</w:t>
      </w:r>
      <w:r>
        <w:rPr>
          <w:rFonts w:hint="eastAsia" w:ascii="宋体" w:hAnsi="宋体"/>
          <w:b/>
          <w:color w:val="auto"/>
          <w:kern w:val="0"/>
          <w:sz w:val="28"/>
          <w:szCs w:val="20"/>
          <w:highlight w:val="none"/>
        </w:rPr>
        <w:t>总则</w:t>
      </w:r>
      <w:bookmarkEnd w:id="78"/>
      <w:bookmarkEnd w:id="79"/>
      <w:bookmarkEnd w:id="80"/>
      <w:bookmarkEnd w:id="81"/>
      <w:bookmarkEnd w:id="82"/>
      <w:bookmarkEnd w:id="83"/>
      <w:bookmarkEnd w:id="84"/>
      <w:bookmarkEnd w:id="85"/>
      <w:bookmarkEnd w:id="86"/>
      <w:bookmarkEnd w:id="87"/>
    </w:p>
    <w:p w14:paraId="509991DD">
      <w:pPr>
        <w:keepNext/>
        <w:keepLines/>
        <w:spacing w:before="260" w:after="260"/>
        <w:ind w:firstLine="117" w:firstLineChars="49"/>
        <w:outlineLvl w:val="2"/>
        <w:rPr>
          <w:rFonts w:hint="eastAsia" w:ascii="宋体" w:hAnsi="宋体"/>
          <w:color w:val="auto"/>
          <w:sz w:val="24"/>
          <w:szCs w:val="20"/>
          <w:highlight w:val="none"/>
        </w:rPr>
      </w:pPr>
      <w:bookmarkStart w:id="88" w:name="_Toc24942"/>
      <w:bookmarkStart w:id="89" w:name="_Toc30096"/>
      <w:bookmarkStart w:id="90" w:name="_Toc7187"/>
      <w:bookmarkStart w:id="91" w:name="_Toc9744"/>
      <w:bookmarkStart w:id="92" w:name="_Toc20045"/>
      <w:bookmarkStart w:id="93" w:name="_Toc9590360"/>
      <w:bookmarkStart w:id="94" w:name="_Toc31357"/>
      <w:bookmarkStart w:id="95" w:name="_Toc3256"/>
      <w:r>
        <w:rPr>
          <w:rFonts w:ascii="宋体" w:hAnsi="宋体"/>
          <w:color w:val="auto"/>
          <w:sz w:val="24"/>
          <w:szCs w:val="20"/>
          <w:highlight w:val="none"/>
        </w:rPr>
        <w:t>1.1</w:t>
      </w:r>
      <w:r>
        <w:rPr>
          <w:rFonts w:hint="eastAsia" w:ascii="宋体" w:hAnsi="宋体"/>
          <w:color w:val="auto"/>
          <w:sz w:val="24"/>
          <w:szCs w:val="20"/>
          <w:highlight w:val="none"/>
        </w:rPr>
        <w:t>招标项目概况</w:t>
      </w:r>
      <w:bookmarkEnd w:id="88"/>
      <w:bookmarkEnd w:id="89"/>
      <w:bookmarkEnd w:id="90"/>
      <w:bookmarkEnd w:id="91"/>
      <w:bookmarkEnd w:id="92"/>
      <w:bookmarkEnd w:id="93"/>
      <w:bookmarkEnd w:id="94"/>
      <w:bookmarkEnd w:id="95"/>
    </w:p>
    <w:p w14:paraId="3B67A7CC">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1.1.1</w:t>
      </w:r>
      <w:r>
        <w:rPr>
          <w:rFonts w:hint="eastAsia" w:ascii="宋体" w:hAnsi="宋体"/>
          <w:color w:val="auto"/>
          <w:szCs w:val="22"/>
          <w:highlight w:val="none"/>
        </w:rPr>
        <w:t>根据《中华人民共和国招标投标法》、《中华人民共和国招标投标法实施条例》等有关法律、法规和规章的规定，本招标项目已具备招标条件，现对本项目进行招标。</w:t>
      </w:r>
    </w:p>
    <w:p w14:paraId="08176BD5">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1.1.2</w:t>
      </w:r>
      <w:r>
        <w:rPr>
          <w:rFonts w:hint="eastAsia" w:ascii="宋体" w:hAnsi="宋体"/>
          <w:color w:val="auto"/>
          <w:szCs w:val="22"/>
          <w:highlight w:val="none"/>
        </w:rPr>
        <w:t>招标人：见投标人须知前附表。</w:t>
      </w:r>
    </w:p>
    <w:p w14:paraId="0CD37F67">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1.1.3</w:t>
      </w:r>
      <w:r>
        <w:rPr>
          <w:rFonts w:hint="eastAsia" w:ascii="宋体" w:hAnsi="宋体"/>
          <w:color w:val="auto"/>
          <w:szCs w:val="22"/>
          <w:highlight w:val="none"/>
        </w:rPr>
        <w:t>招标代理机构：见投标人须知前附表。</w:t>
      </w:r>
    </w:p>
    <w:p w14:paraId="33F6EAA3">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1.1.4</w:t>
      </w:r>
      <w:r>
        <w:rPr>
          <w:rFonts w:hint="eastAsia" w:ascii="宋体" w:hAnsi="宋体"/>
          <w:color w:val="auto"/>
          <w:szCs w:val="22"/>
          <w:highlight w:val="none"/>
        </w:rPr>
        <w:t>招标项目名称：见投标人须知前附表。</w:t>
      </w:r>
    </w:p>
    <w:p w14:paraId="5013DD5E">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1.1.5</w:t>
      </w:r>
      <w:r>
        <w:rPr>
          <w:rFonts w:hint="eastAsia" w:ascii="宋体" w:hAnsi="宋体"/>
          <w:color w:val="auto"/>
          <w:szCs w:val="22"/>
          <w:highlight w:val="none"/>
        </w:rPr>
        <w:t>项目建设地点：见投标人须知前附表。</w:t>
      </w:r>
    </w:p>
    <w:p w14:paraId="78D39541">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1.1.6</w:t>
      </w:r>
      <w:r>
        <w:rPr>
          <w:rFonts w:hint="eastAsia" w:ascii="宋体" w:hAnsi="宋体"/>
          <w:color w:val="auto"/>
          <w:szCs w:val="22"/>
          <w:highlight w:val="none"/>
        </w:rPr>
        <w:t>项目建设规模：见投标人须知前附表。</w:t>
      </w:r>
    </w:p>
    <w:p w14:paraId="3C7EA3DA">
      <w:pPr>
        <w:keepNext/>
        <w:keepLines/>
        <w:spacing w:before="260" w:after="260"/>
        <w:ind w:firstLine="117" w:firstLineChars="49"/>
        <w:outlineLvl w:val="2"/>
        <w:rPr>
          <w:rFonts w:hint="eastAsia" w:ascii="宋体" w:hAnsi="宋体"/>
          <w:color w:val="auto"/>
          <w:sz w:val="24"/>
          <w:szCs w:val="20"/>
          <w:highlight w:val="none"/>
        </w:rPr>
      </w:pPr>
      <w:bookmarkStart w:id="96" w:name="_Toc14718"/>
      <w:bookmarkStart w:id="97" w:name="_Toc9886"/>
      <w:bookmarkStart w:id="98" w:name="_Toc15258"/>
      <w:bookmarkStart w:id="99" w:name="_Toc9590361"/>
      <w:bookmarkStart w:id="100" w:name="_Toc7338"/>
      <w:bookmarkStart w:id="101" w:name="_Toc10016"/>
      <w:bookmarkStart w:id="102" w:name="_Toc7653"/>
      <w:bookmarkStart w:id="103" w:name="_Toc11202"/>
      <w:r>
        <w:rPr>
          <w:rFonts w:ascii="宋体" w:hAnsi="宋体"/>
          <w:color w:val="auto"/>
          <w:sz w:val="24"/>
          <w:szCs w:val="20"/>
          <w:highlight w:val="none"/>
        </w:rPr>
        <w:t>1.2</w:t>
      </w:r>
      <w:r>
        <w:rPr>
          <w:rFonts w:hint="eastAsia" w:ascii="宋体" w:hAnsi="宋体"/>
          <w:color w:val="auto"/>
          <w:sz w:val="24"/>
          <w:szCs w:val="20"/>
          <w:highlight w:val="none"/>
        </w:rPr>
        <w:t>招标项目的资金来源和落实情况</w:t>
      </w:r>
      <w:bookmarkEnd w:id="96"/>
      <w:bookmarkEnd w:id="97"/>
      <w:bookmarkEnd w:id="98"/>
      <w:bookmarkEnd w:id="99"/>
      <w:bookmarkEnd w:id="100"/>
      <w:bookmarkEnd w:id="101"/>
      <w:bookmarkEnd w:id="102"/>
      <w:bookmarkEnd w:id="103"/>
    </w:p>
    <w:p w14:paraId="639EC06F">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1.2.1</w:t>
      </w:r>
      <w:r>
        <w:rPr>
          <w:rFonts w:hint="eastAsia" w:ascii="宋体" w:hAnsi="宋体"/>
          <w:color w:val="auto"/>
          <w:szCs w:val="22"/>
          <w:highlight w:val="none"/>
        </w:rPr>
        <w:t>资金来源：见投标人须知前附表。</w:t>
      </w:r>
    </w:p>
    <w:p w14:paraId="1B454D8C">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1.2.2</w:t>
      </w:r>
      <w:r>
        <w:rPr>
          <w:rFonts w:hint="eastAsia" w:ascii="宋体" w:hAnsi="宋体"/>
          <w:color w:val="auto"/>
          <w:szCs w:val="22"/>
          <w:highlight w:val="none"/>
        </w:rPr>
        <w:t>资金落实情况：见投标人须知前附表。</w:t>
      </w:r>
    </w:p>
    <w:p w14:paraId="10193F66">
      <w:pPr>
        <w:keepNext/>
        <w:keepLines/>
        <w:spacing w:before="260" w:after="260"/>
        <w:ind w:firstLine="117" w:firstLineChars="49"/>
        <w:outlineLvl w:val="2"/>
        <w:rPr>
          <w:rFonts w:hint="eastAsia" w:ascii="宋体" w:hAnsi="宋体"/>
          <w:color w:val="auto"/>
          <w:sz w:val="24"/>
          <w:szCs w:val="20"/>
          <w:highlight w:val="none"/>
        </w:rPr>
      </w:pPr>
      <w:bookmarkStart w:id="104" w:name="_Toc17178"/>
      <w:bookmarkStart w:id="105" w:name="_Toc9562"/>
      <w:bookmarkStart w:id="106" w:name="_Toc3484"/>
      <w:bookmarkStart w:id="107" w:name="_Toc18343"/>
      <w:bookmarkStart w:id="108" w:name="_Toc11566"/>
      <w:bookmarkStart w:id="109" w:name="_Toc9590362"/>
      <w:bookmarkStart w:id="110" w:name="_Toc20118"/>
      <w:bookmarkStart w:id="111" w:name="_Toc30064"/>
      <w:r>
        <w:rPr>
          <w:rFonts w:ascii="宋体" w:hAnsi="宋体"/>
          <w:color w:val="auto"/>
          <w:sz w:val="24"/>
          <w:szCs w:val="20"/>
          <w:highlight w:val="none"/>
        </w:rPr>
        <w:t>1.3</w:t>
      </w:r>
      <w:r>
        <w:rPr>
          <w:rFonts w:hint="eastAsia" w:ascii="宋体" w:hAnsi="宋体"/>
          <w:color w:val="auto"/>
          <w:sz w:val="24"/>
          <w:szCs w:val="20"/>
          <w:highlight w:val="none"/>
        </w:rPr>
        <w:t>招标范围、服务期限和质量标准</w:t>
      </w:r>
      <w:bookmarkEnd w:id="104"/>
      <w:bookmarkEnd w:id="105"/>
      <w:bookmarkEnd w:id="106"/>
      <w:bookmarkEnd w:id="107"/>
      <w:bookmarkEnd w:id="108"/>
      <w:bookmarkEnd w:id="109"/>
      <w:bookmarkEnd w:id="110"/>
      <w:bookmarkEnd w:id="111"/>
    </w:p>
    <w:p w14:paraId="4FA8C8BD">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1.3.1</w:t>
      </w:r>
      <w:r>
        <w:rPr>
          <w:rFonts w:hint="eastAsia" w:ascii="宋体" w:hAnsi="宋体"/>
          <w:color w:val="auto"/>
          <w:szCs w:val="22"/>
          <w:highlight w:val="none"/>
        </w:rPr>
        <w:t>招标范围：见投标人须知前附表。</w:t>
      </w:r>
    </w:p>
    <w:p w14:paraId="58134317">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1.3.2</w:t>
      </w:r>
      <w:r>
        <w:rPr>
          <w:rFonts w:hint="eastAsia" w:ascii="宋体" w:hAnsi="宋体"/>
          <w:color w:val="auto"/>
          <w:szCs w:val="22"/>
          <w:highlight w:val="none"/>
        </w:rPr>
        <w:t>服务期限：见投标人须知前附表。</w:t>
      </w:r>
    </w:p>
    <w:p w14:paraId="58289EBD">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 xml:space="preserve">1.3.3 </w:t>
      </w:r>
      <w:r>
        <w:rPr>
          <w:rFonts w:hint="eastAsia" w:ascii="宋体" w:hAnsi="宋体"/>
          <w:color w:val="auto"/>
          <w:szCs w:val="22"/>
          <w:highlight w:val="none"/>
        </w:rPr>
        <w:t>质量标准：见投标人须知前附表。</w:t>
      </w:r>
    </w:p>
    <w:p w14:paraId="0877BF85">
      <w:pPr>
        <w:keepNext/>
        <w:keepLines/>
        <w:spacing w:before="260" w:after="260"/>
        <w:ind w:firstLine="117" w:firstLineChars="49"/>
        <w:outlineLvl w:val="2"/>
        <w:rPr>
          <w:rFonts w:hint="eastAsia" w:ascii="宋体" w:hAnsi="宋体"/>
          <w:color w:val="auto"/>
          <w:sz w:val="24"/>
          <w:szCs w:val="20"/>
          <w:highlight w:val="none"/>
        </w:rPr>
      </w:pPr>
      <w:bookmarkStart w:id="112" w:name="_Toc29322"/>
      <w:bookmarkStart w:id="113" w:name="_Toc3993"/>
      <w:bookmarkStart w:id="114" w:name="_Toc9590363"/>
      <w:bookmarkStart w:id="115" w:name="_Toc5941"/>
      <w:bookmarkStart w:id="116" w:name="_Toc5160"/>
      <w:bookmarkStart w:id="117" w:name="_Toc14156"/>
      <w:bookmarkStart w:id="118" w:name="_Toc5382"/>
      <w:bookmarkStart w:id="119" w:name="_Toc6052"/>
      <w:r>
        <w:rPr>
          <w:rFonts w:ascii="宋体" w:hAnsi="宋体"/>
          <w:color w:val="auto"/>
          <w:sz w:val="24"/>
          <w:szCs w:val="20"/>
          <w:highlight w:val="none"/>
        </w:rPr>
        <w:t>1.4</w:t>
      </w:r>
      <w:r>
        <w:rPr>
          <w:rFonts w:hint="eastAsia" w:ascii="宋体" w:hAnsi="宋体"/>
          <w:color w:val="auto"/>
          <w:sz w:val="24"/>
          <w:szCs w:val="20"/>
          <w:highlight w:val="none"/>
        </w:rPr>
        <w:t>投标人资格要求</w:t>
      </w:r>
      <w:bookmarkEnd w:id="112"/>
      <w:bookmarkEnd w:id="113"/>
      <w:bookmarkEnd w:id="114"/>
      <w:bookmarkEnd w:id="115"/>
      <w:bookmarkEnd w:id="116"/>
      <w:bookmarkEnd w:id="117"/>
      <w:bookmarkEnd w:id="118"/>
      <w:bookmarkEnd w:id="119"/>
    </w:p>
    <w:p w14:paraId="60940100">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1.4.1</w:t>
      </w:r>
      <w:r>
        <w:rPr>
          <w:rFonts w:hint="eastAsia" w:ascii="宋体" w:hAnsi="宋体"/>
          <w:color w:val="auto"/>
          <w:szCs w:val="22"/>
          <w:highlight w:val="none"/>
        </w:rPr>
        <w:t>投标人应具备承担本招标项目资质条件、能力和信誉，具体详见招标公告。</w:t>
      </w:r>
    </w:p>
    <w:p w14:paraId="350F6491">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1.</w:t>
      </w:r>
      <w:r>
        <w:rPr>
          <w:rFonts w:ascii="宋体" w:hAnsi="宋体"/>
          <w:color w:val="auto"/>
          <w:szCs w:val="22"/>
          <w:highlight w:val="none"/>
        </w:rPr>
        <w:t>4</w:t>
      </w:r>
      <w:r>
        <w:rPr>
          <w:rFonts w:hint="eastAsia" w:ascii="宋体" w:hAnsi="宋体"/>
          <w:color w:val="auto"/>
          <w:szCs w:val="22"/>
          <w:highlight w:val="none"/>
        </w:rPr>
        <w:t>.</w:t>
      </w:r>
      <w:r>
        <w:rPr>
          <w:rFonts w:ascii="宋体" w:hAnsi="宋体"/>
          <w:color w:val="auto"/>
          <w:szCs w:val="22"/>
          <w:highlight w:val="none"/>
        </w:rPr>
        <w:t>2</w:t>
      </w:r>
      <w:r>
        <w:rPr>
          <w:rFonts w:hint="eastAsia" w:ascii="宋体" w:hAnsi="宋体"/>
          <w:color w:val="auto"/>
          <w:szCs w:val="22"/>
          <w:highlight w:val="none"/>
        </w:rPr>
        <w:t>本项目接受联合体投标。</w:t>
      </w:r>
    </w:p>
    <w:p w14:paraId="4D1559E5">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1.4.3</w:t>
      </w:r>
      <w:r>
        <w:rPr>
          <w:rFonts w:hint="eastAsia" w:ascii="宋体" w:hAnsi="宋体"/>
          <w:color w:val="auto"/>
          <w:szCs w:val="21"/>
          <w:highlight w:val="none"/>
        </w:rPr>
        <w:t>投标人不得存在下列情形之一：</w:t>
      </w:r>
    </w:p>
    <w:p w14:paraId="7C35EED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（1）为招标人不具有独立法人资格的附属机构（单位）；</w:t>
      </w:r>
    </w:p>
    <w:p w14:paraId="4324F72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（2）为本标段前期准备提供设计或咨询服务或者与本项目设计人或提供咨询服务的机构存在附属关系的；</w:t>
      </w:r>
    </w:p>
    <w:p w14:paraId="527A69B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（3）为本项目监理人或者与本项目监理人存在隶属关系或者其他利害关系；</w:t>
      </w:r>
    </w:p>
    <w:p w14:paraId="0FEFC3B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（4）为本标段的代建人；</w:t>
      </w:r>
    </w:p>
    <w:p w14:paraId="53AB1F0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（5）为本标段提供招标代理服务的；</w:t>
      </w:r>
    </w:p>
    <w:p w14:paraId="11BD628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（6）与本标段的招标代理机构同为一个法定代表人的；</w:t>
      </w:r>
    </w:p>
    <w:p w14:paraId="0EC445F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（7）与本标段的招标代理机构互相控股或参股的；</w:t>
      </w:r>
    </w:p>
    <w:p w14:paraId="655CE14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（8）与本标段的招标代理机构相互任职或工作的；</w:t>
      </w:r>
    </w:p>
    <w:p w14:paraId="209FA44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（9）与本标段的检测机构有隶属关系或者其他利害关系；</w:t>
      </w:r>
    </w:p>
    <w:p w14:paraId="4DE4496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（10）与招标人存在利害关系且可能影响招标公正性；</w:t>
      </w:r>
    </w:p>
    <w:p w14:paraId="4F3CAA6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（11）与本标段的其他投标人为同一个单位负责人；</w:t>
      </w:r>
    </w:p>
    <w:p w14:paraId="113F514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（12）与本标段的其他投标人存在控股、管理关系；</w:t>
      </w:r>
    </w:p>
    <w:p w14:paraId="63EEE62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13）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3F76005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（14）被责令停产停业、暂扣或者吊销许可证、暂扣或者吊销执照的（本项事实应当以根据《中华人民共和国行政处罚法》依法作出并已经生效的行政处罚决定为认定依据）；</w:t>
      </w:r>
    </w:p>
    <w:p w14:paraId="3DA5B65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（15）进入清算程序，或被宣布破产，或其他丧失履约能力的情形；</w:t>
      </w:r>
    </w:p>
    <w:p w14:paraId="29D5DA5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（16）存在大额诉讼或多宗诉讼或其他违法、违约等影响本次招标项目正常履行的情形；</w:t>
      </w:r>
    </w:p>
    <w:p w14:paraId="768237E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17）曾与东莞市轨道一号线建设发展有限公司或东莞市轨道交通有限公司及其下属企业签订合同，且在履约过程中存在因本公司严重违约而导致合同中止、变更、解除或严重侵犯东莞市轨道一号线建设发展有限公司或东莞市轨道交通有限公司及其下属企业权益的行为；</w:t>
      </w:r>
    </w:p>
    <w:p w14:paraId="36728E5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（18）正在与东莞市轨道一号线建设发展有限公司或东莞市轨道交通有限公司及其下属企业发生诉讼；</w:t>
      </w:r>
    </w:p>
    <w:p w14:paraId="7296C9D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19）在最近三年内有骗取中标或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3502CB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（20）被工商行政管理机关在全国企业信用信息公示系统中列入严重违法失信企业名单；</w:t>
      </w:r>
    </w:p>
    <w:p w14:paraId="0F9065A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（21）被最高人民法院在“信用中国”网站（www.creditchina.gov.cn）、“中国执行信息公开网”（zxgk.court.gov.cn）或各级信用信息共享平台中列入失信被执行人名单；</w:t>
      </w:r>
    </w:p>
    <w:p w14:paraId="7A4B276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（22）在近三年内投标人或其法定代表人、拟委派的项目负责人有行贿犯罪行为的；</w:t>
      </w:r>
    </w:p>
    <w:p w14:paraId="62B9D3A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23）在“信用中国”网站（www.creditchina.gov.cn）、“国家企业信用信息公示系统”（www.gsxt.gov.cn）等网站查询到存在失信主体信息，包括但不限于：企业经营异常名录、重大税收违法失信主体、列入严重违法失信名单等；</w:t>
      </w:r>
    </w:p>
    <w:p w14:paraId="0EBB7B3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（24）本公司及其有隶属关系机构的相关人员，有参加本项目评标委员会；</w:t>
      </w:r>
    </w:p>
    <w:p w14:paraId="7D9FFC6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（25）招标文件第二章“投标人须知”第“1.4.3”项规定的任何一种情形。</w:t>
      </w:r>
    </w:p>
    <w:p w14:paraId="3DB96793">
      <w:pPr>
        <w:keepNext/>
        <w:keepLines/>
        <w:spacing w:before="260" w:after="260"/>
        <w:ind w:firstLine="117" w:firstLineChars="49"/>
        <w:outlineLvl w:val="2"/>
        <w:rPr>
          <w:rFonts w:hint="eastAsia" w:ascii="宋体" w:hAnsi="宋体"/>
          <w:color w:val="auto"/>
          <w:sz w:val="24"/>
          <w:szCs w:val="20"/>
          <w:highlight w:val="none"/>
        </w:rPr>
      </w:pPr>
      <w:bookmarkStart w:id="120" w:name="_Toc2309"/>
      <w:bookmarkStart w:id="121" w:name="_Toc25647"/>
      <w:bookmarkStart w:id="122" w:name="_Toc29825"/>
      <w:bookmarkStart w:id="123" w:name="_Toc21328"/>
      <w:bookmarkStart w:id="124" w:name="_Toc26986"/>
      <w:bookmarkStart w:id="125" w:name="_Toc15974"/>
      <w:bookmarkStart w:id="126" w:name="_Toc18453"/>
      <w:bookmarkStart w:id="127" w:name="_Toc9590364"/>
      <w:r>
        <w:rPr>
          <w:rFonts w:ascii="宋体" w:hAnsi="宋体"/>
          <w:color w:val="auto"/>
          <w:sz w:val="24"/>
          <w:szCs w:val="20"/>
          <w:highlight w:val="none"/>
        </w:rPr>
        <w:t>1.5</w:t>
      </w:r>
      <w:r>
        <w:rPr>
          <w:rFonts w:hint="eastAsia" w:ascii="宋体" w:hAnsi="宋体"/>
          <w:color w:val="auto"/>
          <w:sz w:val="24"/>
          <w:szCs w:val="20"/>
          <w:highlight w:val="none"/>
        </w:rPr>
        <w:t>费用承担</w:t>
      </w:r>
      <w:bookmarkEnd w:id="120"/>
      <w:bookmarkEnd w:id="121"/>
      <w:bookmarkEnd w:id="122"/>
      <w:bookmarkEnd w:id="123"/>
      <w:bookmarkEnd w:id="124"/>
      <w:bookmarkEnd w:id="125"/>
      <w:bookmarkEnd w:id="126"/>
      <w:bookmarkEnd w:id="127"/>
    </w:p>
    <w:p w14:paraId="1682E98C">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投标人准备和参加投标活动发生的费用自理。</w:t>
      </w:r>
    </w:p>
    <w:p w14:paraId="7011A484">
      <w:pPr>
        <w:keepNext/>
        <w:keepLines/>
        <w:spacing w:before="260" w:after="260"/>
        <w:ind w:firstLine="117" w:firstLineChars="49"/>
        <w:outlineLvl w:val="2"/>
        <w:rPr>
          <w:rFonts w:hint="eastAsia" w:ascii="宋体" w:hAnsi="宋体"/>
          <w:color w:val="auto"/>
          <w:sz w:val="24"/>
          <w:szCs w:val="20"/>
          <w:highlight w:val="none"/>
        </w:rPr>
      </w:pPr>
      <w:bookmarkStart w:id="128" w:name="_Toc21724"/>
      <w:bookmarkStart w:id="129" w:name="_Toc2695"/>
      <w:bookmarkStart w:id="130" w:name="_Toc13675"/>
      <w:bookmarkStart w:id="131" w:name="_Toc32630"/>
      <w:bookmarkStart w:id="132" w:name="_Toc6783"/>
      <w:bookmarkStart w:id="133" w:name="_Toc9590365"/>
      <w:bookmarkStart w:id="134" w:name="_Toc6740"/>
      <w:bookmarkStart w:id="135" w:name="_Toc27787"/>
      <w:r>
        <w:rPr>
          <w:rFonts w:ascii="宋体" w:hAnsi="宋体"/>
          <w:color w:val="auto"/>
          <w:sz w:val="24"/>
          <w:szCs w:val="20"/>
          <w:highlight w:val="none"/>
        </w:rPr>
        <w:t>1.6</w:t>
      </w:r>
      <w:r>
        <w:rPr>
          <w:rFonts w:hint="eastAsia" w:ascii="宋体" w:hAnsi="宋体"/>
          <w:color w:val="auto"/>
          <w:sz w:val="24"/>
          <w:szCs w:val="20"/>
          <w:highlight w:val="none"/>
        </w:rPr>
        <w:t>保密</w:t>
      </w:r>
      <w:bookmarkEnd w:id="128"/>
      <w:bookmarkEnd w:id="129"/>
      <w:bookmarkEnd w:id="130"/>
      <w:bookmarkEnd w:id="131"/>
      <w:bookmarkEnd w:id="132"/>
      <w:bookmarkEnd w:id="133"/>
      <w:bookmarkEnd w:id="134"/>
      <w:bookmarkEnd w:id="135"/>
    </w:p>
    <w:p w14:paraId="099D4102">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参与招标投标活动的各方应对招标文件和投标文件中的商业和技术等秘密保密，否则应承担相应的法律责任。</w:t>
      </w:r>
    </w:p>
    <w:p w14:paraId="17E34533">
      <w:pPr>
        <w:keepNext/>
        <w:keepLines/>
        <w:spacing w:before="260" w:after="260"/>
        <w:ind w:firstLine="117" w:firstLineChars="49"/>
        <w:outlineLvl w:val="2"/>
        <w:rPr>
          <w:rFonts w:hint="eastAsia" w:ascii="宋体" w:hAnsi="宋体"/>
          <w:color w:val="auto"/>
          <w:sz w:val="24"/>
          <w:szCs w:val="20"/>
          <w:highlight w:val="none"/>
        </w:rPr>
      </w:pPr>
      <w:bookmarkStart w:id="136" w:name="_Toc30170"/>
      <w:bookmarkStart w:id="137" w:name="_Toc16971"/>
      <w:bookmarkStart w:id="138" w:name="_Toc15709"/>
      <w:bookmarkStart w:id="139" w:name="_Toc29120"/>
      <w:bookmarkStart w:id="140" w:name="_Toc9590366"/>
      <w:bookmarkStart w:id="141" w:name="_Toc19489"/>
      <w:bookmarkStart w:id="142" w:name="_Toc4725"/>
      <w:bookmarkStart w:id="143" w:name="_Toc10091"/>
      <w:r>
        <w:rPr>
          <w:rFonts w:ascii="宋体" w:hAnsi="宋体"/>
          <w:color w:val="auto"/>
          <w:sz w:val="24"/>
          <w:szCs w:val="20"/>
          <w:highlight w:val="none"/>
        </w:rPr>
        <w:t>1.7</w:t>
      </w:r>
      <w:r>
        <w:rPr>
          <w:rFonts w:hint="eastAsia" w:ascii="宋体" w:hAnsi="宋体"/>
          <w:color w:val="auto"/>
          <w:sz w:val="24"/>
          <w:szCs w:val="20"/>
          <w:highlight w:val="none"/>
        </w:rPr>
        <w:t>语言文字</w:t>
      </w:r>
      <w:bookmarkEnd w:id="136"/>
      <w:bookmarkEnd w:id="137"/>
      <w:bookmarkEnd w:id="138"/>
      <w:bookmarkEnd w:id="139"/>
      <w:bookmarkEnd w:id="140"/>
      <w:bookmarkEnd w:id="141"/>
      <w:bookmarkEnd w:id="142"/>
      <w:bookmarkEnd w:id="143"/>
    </w:p>
    <w:p w14:paraId="00A328EC">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招标投标文件使用的语言文字为中文。专用术语使用外文的，应附有中文注释。</w:t>
      </w:r>
    </w:p>
    <w:p w14:paraId="1A917A14">
      <w:pPr>
        <w:keepNext/>
        <w:keepLines/>
        <w:spacing w:before="260" w:after="260"/>
        <w:ind w:firstLine="117" w:firstLineChars="49"/>
        <w:outlineLvl w:val="2"/>
        <w:rPr>
          <w:rFonts w:hint="eastAsia" w:ascii="宋体" w:hAnsi="宋体"/>
          <w:color w:val="auto"/>
          <w:sz w:val="24"/>
          <w:szCs w:val="20"/>
          <w:highlight w:val="none"/>
        </w:rPr>
      </w:pPr>
      <w:bookmarkStart w:id="144" w:name="_Toc22431"/>
      <w:bookmarkStart w:id="145" w:name="_Toc23347"/>
      <w:bookmarkStart w:id="146" w:name="_Toc9590367"/>
      <w:bookmarkStart w:id="147" w:name="_Toc10710"/>
      <w:bookmarkStart w:id="148" w:name="_Toc2608"/>
      <w:bookmarkStart w:id="149" w:name="_Toc15492"/>
      <w:bookmarkStart w:id="150" w:name="_Toc11286"/>
      <w:bookmarkStart w:id="151" w:name="_Toc6240"/>
      <w:r>
        <w:rPr>
          <w:rFonts w:ascii="宋体" w:hAnsi="宋体"/>
          <w:color w:val="auto"/>
          <w:sz w:val="24"/>
          <w:szCs w:val="20"/>
          <w:highlight w:val="none"/>
        </w:rPr>
        <w:t>1.8</w:t>
      </w:r>
      <w:r>
        <w:rPr>
          <w:rFonts w:hint="eastAsia" w:ascii="宋体" w:hAnsi="宋体"/>
          <w:color w:val="auto"/>
          <w:sz w:val="24"/>
          <w:szCs w:val="20"/>
          <w:highlight w:val="none"/>
        </w:rPr>
        <w:t>计量单位</w:t>
      </w:r>
      <w:bookmarkEnd w:id="144"/>
      <w:bookmarkEnd w:id="145"/>
      <w:bookmarkEnd w:id="146"/>
      <w:bookmarkEnd w:id="147"/>
      <w:bookmarkEnd w:id="148"/>
      <w:bookmarkEnd w:id="149"/>
      <w:bookmarkEnd w:id="150"/>
      <w:bookmarkEnd w:id="151"/>
    </w:p>
    <w:p w14:paraId="4734C35A">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所有计量均采用中华人民共和国法定计量单位。</w:t>
      </w:r>
    </w:p>
    <w:p w14:paraId="33AC7030">
      <w:pPr>
        <w:keepNext/>
        <w:keepLines/>
        <w:spacing w:before="260" w:after="260"/>
        <w:ind w:firstLine="117" w:firstLineChars="49"/>
        <w:outlineLvl w:val="2"/>
        <w:rPr>
          <w:rFonts w:hint="eastAsia" w:ascii="宋体" w:hAnsi="宋体"/>
          <w:color w:val="auto"/>
          <w:sz w:val="24"/>
          <w:szCs w:val="20"/>
          <w:highlight w:val="none"/>
        </w:rPr>
      </w:pPr>
      <w:bookmarkStart w:id="152" w:name="_Toc9590368"/>
      <w:bookmarkStart w:id="153" w:name="_Toc19188"/>
      <w:bookmarkStart w:id="154" w:name="_Toc3511"/>
      <w:bookmarkStart w:id="155" w:name="_Toc18096"/>
      <w:bookmarkStart w:id="156" w:name="_Toc23045"/>
      <w:bookmarkStart w:id="157" w:name="_Toc32262"/>
      <w:bookmarkStart w:id="158" w:name="_Toc14563"/>
      <w:bookmarkStart w:id="159" w:name="_Toc1813"/>
      <w:r>
        <w:rPr>
          <w:rFonts w:ascii="宋体" w:hAnsi="宋体"/>
          <w:color w:val="auto"/>
          <w:sz w:val="24"/>
          <w:szCs w:val="20"/>
          <w:highlight w:val="none"/>
        </w:rPr>
        <w:t>1.9</w:t>
      </w:r>
      <w:r>
        <w:rPr>
          <w:rFonts w:hint="eastAsia" w:ascii="宋体" w:hAnsi="宋体"/>
          <w:color w:val="auto"/>
          <w:sz w:val="24"/>
          <w:szCs w:val="20"/>
          <w:highlight w:val="none"/>
        </w:rPr>
        <w:t>踏勘现场</w:t>
      </w:r>
      <w:bookmarkEnd w:id="152"/>
      <w:bookmarkEnd w:id="153"/>
      <w:bookmarkEnd w:id="154"/>
      <w:bookmarkEnd w:id="155"/>
      <w:bookmarkEnd w:id="156"/>
      <w:bookmarkEnd w:id="157"/>
      <w:bookmarkEnd w:id="158"/>
      <w:bookmarkEnd w:id="159"/>
    </w:p>
    <w:p w14:paraId="31E10836">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1.9.1</w:t>
      </w:r>
      <w:r>
        <w:rPr>
          <w:rFonts w:hint="eastAsia" w:ascii="宋体" w:hAnsi="宋体"/>
          <w:color w:val="auto"/>
          <w:szCs w:val="21"/>
          <w:highlight w:val="none"/>
        </w:rPr>
        <w:t>不统一组织踏勘现场，投标人可根据需要自行到项目现场进行踏勘。</w:t>
      </w:r>
    </w:p>
    <w:p w14:paraId="1D05F37C">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1.9.2</w:t>
      </w:r>
      <w:r>
        <w:rPr>
          <w:rFonts w:hint="eastAsia" w:ascii="宋体" w:hAnsi="宋体"/>
          <w:color w:val="auto"/>
          <w:szCs w:val="21"/>
          <w:highlight w:val="none"/>
        </w:rPr>
        <w:t>投标人踏勘现场发生的费用自理。</w:t>
      </w:r>
    </w:p>
    <w:p w14:paraId="08FE6791">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1.9.3</w:t>
      </w:r>
      <w:r>
        <w:rPr>
          <w:rFonts w:hint="eastAsia" w:ascii="宋体" w:hAnsi="宋体"/>
          <w:color w:val="auto"/>
          <w:szCs w:val="21"/>
          <w:highlight w:val="none"/>
        </w:rPr>
        <w:t>除招标人的原因外，投标人自行负责在踏勘现场中所发生的人员伤亡和财产损失。</w:t>
      </w:r>
    </w:p>
    <w:p w14:paraId="3C9155FB">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1.9.4</w:t>
      </w:r>
      <w:r>
        <w:rPr>
          <w:rFonts w:hint="eastAsia" w:ascii="宋体" w:hAnsi="宋体"/>
          <w:color w:val="auto"/>
          <w:szCs w:val="21"/>
          <w:highlight w:val="none"/>
        </w:rPr>
        <w:t>招标人在踏勘现场中介绍的工程场地和相关的周边环境情况，供投标人在编制投标文件时参考，招标人不对投标人据此作出的判断和决策负责。</w:t>
      </w:r>
    </w:p>
    <w:p w14:paraId="741371EF">
      <w:pPr>
        <w:keepNext/>
        <w:keepLines/>
        <w:spacing w:before="260" w:after="260"/>
        <w:ind w:firstLine="117" w:firstLineChars="49"/>
        <w:outlineLvl w:val="2"/>
        <w:rPr>
          <w:rFonts w:hint="eastAsia" w:ascii="宋体" w:hAnsi="宋体"/>
          <w:color w:val="auto"/>
          <w:sz w:val="24"/>
          <w:szCs w:val="20"/>
          <w:highlight w:val="none"/>
        </w:rPr>
      </w:pPr>
      <w:bookmarkStart w:id="160" w:name="_Toc7973"/>
      <w:bookmarkStart w:id="161" w:name="_Toc113"/>
      <w:bookmarkStart w:id="162" w:name="_Toc9590369"/>
      <w:bookmarkStart w:id="163" w:name="_Toc20141"/>
      <w:bookmarkStart w:id="164" w:name="_Toc21135"/>
      <w:bookmarkStart w:id="165" w:name="_Toc6732"/>
      <w:bookmarkStart w:id="166" w:name="_Toc23076"/>
      <w:bookmarkStart w:id="167" w:name="_Toc11050"/>
      <w:r>
        <w:rPr>
          <w:rFonts w:ascii="宋体" w:hAnsi="宋体"/>
          <w:color w:val="auto"/>
          <w:sz w:val="24"/>
          <w:szCs w:val="20"/>
          <w:highlight w:val="none"/>
        </w:rPr>
        <w:t>1.10</w:t>
      </w:r>
      <w:r>
        <w:rPr>
          <w:rFonts w:hint="eastAsia" w:ascii="宋体" w:hAnsi="宋体"/>
          <w:color w:val="auto"/>
          <w:sz w:val="24"/>
          <w:szCs w:val="20"/>
          <w:highlight w:val="none"/>
        </w:rPr>
        <w:t>投标预备会</w:t>
      </w:r>
      <w:bookmarkEnd w:id="160"/>
      <w:bookmarkEnd w:id="161"/>
      <w:bookmarkEnd w:id="162"/>
      <w:bookmarkEnd w:id="163"/>
      <w:bookmarkEnd w:id="164"/>
      <w:bookmarkEnd w:id="165"/>
      <w:bookmarkEnd w:id="166"/>
      <w:bookmarkEnd w:id="167"/>
    </w:p>
    <w:p w14:paraId="18C17AC5">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不召开。</w:t>
      </w:r>
    </w:p>
    <w:p w14:paraId="183C4CE2">
      <w:pPr>
        <w:keepNext/>
        <w:keepLines/>
        <w:spacing w:before="260" w:after="260"/>
        <w:ind w:firstLine="117" w:firstLineChars="49"/>
        <w:outlineLvl w:val="2"/>
        <w:rPr>
          <w:rFonts w:hint="eastAsia" w:ascii="宋体" w:hAnsi="宋体"/>
          <w:color w:val="auto"/>
          <w:sz w:val="24"/>
          <w:szCs w:val="20"/>
          <w:highlight w:val="none"/>
        </w:rPr>
      </w:pPr>
      <w:bookmarkStart w:id="168" w:name="_Toc4158"/>
      <w:bookmarkStart w:id="169" w:name="_Toc18252"/>
      <w:bookmarkStart w:id="170" w:name="_Toc14513"/>
      <w:bookmarkStart w:id="171" w:name="_Toc9590370"/>
      <w:bookmarkStart w:id="172" w:name="_Toc12281"/>
      <w:bookmarkStart w:id="173" w:name="_Toc27231"/>
      <w:bookmarkStart w:id="174" w:name="_Toc20050"/>
      <w:bookmarkStart w:id="175" w:name="_Toc25943"/>
      <w:r>
        <w:rPr>
          <w:rFonts w:ascii="宋体" w:hAnsi="宋体"/>
          <w:color w:val="auto"/>
          <w:sz w:val="24"/>
          <w:szCs w:val="20"/>
          <w:highlight w:val="none"/>
        </w:rPr>
        <w:t>1.11</w:t>
      </w:r>
      <w:r>
        <w:rPr>
          <w:rFonts w:hint="eastAsia" w:ascii="宋体" w:hAnsi="宋体"/>
          <w:color w:val="auto"/>
          <w:sz w:val="24"/>
          <w:szCs w:val="20"/>
          <w:highlight w:val="none"/>
        </w:rPr>
        <w:t>分包</w:t>
      </w:r>
      <w:bookmarkEnd w:id="168"/>
      <w:bookmarkEnd w:id="169"/>
      <w:bookmarkEnd w:id="170"/>
      <w:bookmarkEnd w:id="171"/>
      <w:bookmarkEnd w:id="172"/>
      <w:bookmarkEnd w:id="173"/>
      <w:bookmarkEnd w:id="174"/>
      <w:bookmarkEnd w:id="175"/>
    </w:p>
    <w:p w14:paraId="2FFF9811">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1.11.1本项目不允许分包。</w:t>
      </w:r>
    </w:p>
    <w:p w14:paraId="2FB37FD0">
      <w:pPr>
        <w:keepNext/>
        <w:keepLines/>
        <w:spacing w:before="260" w:after="260"/>
        <w:ind w:firstLine="117" w:firstLineChars="49"/>
        <w:outlineLvl w:val="2"/>
        <w:rPr>
          <w:rFonts w:hint="eastAsia" w:ascii="宋体" w:hAnsi="宋体"/>
          <w:color w:val="auto"/>
          <w:sz w:val="24"/>
          <w:szCs w:val="20"/>
          <w:highlight w:val="none"/>
        </w:rPr>
      </w:pPr>
      <w:bookmarkStart w:id="176" w:name="_Toc9590371"/>
      <w:bookmarkStart w:id="177" w:name="_Toc23533"/>
      <w:bookmarkStart w:id="178" w:name="_Toc19236"/>
      <w:bookmarkStart w:id="179" w:name="_Toc26421"/>
      <w:bookmarkStart w:id="180" w:name="_Toc18630"/>
      <w:bookmarkStart w:id="181" w:name="_Toc13524"/>
      <w:bookmarkStart w:id="182" w:name="_Toc18470"/>
      <w:bookmarkStart w:id="183" w:name="_Toc9632"/>
      <w:r>
        <w:rPr>
          <w:rFonts w:ascii="宋体" w:hAnsi="宋体"/>
          <w:color w:val="auto"/>
          <w:sz w:val="24"/>
          <w:szCs w:val="20"/>
          <w:highlight w:val="none"/>
        </w:rPr>
        <w:t>1.12</w:t>
      </w:r>
      <w:r>
        <w:rPr>
          <w:rFonts w:hint="eastAsia" w:ascii="宋体" w:hAnsi="宋体"/>
          <w:color w:val="auto"/>
          <w:sz w:val="24"/>
          <w:szCs w:val="20"/>
          <w:highlight w:val="none"/>
        </w:rPr>
        <w:t>响应和偏差</w:t>
      </w:r>
      <w:bookmarkEnd w:id="176"/>
      <w:bookmarkEnd w:id="177"/>
      <w:bookmarkEnd w:id="178"/>
      <w:bookmarkEnd w:id="179"/>
      <w:bookmarkEnd w:id="180"/>
      <w:bookmarkEnd w:id="181"/>
      <w:bookmarkEnd w:id="182"/>
      <w:bookmarkEnd w:id="183"/>
    </w:p>
    <w:p w14:paraId="7014C66C">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1.12.1</w:t>
      </w:r>
      <w:r>
        <w:rPr>
          <w:rFonts w:hint="eastAsia" w:ascii="宋体" w:hAnsi="宋体"/>
          <w:color w:val="auto"/>
          <w:szCs w:val="21"/>
          <w:highlight w:val="none"/>
        </w:rPr>
        <w:t>投标人应根据招标文件的要求提供</w:t>
      </w:r>
      <w:r>
        <w:rPr>
          <w:rFonts w:hint="eastAsia" w:ascii="宋体" w:hAnsi="宋体"/>
          <w:color w:val="auto"/>
          <w:szCs w:val="22"/>
          <w:highlight w:val="none"/>
        </w:rPr>
        <w:t>投标技术部分等内容以对招标文件作出响应。</w:t>
      </w:r>
    </w:p>
    <w:p w14:paraId="680D3A74">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1.12.2</w:t>
      </w:r>
      <w:r>
        <w:rPr>
          <w:rFonts w:hint="eastAsia" w:ascii="宋体" w:hAnsi="宋体"/>
          <w:color w:val="auto"/>
          <w:szCs w:val="22"/>
          <w:highlight w:val="none"/>
        </w:rPr>
        <w:t>投标人须知前附表允许投标文件偏离招标文件某些要求的，偏差应当符合招标文件规定的偏差范围和幅度。</w:t>
      </w:r>
    </w:p>
    <w:p w14:paraId="10A56098">
      <w:pPr>
        <w:keepNext/>
        <w:keepLines/>
        <w:adjustRightInd w:val="0"/>
        <w:spacing w:before="240" w:after="120"/>
        <w:textAlignment w:val="baseline"/>
        <w:outlineLvl w:val="1"/>
        <w:rPr>
          <w:rFonts w:hint="eastAsia" w:ascii="宋体" w:hAnsi="宋体"/>
          <w:b/>
          <w:color w:val="auto"/>
          <w:kern w:val="0"/>
          <w:sz w:val="28"/>
          <w:szCs w:val="20"/>
          <w:highlight w:val="none"/>
        </w:rPr>
      </w:pPr>
      <w:bookmarkStart w:id="184" w:name="_Toc19926"/>
      <w:bookmarkStart w:id="185" w:name="_Toc1521"/>
      <w:bookmarkStart w:id="186" w:name="_Toc22774"/>
      <w:bookmarkStart w:id="187" w:name="_Toc23524"/>
      <w:bookmarkStart w:id="188" w:name="_Toc30612"/>
      <w:bookmarkStart w:id="189" w:name="_Toc25612"/>
      <w:bookmarkStart w:id="190" w:name="_Toc4339"/>
      <w:bookmarkStart w:id="191" w:name="_Toc9590372"/>
      <w:bookmarkStart w:id="192" w:name="_Toc534"/>
      <w:bookmarkStart w:id="193" w:name="_Toc4101"/>
      <w:r>
        <w:rPr>
          <w:rFonts w:ascii="宋体" w:hAnsi="宋体"/>
          <w:b/>
          <w:color w:val="auto"/>
          <w:kern w:val="0"/>
          <w:sz w:val="28"/>
          <w:szCs w:val="20"/>
          <w:highlight w:val="none"/>
        </w:rPr>
        <w:t>2.</w:t>
      </w:r>
      <w:r>
        <w:rPr>
          <w:rFonts w:hint="eastAsia" w:ascii="宋体" w:hAnsi="宋体"/>
          <w:b/>
          <w:color w:val="auto"/>
          <w:kern w:val="0"/>
          <w:sz w:val="28"/>
          <w:szCs w:val="20"/>
          <w:highlight w:val="none"/>
        </w:rPr>
        <w:t>招标文件</w:t>
      </w:r>
      <w:bookmarkEnd w:id="184"/>
      <w:bookmarkEnd w:id="185"/>
      <w:bookmarkEnd w:id="186"/>
      <w:bookmarkEnd w:id="187"/>
      <w:bookmarkEnd w:id="188"/>
      <w:bookmarkEnd w:id="189"/>
      <w:bookmarkEnd w:id="190"/>
      <w:bookmarkEnd w:id="191"/>
      <w:bookmarkEnd w:id="192"/>
      <w:bookmarkEnd w:id="193"/>
    </w:p>
    <w:p w14:paraId="2ACBC2AB">
      <w:pPr>
        <w:keepNext/>
        <w:keepLines/>
        <w:spacing w:before="260" w:after="260"/>
        <w:ind w:firstLine="117" w:firstLineChars="49"/>
        <w:outlineLvl w:val="2"/>
        <w:rPr>
          <w:rFonts w:hint="eastAsia" w:ascii="宋体" w:hAnsi="宋体"/>
          <w:color w:val="auto"/>
          <w:sz w:val="24"/>
          <w:szCs w:val="20"/>
          <w:highlight w:val="none"/>
        </w:rPr>
      </w:pPr>
      <w:bookmarkStart w:id="194" w:name="_Toc2712"/>
      <w:bookmarkStart w:id="195" w:name="_Toc29471"/>
      <w:bookmarkStart w:id="196" w:name="_Toc29990"/>
      <w:bookmarkStart w:id="197" w:name="_Toc9590373"/>
      <w:bookmarkStart w:id="198" w:name="_Toc28864"/>
      <w:bookmarkStart w:id="199" w:name="_Toc22381"/>
      <w:bookmarkStart w:id="200" w:name="_Toc850"/>
      <w:bookmarkStart w:id="201" w:name="_Toc21471"/>
      <w:r>
        <w:rPr>
          <w:rFonts w:ascii="宋体" w:hAnsi="宋体"/>
          <w:color w:val="auto"/>
          <w:sz w:val="24"/>
          <w:szCs w:val="20"/>
          <w:highlight w:val="none"/>
        </w:rPr>
        <w:t>2.1</w:t>
      </w:r>
      <w:r>
        <w:rPr>
          <w:rFonts w:hint="eastAsia" w:ascii="宋体" w:hAnsi="宋体"/>
          <w:color w:val="auto"/>
          <w:sz w:val="24"/>
          <w:szCs w:val="20"/>
          <w:highlight w:val="none"/>
        </w:rPr>
        <w:t>招标文件的组成</w:t>
      </w:r>
      <w:bookmarkEnd w:id="194"/>
      <w:bookmarkEnd w:id="195"/>
      <w:bookmarkEnd w:id="196"/>
      <w:bookmarkEnd w:id="197"/>
      <w:bookmarkEnd w:id="198"/>
      <w:bookmarkEnd w:id="199"/>
      <w:bookmarkEnd w:id="200"/>
      <w:bookmarkEnd w:id="201"/>
    </w:p>
    <w:p w14:paraId="27E5A2DF">
      <w:pPr>
        <w:spacing w:line="400" w:lineRule="exact"/>
        <w:ind w:firstLine="359" w:firstLineChars="171"/>
        <w:rPr>
          <w:rFonts w:hint="eastAsia" w:ascii="宋体" w:hAnsi="宋体"/>
          <w:color w:val="auto"/>
          <w:szCs w:val="22"/>
          <w:highlight w:val="none"/>
        </w:rPr>
      </w:pPr>
      <w:r>
        <w:rPr>
          <w:rFonts w:hint="eastAsia" w:ascii="宋体" w:hAnsi="宋体"/>
          <w:color w:val="auto"/>
          <w:szCs w:val="22"/>
          <w:highlight w:val="none"/>
        </w:rPr>
        <w:t>本招标文件包括：</w:t>
      </w:r>
    </w:p>
    <w:p w14:paraId="1956CC6D">
      <w:pPr>
        <w:spacing w:line="400" w:lineRule="exact"/>
        <w:ind w:firstLine="359" w:firstLineChars="171"/>
        <w:rPr>
          <w:rFonts w:hint="eastAsia"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1</w:t>
      </w:r>
      <w:r>
        <w:rPr>
          <w:rFonts w:hint="eastAsia" w:ascii="宋体" w:hAnsi="宋体"/>
          <w:color w:val="auto"/>
          <w:szCs w:val="22"/>
          <w:highlight w:val="none"/>
        </w:rPr>
        <w:t>）招标公告；</w:t>
      </w:r>
    </w:p>
    <w:p w14:paraId="2AAC6BDD">
      <w:pPr>
        <w:spacing w:line="400" w:lineRule="exact"/>
        <w:ind w:firstLine="359" w:firstLineChars="171"/>
        <w:rPr>
          <w:rFonts w:hint="eastAsia"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2</w:t>
      </w:r>
      <w:r>
        <w:rPr>
          <w:rFonts w:hint="eastAsia" w:ascii="宋体" w:hAnsi="宋体"/>
          <w:color w:val="auto"/>
          <w:szCs w:val="22"/>
          <w:highlight w:val="none"/>
        </w:rPr>
        <w:t>）投标人须知；</w:t>
      </w:r>
    </w:p>
    <w:p w14:paraId="5AF5A198">
      <w:pPr>
        <w:spacing w:line="400" w:lineRule="exact"/>
        <w:ind w:firstLine="359" w:firstLineChars="171"/>
        <w:rPr>
          <w:rFonts w:hint="eastAsia"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3</w:t>
      </w:r>
      <w:r>
        <w:rPr>
          <w:rFonts w:hint="eastAsia" w:ascii="宋体" w:hAnsi="宋体"/>
          <w:color w:val="auto"/>
          <w:szCs w:val="22"/>
          <w:highlight w:val="none"/>
        </w:rPr>
        <w:t>）评标办法；</w:t>
      </w:r>
    </w:p>
    <w:p w14:paraId="35578D49">
      <w:pPr>
        <w:spacing w:line="400" w:lineRule="exact"/>
        <w:ind w:firstLine="359" w:firstLineChars="171"/>
        <w:rPr>
          <w:rFonts w:hint="eastAsia"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4</w:t>
      </w:r>
      <w:r>
        <w:rPr>
          <w:rFonts w:hint="eastAsia" w:ascii="宋体" w:hAnsi="宋体"/>
          <w:color w:val="auto"/>
          <w:szCs w:val="22"/>
          <w:highlight w:val="none"/>
        </w:rPr>
        <w:t>）合同条款、格式及合同附件；</w:t>
      </w:r>
    </w:p>
    <w:p w14:paraId="4E16E793">
      <w:pPr>
        <w:spacing w:line="400" w:lineRule="exact"/>
        <w:ind w:firstLine="359" w:firstLineChars="171"/>
        <w:rPr>
          <w:rFonts w:hint="eastAsia"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5</w:t>
      </w:r>
      <w:r>
        <w:rPr>
          <w:rFonts w:hint="eastAsia" w:ascii="宋体" w:hAnsi="宋体"/>
          <w:color w:val="auto"/>
          <w:szCs w:val="22"/>
          <w:highlight w:val="none"/>
        </w:rPr>
        <w:t>）用户需求书；</w:t>
      </w:r>
    </w:p>
    <w:p w14:paraId="7628AD7C">
      <w:pPr>
        <w:spacing w:line="400" w:lineRule="exact"/>
        <w:ind w:firstLine="359" w:firstLineChars="171"/>
        <w:rPr>
          <w:rFonts w:hint="eastAsia"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6</w:t>
      </w:r>
      <w:r>
        <w:rPr>
          <w:rFonts w:hint="eastAsia" w:ascii="宋体" w:hAnsi="宋体"/>
          <w:color w:val="auto"/>
          <w:szCs w:val="22"/>
          <w:highlight w:val="none"/>
        </w:rPr>
        <w:t>）投标文件格式；</w:t>
      </w:r>
    </w:p>
    <w:p w14:paraId="5A3C3B37">
      <w:pPr>
        <w:spacing w:line="400" w:lineRule="exact"/>
        <w:ind w:firstLine="359" w:firstLineChars="171"/>
        <w:rPr>
          <w:rFonts w:hint="eastAsia"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7</w:t>
      </w:r>
      <w:r>
        <w:rPr>
          <w:rFonts w:hint="eastAsia" w:ascii="宋体" w:hAnsi="宋体"/>
          <w:color w:val="auto"/>
          <w:szCs w:val="22"/>
          <w:highlight w:val="none"/>
        </w:rPr>
        <w:t>）投标人须知前附表规定的其他资料。</w:t>
      </w:r>
    </w:p>
    <w:p w14:paraId="43F955CD">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根据本章第</w:t>
      </w:r>
      <w:r>
        <w:rPr>
          <w:rFonts w:ascii="宋体" w:hAnsi="宋体"/>
          <w:color w:val="auto"/>
          <w:szCs w:val="22"/>
          <w:highlight w:val="none"/>
        </w:rPr>
        <w:t>2.2</w:t>
      </w:r>
      <w:r>
        <w:rPr>
          <w:rFonts w:hint="eastAsia" w:ascii="宋体" w:hAnsi="宋体"/>
          <w:color w:val="auto"/>
          <w:szCs w:val="22"/>
          <w:highlight w:val="none"/>
        </w:rPr>
        <w:t>款和第</w:t>
      </w:r>
      <w:r>
        <w:rPr>
          <w:rFonts w:ascii="宋体" w:hAnsi="宋体"/>
          <w:color w:val="auto"/>
          <w:szCs w:val="22"/>
          <w:highlight w:val="none"/>
        </w:rPr>
        <w:t>2.3</w:t>
      </w:r>
      <w:r>
        <w:rPr>
          <w:rFonts w:hint="eastAsia" w:ascii="宋体" w:hAnsi="宋体"/>
          <w:color w:val="auto"/>
          <w:szCs w:val="22"/>
          <w:highlight w:val="none"/>
        </w:rPr>
        <w:t>款对招标文件所作的澄清、修改，构成招标文件的组成部分。当招标文件、招标文件的澄清（答疑）、修改、补充等在同一内容的表述上不一致时，以最后发出的文件为准。</w:t>
      </w:r>
    </w:p>
    <w:p w14:paraId="7752B41D">
      <w:pPr>
        <w:keepNext/>
        <w:keepLines/>
        <w:spacing w:before="260" w:after="260"/>
        <w:ind w:firstLine="117" w:firstLineChars="49"/>
        <w:outlineLvl w:val="2"/>
        <w:rPr>
          <w:rFonts w:hint="eastAsia" w:ascii="宋体" w:hAnsi="宋体"/>
          <w:color w:val="auto"/>
          <w:sz w:val="24"/>
          <w:szCs w:val="20"/>
          <w:highlight w:val="none"/>
        </w:rPr>
      </w:pPr>
      <w:bookmarkStart w:id="202" w:name="_Toc26184"/>
      <w:bookmarkStart w:id="203" w:name="_Toc7241"/>
      <w:bookmarkStart w:id="204" w:name="_Toc2008"/>
      <w:bookmarkStart w:id="205" w:name="_Toc11381"/>
      <w:bookmarkStart w:id="206" w:name="_Toc9590374"/>
      <w:bookmarkStart w:id="207" w:name="_Toc1701"/>
      <w:bookmarkStart w:id="208" w:name="_Toc2211"/>
      <w:bookmarkStart w:id="209" w:name="_Toc28227"/>
      <w:r>
        <w:rPr>
          <w:rFonts w:ascii="宋体" w:hAnsi="宋体"/>
          <w:color w:val="auto"/>
          <w:sz w:val="24"/>
          <w:szCs w:val="20"/>
          <w:highlight w:val="none"/>
        </w:rPr>
        <w:t>2.2</w:t>
      </w:r>
      <w:r>
        <w:rPr>
          <w:rFonts w:hint="eastAsia" w:ascii="宋体" w:hAnsi="宋体"/>
          <w:color w:val="auto"/>
          <w:sz w:val="24"/>
          <w:szCs w:val="20"/>
          <w:highlight w:val="none"/>
        </w:rPr>
        <w:t>招标文件的澄清</w:t>
      </w:r>
      <w:bookmarkEnd w:id="202"/>
      <w:bookmarkEnd w:id="203"/>
      <w:bookmarkEnd w:id="204"/>
      <w:bookmarkEnd w:id="205"/>
      <w:bookmarkEnd w:id="206"/>
      <w:bookmarkEnd w:id="207"/>
      <w:bookmarkEnd w:id="208"/>
      <w:bookmarkEnd w:id="209"/>
    </w:p>
    <w:p w14:paraId="60A20216">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2.2.1</w:t>
      </w:r>
      <w:r>
        <w:rPr>
          <w:rFonts w:hint="eastAsia" w:ascii="宋体" w:hAnsi="宋体"/>
          <w:color w:val="auto"/>
          <w:szCs w:val="22"/>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79CD9606">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2.2.2</w:t>
      </w:r>
      <w:r>
        <w:rPr>
          <w:rFonts w:hint="eastAsia" w:ascii="宋体" w:hAnsi="宋体"/>
          <w:color w:val="auto"/>
          <w:szCs w:val="22"/>
          <w:highlight w:val="none"/>
        </w:rPr>
        <w:t>招标文件的澄清以投标人须知前附表规定的形式发给所有购买招标文件的投标人，但不指明澄清问题的来源。澄清发出的时间距本章第</w:t>
      </w:r>
      <w:r>
        <w:rPr>
          <w:rFonts w:ascii="宋体" w:hAnsi="宋体"/>
          <w:color w:val="auto"/>
          <w:szCs w:val="22"/>
          <w:highlight w:val="none"/>
        </w:rPr>
        <w:t>4.2.1</w:t>
      </w:r>
      <w:r>
        <w:rPr>
          <w:rFonts w:hint="eastAsia" w:ascii="宋体" w:hAnsi="宋体"/>
          <w:color w:val="auto"/>
          <w:szCs w:val="22"/>
          <w:highlight w:val="none"/>
        </w:rPr>
        <w:t>项规定的投标截止时间不足</w:t>
      </w:r>
      <w:r>
        <w:rPr>
          <w:rFonts w:ascii="宋体" w:hAnsi="宋体"/>
          <w:color w:val="auto"/>
          <w:szCs w:val="22"/>
          <w:highlight w:val="none"/>
        </w:rPr>
        <w:t>15</w:t>
      </w:r>
      <w:r>
        <w:rPr>
          <w:rFonts w:hint="eastAsia" w:ascii="宋体" w:hAnsi="宋体"/>
          <w:color w:val="auto"/>
          <w:szCs w:val="22"/>
          <w:highlight w:val="none"/>
        </w:rPr>
        <w:t>日的，并且澄清内容可能影响投标文件编制的，将相应延长投标截止时间。</w:t>
      </w:r>
    </w:p>
    <w:p w14:paraId="6B2C6813">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2.2.3</w:t>
      </w:r>
      <w:r>
        <w:rPr>
          <w:rFonts w:hint="eastAsia" w:ascii="宋体" w:hAnsi="宋体"/>
          <w:color w:val="auto"/>
          <w:szCs w:val="22"/>
          <w:highlight w:val="none"/>
        </w:rPr>
        <w:t>投标人在收到澄清后，应按投标人须知前附表规定的时间和形式通知招标人，确认已收到该澄清。</w:t>
      </w:r>
    </w:p>
    <w:p w14:paraId="32220196">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2.2.4</w:t>
      </w:r>
      <w:r>
        <w:rPr>
          <w:rFonts w:hint="eastAsia" w:ascii="宋体" w:hAnsi="宋体"/>
          <w:color w:val="auto"/>
          <w:szCs w:val="22"/>
          <w:highlight w:val="none"/>
        </w:rPr>
        <w:t>除非招标人认为确有必要答复，否则，招标人有权拒绝回复投标人在本章第</w:t>
      </w:r>
      <w:r>
        <w:rPr>
          <w:rFonts w:ascii="宋体" w:hAnsi="宋体"/>
          <w:color w:val="auto"/>
          <w:szCs w:val="22"/>
          <w:highlight w:val="none"/>
        </w:rPr>
        <w:t>2.2.1</w:t>
      </w:r>
      <w:r>
        <w:rPr>
          <w:rFonts w:hint="eastAsia" w:ascii="宋体" w:hAnsi="宋体"/>
          <w:color w:val="auto"/>
          <w:szCs w:val="22"/>
          <w:highlight w:val="none"/>
        </w:rPr>
        <w:t>项规定的时间后的任何澄清要求。</w:t>
      </w:r>
    </w:p>
    <w:p w14:paraId="74D6B069">
      <w:pPr>
        <w:keepNext/>
        <w:keepLines/>
        <w:spacing w:before="260" w:after="260"/>
        <w:ind w:firstLine="117" w:firstLineChars="49"/>
        <w:outlineLvl w:val="2"/>
        <w:rPr>
          <w:rFonts w:hint="eastAsia" w:ascii="宋体" w:hAnsi="宋体"/>
          <w:color w:val="auto"/>
          <w:sz w:val="24"/>
          <w:szCs w:val="20"/>
          <w:highlight w:val="none"/>
        </w:rPr>
      </w:pPr>
      <w:bookmarkStart w:id="210" w:name="_Toc21792"/>
      <w:bookmarkStart w:id="211" w:name="_Toc13050"/>
      <w:bookmarkStart w:id="212" w:name="_Toc24969"/>
      <w:bookmarkStart w:id="213" w:name="_Toc5438"/>
      <w:bookmarkStart w:id="214" w:name="_Toc9504"/>
      <w:bookmarkStart w:id="215" w:name="_Toc5346"/>
      <w:bookmarkStart w:id="216" w:name="_Toc9590375"/>
      <w:bookmarkStart w:id="217" w:name="_Toc28733"/>
      <w:r>
        <w:rPr>
          <w:rFonts w:ascii="宋体" w:hAnsi="宋体"/>
          <w:color w:val="auto"/>
          <w:sz w:val="24"/>
          <w:szCs w:val="20"/>
          <w:highlight w:val="none"/>
        </w:rPr>
        <w:t>2.3</w:t>
      </w:r>
      <w:r>
        <w:rPr>
          <w:rFonts w:hint="eastAsia" w:ascii="宋体" w:hAnsi="宋体"/>
          <w:color w:val="auto"/>
          <w:sz w:val="24"/>
          <w:szCs w:val="20"/>
          <w:highlight w:val="none"/>
        </w:rPr>
        <w:t>招标文件的修改</w:t>
      </w:r>
      <w:bookmarkEnd w:id="210"/>
      <w:bookmarkEnd w:id="211"/>
      <w:bookmarkEnd w:id="212"/>
      <w:bookmarkEnd w:id="213"/>
      <w:bookmarkEnd w:id="214"/>
      <w:bookmarkEnd w:id="215"/>
      <w:bookmarkEnd w:id="216"/>
      <w:bookmarkEnd w:id="217"/>
    </w:p>
    <w:p w14:paraId="1AF49081">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2.3.1</w:t>
      </w:r>
      <w:r>
        <w:rPr>
          <w:rFonts w:hint="eastAsia" w:ascii="宋体" w:hAnsi="宋体"/>
          <w:color w:val="auto"/>
          <w:szCs w:val="22"/>
          <w:highlight w:val="none"/>
        </w:rPr>
        <w:t>招标人以投标人须知前附表规定的形式修改招标文件，并通知所有已购买招标文件的投标人。修改招标文件的时间距本章第</w:t>
      </w:r>
      <w:r>
        <w:rPr>
          <w:rFonts w:ascii="宋体" w:hAnsi="宋体"/>
          <w:color w:val="auto"/>
          <w:szCs w:val="22"/>
          <w:highlight w:val="none"/>
        </w:rPr>
        <w:t>4.2.1</w:t>
      </w:r>
      <w:r>
        <w:rPr>
          <w:rFonts w:hint="eastAsia" w:ascii="宋体" w:hAnsi="宋体"/>
          <w:color w:val="auto"/>
          <w:szCs w:val="22"/>
          <w:highlight w:val="none"/>
        </w:rPr>
        <w:t>项规定的投标截止时间不足</w:t>
      </w:r>
      <w:r>
        <w:rPr>
          <w:rFonts w:ascii="宋体" w:hAnsi="宋体"/>
          <w:color w:val="auto"/>
          <w:szCs w:val="22"/>
          <w:highlight w:val="none"/>
        </w:rPr>
        <w:t>15</w:t>
      </w:r>
      <w:r>
        <w:rPr>
          <w:rFonts w:hint="eastAsia" w:ascii="宋体" w:hAnsi="宋体"/>
          <w:color w:val="auto"/>
          <w:szCs w:val="22"/>
          <w:highlight w:val="none"/>
        </w:rPr>
        <w:t>日的，并且修改内容可能影响投标文件编制的，将相应延长投标截止时间。</w:t>
      </w:r>
    </w:p>
    <w:p w14:paraId="28CF7953">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2.3.2</w:t>
      </w:r>
      <w:r>
        <w:rPr>
          <w:rFonts w:hint="eastAsia" w:ascii="宋体" w:hAnsi="宋体"/>
          <w:color w:val="auto"/>
          <w:szCs w:val="22"/>
          <w:highlight w:val="none"/>
        </w:rPr>
        <w:t>投标人收到修改内容后，应按投标人须知前附表规定的时间和形式通知招标人，确认已收到该修改。</w:t>
      </w:r>
    </w:p>
    <w:p w14:paraId="6931694D">
      <w:pPr>
        <w:keepNext/>
        <w:keepLines/>
        <w:spacing w:before="260" w:after="260"/>
        <w:ind w:firstLine="117" w:firstLineChars="49"/>
        <w:outlineLvl w:val="2"/>
        <w:rPr>
          <w:rFonts w:hint="eastAsia" w:ascii="宋体" w:hAnsi="宋体"/>
          <w:color w:val="auto"/>
          <w:sz w:val="24"/>
          <w:szCs w:val="20"/>
          <w:highlight w:val="none"/>
        </w:rPr>
      </w:pPr>
      <w:bookmarkStart w:id="218" w:name="_Toc12273"/>
      <w:bookmarkStart w:id="219" w:name="_Toc3742"/>
      <w:bookmarkStart w:id="220" w:name="_Toc9590376"/>
      <w:bookmarkStart w:id="221" w:name="_Toc9824"/>
      <w:bookmarkStart w:id="222" w:name="_Toc2118"/>
      <w:bookmarkStart w:id="223" w:name="_Toc20359"/>
      <w:bookmarkStart w:id="224" w:name="_Toc6272"/>
      <w:bookmarkStart w:id="225" w:name="_Toc20883"/>
      <w:r>
        <w:rPr>
          <w:rFonts w:ascii="宋体" w:hAnsi="宋体"/>
          <w:color w:val="auto"/>
          <w:sz w:val="24"/>
          <w:szCs w:val="20"/>
          <w:highlight w:val="none"/>
        </w:rPr>
        <w:t>2.4</w:t>
      </w:r>
      <w:r>
        <w:rPr>
          <w:rFonts w:hint="eastAsia" w:ascii="宋体" w:hAnsi="宋体"/>
          <w:color w:val="auto"/>
          <w:sz w:val="24"/>
          <w:szCs w:val="20"/>
          <w:highlight w:val="none"/>
        </w:rPr>
        <w:t>招标文件的异议</w:t>
      </w:r>
      <w:bookmarkEnd w:id="218"/>
      <w:bookmarkEnd w:id="219"/>
      <w:bookmarkEnd w:id="220"/>
      <w:bookmarkEnd w:id="221"/>
      <w:bookmarkEnd w:id="222"/>
      <w:bookmarkEnd w:id="223"/>
      <w:bookmarkEnd w:id="224"/>
      <w:bookmarkEnd w:id="225"/>
    </w:p>
    <w:p w14:paraId="4FD22ACF">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投标人或者其他利害关系人对招标文件有异议的，应当在投标截止时间</w:t>
      </w:r>
      <w:r>
        <w:rPr>
          <w:rFonts w:ascii="宋体" w:hAnsi="宋体"/>
          <w:color w:val="auto"/>
          <w:szCs w:val="22"/>
          <w:highlight w:val="none"/>
        </w:rPr>
        <w:t>10</w:t>
      </w:r>
      <w:r>
        <w:rPr>
          <w:rFonts w:hint="eastAsia" w:ascii="宋体" w:hAnsi="宋体"/>
          <w:color w:val="auto"/>
          <w:szCs w:val="22"/>
          <w:highlight w:val="none"/>
        </w:rPr>
        <w:t>日前以书面形式提出。招标人将在收到异议之日起</w:t>
      </w:r>
      <w:r>
        <w:rPr>
          <w:rFonts w:ascii="宋体" w:hAnsi="宋体"/>
          <w:color w:val="auto"/>
          <w:szCs w:val="22"/>
          <w:highlight w:val="none"/>
        </w:rPr>
        <w:t>3</w:t>
      </w:r>
      <w:r>
        <w:rPr>
          <w:rFonts w:hint="eastAsia" w:ascii="宋体" w:hAnsi="宋体"/>
          <w:color w:val="auto"/>
          <w:szCs w:val="22"/>
          <w:highlight w:val="none"/>
        </w:rPr>
        <w:t>日内作出答复；作出答复前，将暂停招标投标活动。</w:t>
      </w:r>
    </w:p>
    <w:p w14:paraId="2C1E926B">
      <w:pPr>
        <w:keepNext/>
        <w:keepLines/>
        <w:adjustRightInd w:val="0"/>
        <w:spacing w:before="240" w:after="120"/>
        <w:textAlignment w:val="baseline"/>
        <w:outlineLvl w:val="1"/>
        <w:rPr>
          <w:rFonts w:hint="eastAsia" w:ascii="宋体" w:hAnsi="宋体"/>
          <w:b/>
          <w:color w:val="auto"/>
          <w:kern w:val="0"/>
          <w:sz w:val="28"/>
          <w:szCs w:val="20"/>
          <w:highlight w:val="none"/>
        </w:rPr>
      </w:pPr>
      <w:bookmarkStart w:id="226" w:name="_Toc30590"/>
      <w:bookmarkStart w:id="227" w:name="_Toc14143"/>
      <w:bookmarkStart w:id="228" w:name="_Toc18616"/>
      <w:bookmarkStart w:id="229" w:name="_Toc32682"/>
      <w:bookmarkStart w:id="230" w:name="_Toc10654"/>
      <w:bookmarkStart w:id="231" w:name="_Toc23945"/>
      <w:bookmarkStart w:id="232" w:name="_Toc1876"/>
      <w:bookmarkStart w:id="233" w:name="_Toc9590377"/>
      <w:bookmarkStart w:id="234" w:name="_Toc3787"/>
      <w:bookmarkStart w:id="235" w:name="_Toc24178"/>
      <w:r>
        <w:rPr>
          <w:rFonts w:ascii="宋体" w:hAnsi="宋体"/>
          <w:b/>
          <w:color w:val="auto"/>
          <w:kern w:val="0"/>
          <w:sz w:val="28"/>
          <w:szCs w:val="20"/>
          <w:highlight w:val="none"/>
        </w:rPr>
        <w:t>3.</w:t>
      </w:r>
      <w:r>
        <w:rPr>
          <w:rFonts w:hint="eastAsia" w:ascii="宋体" w:hAnsi="宋体"/>
          <w:b/>
          <w:color w:val="auto"/>
          <w:kern w:val="0"/>
          <w:sz w:val="28"/>
          <w:szCs w:val="20"/>
          <w:highlight w:val="none"/>
        </w:rPr>
        <w:t>投标文件</w:t>
      </w:r>
      <w:bookmarkEnd w:id="226"/>
      <w:bookmarkEnd w:id="227"/>
      <w:bookmarkEnd w:id="228"/>
      <w:bookmarkEnd w:id="229"/>
      <w:bookmarkEnd w:id="230"/>
      <w:bookmarkEnd w:id="231"/>
      <w:bookmarkEnd w:id="232"/>
      <w:bookmarkEnd w:id="233"/>
      <w:bookmarkEnd w:id="234"/>
      <w:bookmarkEnd w:id="235"/>
    </w:p>
    <w:p w14:paraId="57F5E921">
      <w:pPr>
        <w:keepNext/>
        <w:keepLines/>
        <w:spacing w:before="260" w:after="260"/>
        <w:ind w:firstLine="117" w:firstLineChars="49"/>
        <w:outlineLvl w:val="2"/>
        <w:rPr>
          <w:rFonts w:hint="eastAsia" w:ascii="宋体" w:hAnsi="宋体"/>
          <w:color w:val="auto"/>
          <w:sz w:val="24"/>
          <w:szCs w:val="20"/>
          <w:highlight w:val="none"/>
        </w:rPr>
      </w:pPr>
      <w:bookmarkStart w:id="236" w:name="_Toc30728"/>
      <w:bookmarkStart w:id="237" w:name="_Toc3829"/>
      <w:bookmarkStart w:id="238" w:name="_Toc277"/>
      <w:bookmarkStart w:id="239" w:name="_Toc27321"/>
      <w:bookmarkStart w:id="240" w:name="_Toc4164"/>
      <w:bookmarkStart w:id="241" w:name="_Toc9590378"/>
      <w:bookmarkStart w:id="242" w:name="_Toc18835"/>
      <w:bookmarkStart w:id="243" w:name="_Toc8017"/>
      <w:r>
        <w:rPr>
          <w:rFonts w:ascii="宋体" w:hAnsi="宋体"/>
          <w:color w:val="auto"/>
          <w:sz w:val="24"/>
          <w:szCs w:val="20"/>
          <w:highlight w:val="none"/>
        </w:rPr>
        <w:t>3.1</w:t>
      </w:r>
      <w:r>
        <w:rPr>
          <w:rFonts w:hint="eastAsia" w:ascii="宋体" w:hAnsi="宋体"/>
          <w:color w:val="auto"/>
          <w:sz w:val="24"/>
          <w:szCs w:val="20"/>
          <w:highlight w:val="none"/>
        </w:rPr>
        <w:t>投标文件的组成</w:t>
      </w:r>
      <w:bookmarkEnd w:id="236"/>
      <w:bookmarkEnd w:id="237"/>
      <w:bookmarkEnd w:id="238"/>
      <w:bookmarkEnd w:id="239"/>
      <w:bookmarkEnd w:id="240"/>
      <w:bookmarkEnd w:id="241"/>
      <w:bookmarkEnd w:id="242"/>
      <w:bookmarkEnd w:id="243"/>
    </w:p>
    <w:p w14:paraId="150C9159">
      <w:pPr>
        <w:spacing w:line="400" w:lineRule="exact"/>
        <w:ind w:firstLine="420"/>
        <w:rPr>
          <w:rFonts w:hint="eastAsia" w:ascii="宋体" w:hAnsi="宋体"/>
          <w:color w:val="auto"/>
          <w:szCs w:val="22"/>
          <w:highlight w:val="none"/>
        </w:rPr>
      </w:pPr>
      <w:r>
        <w:rPr>
          <w:rFonts w:ascii="宋体" w:hAnsi="宋体"/>
          <w:color w:val="auto"/>
          <w:szCs w:val="22"/>
          <w:highlight w:val="none"/>
        </w:rPr>
        <w:t>3.1.1</w:t>
      </w:r>
      <w:r>
        <w:rPr>
          <w:rFonts w:hint="eastAsia" w:ascii="宋体" w:hAnsi="宋体"/>
          <w:color w:val="auto"/>
          <w:szCs w:val="22"/>
          <w:highlight w:val="none"/>
        </w:rPr>
        <w:t>投标文件应包括下列内容：</w:t>
      </w:r>
    </w:p>
    <w:p w14:paraId="65D9B98F">
      <w:pPr>
        <w:spacing w:line="400" w:lineRule="exact"/>
        <w:ind w:firstLine="420"/>
        <w:rPr>
          <w:rFonts w:hint="eastAsia" w:ascii="宋体" w:hAnsi="宋体"/>
          <w:color w:val="auto"/>
          <w:szCs w:val="22"/>
          <w:highlight w:val="none"/>
        </w:rPr>
      </w:pPr>
      <w:r>
        <w:rPr>
          <w:rFonts w:hint="eastAsia" w:ascii="宋体" w:hAnsi="宋体"/>
          <w:color w:val="auto"/>
          <w:szCs w:val="22"/>
          <w:highlight w:val="none"/>
        </w:rPr>
        <w:t>(1)投标文件内容；</w:t>
      </w:r>
    </w:p>
    <w:p w14:paraId="4A67EA76">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（2）投标函；</w:t>
      </w:r>
    </w:p>
    <w:p w14:paraId="1672C585">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（3）法定代表人身份证明；</w:t>
      </w:r>
    </w:p>
    <w:p w14:paraId="79EAF022">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（4）法定代表人授权委托书；</w:t>
      </w:r>
    </w:p>
    <w:p w14:paraId="61C13835">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（5）投标单位组织架构表；</w:t>
      </w:r>
    </w:p>
    <w:p w14:paraId="2F09B76F">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（6）报价表；</w:t>
      </w:r>
    </w:p>
    <w:p w14:paraId="5253F3EF">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（7）合同条款响应性承诺；</w:t>
      </w:r>
    </w:p>
    <w:p w14:paraId="47D13BFC">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（8）投标人类似项目业绩表；</w:t>
      </w:r>
    </w:p>
    <w:p w14:paraId="43DFC76F">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（9）拟委任的主要人员汇总表；</w:t>
      </w:r>
    </w:p>
    <w:p w14:paraId="0B3EC3D0">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（10）主要人员简历表；</w:t>
      </w:r>
    </w:p>
    <w:p w14:paraId="3E187FC5">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（11）承诺函</w:t>
      </w:r>
    </w:p>
    <w:p w14:paraId="0A40E627">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（12）技术部分</w:t>
      </w:r>
    </w:p>
    <w:p w14:paraId="31AEEAC8">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（13）资格审查材料</w:t>
      </w:r>
    </w:p>
    <w:p w14:paraId="461C1F75">
      <w:pPr>
        <w:spacing w:line="400" w:lineRule="exact"/>
        <w:ind w:firstLine="420" w:firstLineChars="200"/>
        <w:rPr>
          <w:color w:val="auto"/>
          <w:highlight w:val="none"/>
        </w:rPr>
      </w:pPr>
      <w:r>
        <w:rPr>
          <w:rFonts w:hint="eastAsia" w:ascii="宋体" w:hAnsi="宋体"/>
          <w:color w:val="auto"/>
          <w:szCs w:val="22"/>
          <w:highlight w:val="none"/>
        </w:rPr>
        <w:t>（14）须评审的其他资料</w:t>
      </w:r>
    </w:p>
    <w:p w14:paraId="46893F86">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投标人在评标过程中作出的符合法律法规和招标文件规定的澄清确认，构成投标文件的组成部分。</w:t>
      </w:r>
    </w:p>
    <w:p w14:paraId="7A12BCBC">
      <w:pPr>
        <w:spacing w:line="400" w:lineRule="exact"/>
        <w:ind w:firstLine="359" w:firstLineChars="171"/>
        <w:rPr>
          <w:rFonts w:hint="eastAsia" w:ascii="宋体" w:hAnsi="宋体"/>
          <w:color w:val="auto"/>
          <w:szCs w:val="22"/>
          <w:highlight w:val="none"/>
        </w:rPr>
      </w:pPr>
      <w:r>
        <w:rPr>
          <w:rFonts w:ascii="宋体" w:hAnsi="宋体"/>
          <w:color w:val="auto"/>
          <w:szCs w:val="22"/>
          <w:highlight w:val="none"/>
        </w:rPr>
        <w:t>3.1.</w:t>
      </w:r>
      <w:r>
        <w:rPr>
          <w:rFonts w:hint="eastAsia" w:ascii="宋体" w:hAnsi="宋体"/>
          <w:color w:val="auto"/>
          <w:szCs w:val="22"/>
          <w:highlight w:val="none"/>
        </w:rPr>
        <w:t>2投标人须知前附表未要求提交投标保证金的，投标文件不包括本章第</w:t>
      </w:r>
      <w:r>
        <w:rPr>
          <w:rFonts w:ascii="宋体" w:hAnsi="宋体"/>
          <w:color w:val="auto"/>
          <w:szCs w:val="22"/>
          <w:highlight w:val="none"/>
        </w:rPr>
        <w:t>3.</w:t>
      </w:r>
      <w:r>
        <w:rPr>
          <w:rFonts w:hint="eastAsia" w:ascii="宋体" w:hAnsi="宋体"/>
          <w:color w:val="auto"/>
          <w:szCs w:val="22"/>
          <w:highlight w:val="none"/>
        </w:rPr>
        <w:t>4</w:t>
      </w:r>
      <w:r>
        <w:rPr>
          <w:rFonts w:ascii="宋体" w:hAnsi="宋体"/>
          <w:color w:val="auto"/>
          <w:szCs w:val="22"/>
          <w:highlight w:val="none"/>
        </w:rPr>
        <w:t>.</w:t>
      </w:r>
      <w:r>
        <w:rPr>
          <w:rFonts w:hint="eastAsia" w:ascii="宋体" w:hAnsi="宋体"/>
          <w:color w:val="auto"/>
          <w:szCs w:val="22"/>
          <w:highlight w:val="none"/>
        </w:rPr>
        <w:t>1目所指的投标保证金。</w:t>
      </w:r>
    </w:p>
    <w:p w14:paraId="32DC24D1">
      <w:pPr>
        <w:keepNext/>
        <w:keepLines/>
        <w:spacing w:before="260" w:after="260"/>
        <w:ind w:firstLine="117" w:firstLineChars="49"/>
        <w:outlineLvl w:val="2"/>
        <w:rPr>
          <w:rFonts w:hint="eastAsia" w:ascii="宋体" w:hAnsi="宋体"/>
          <w:color w:val="auto"/>
          <w:sz w:val="24"/>
          <w:szCs w:val="20"/>
          <w:highlight w:val="none"/>
        </w:rPr>
      </w:pPr>
      <w:bookmarkStart w:id="244" w:name="_Toc6345"/>
      <w:bookmarkStart w:id="245" w:name="_Toc19022"/>
      <w:bookmarkStart w:id="246" w:name="_Toc9590379"/>
      <w:bookmarkStart w:id="247" w:name="_Toc30023"/>
      <w:bookmarkStart w:id="248" w:name="_Toc31034"/>
      <w:bookmarkStart w:id="249" w:name="_Toc15343"/>
      <w:bookmarkStart w:id="250" w:name="_Toc12759"/>
      <w:bookmarkStart w:id="251" w:name="_Toc18211"/>
      <w:r>
        <w:rPr>
          <w:rFonts w:ascii="宋体" w:hAnsi="宋体"/>
          <w:color w:val="auto"/>
          <w:sz w:val="24"/>
          <w:szCs w:val="20"/>
          <w:highlight w:val="none"/>
        </w:rPr>
        <w:t>3.2</w:t>
      </w:r>
      <w:r>
        <w:rPr>
          <w:rFonts w:hint="eastAsia" w:ascii="宋体" w:hAnsi="宋体"/>
          <w:color w:val="auto"/>
          <w:sz w:val="24"/>
          <w:szCs w:val="20"/>
          <w:highlight w:val="none"/>
        </w:rPr>
        <w:t>投标报价</w:t>
      </w:r>
      <w:bookmarkEnd w:id="244"/>
      <w:bookmarkEnd w:id="245"/>
      <w:bookmarkEnd w:id="246"/>
      <w:bookmarkEnd w:id="247"/>
      <w:bookmarkEnd w:id="248"/>
      <w:bookmarkEnd w:id="249"/>
      <w:bookmarkEnd w:id="250"/>
      <w:bookmarkEnd w:id="251"/>
    </w:p>
    <w:p w14:paraId="6B2FA232">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3.2.1</w:t>
      </w:r>
      <w:r>
        <w:rPr>
          <w:rFonts w:hint="eastAsia" w:ascii="宋体" w:hAnsi="宋体"/>
          <w:color w:val="auto"/>
          <w:szCs w:val="22"/>
          <w:highlight w:val="none"/>
        </w:rPr>
        <w:t>投标报价应包括国家规定的增值税税金，除投标人须知前附表另有规定外，增值税税金按一般计税方法计算。投标人应按第六章</w:t>
      </w:r>
      <w:r>
        <w:rPr>
          <w:rFonts w:ascii="宋体" w:hAnsi="宋体"/>
          <w:color w:val="auto"/>
          <w:szCs w:val="22"/>
          <w:highlight w:val="none"/>
        </w:rPr>
        <w:t>“</w:t>
      </w:r>
      <w:r>
        <w:rPr>
          <w:rFonts w:hint="eastAsia" w:ascii="宋体" w:hAnsi="宋体"/>
          <w:color w:val="auto"/>
          <w:szCs w:val="22"/>
          <w:highlight w:val="none"/>
        </w:rPr>
        <w:t>投标文件格式</w:t>
      </w:r>
      <w:r>
        <w:rPr>
          <w:rFonts w:ascii="宋体" w:hAnsi="宋体"/>
          <w:color w:val="auto"/>
          <w:szCs w:val="22"/>
          <w:highlight w:val="none"/>
        </w:rPr>
        <w:t>”</w:t>
      </w:r>
      <w:r>
        <w:rPr>
          <w:rFonts w:hint="eastAsia" w:ascii="宋体" w:hAnsi="宋体"/>
          <w:color w:val="auto"/>
          <w:szCs w:val="22"/>
          <w:highlight w:val="none"/>
        </w:rPr>
        <w:t>的要求在投标函中进行报价并填写报价表。</w:t>
      </w:r>
    </w:p>
    <w:p w14:paraId="18658B73">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3.2.2</w:t>
      </w:r>
      <w:r>
        <w:rPr>
          <w:rFonts w:hint="eastAsia" w:ascii="宋体" w:hAnsi="宋体"/>
          <w:color w:val="auto"/>
          <w:szCs w:val="22"/>
          <w:highlight w:val="none"/>
        </w:rPr>
        <w:t>投标人应充分了解该项目的总体情况以及影响投标报价的其他要素。</w:t>
      </w:r>
    </w:p>
    <w:p w14:paraId="0F8EA0E3">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3.2.3</w:t>
      </w:r>
      <w:r>
        <w:rPr>
          <w:rFonts w:hint="eastAsia" w:ascii="宋体" w:hAnsi="宋体"/>
          <w:color w:val="auto"/>
          <w:szCs w:val="22"/>
          <w:highlight w:val="none"/>
        </w:rPr>
        <w:t>本项目的报价方式见投标人须知前附表。投标人在投标截止时间前修改投标函中的投标报价总额，应同时修改投标文件</w:t>
      </w:r>
      <w:r>
        <w:rPr>
          <w:rFonts w:ascii="宋体" w:hAnsi="宋体"/>
          <w:color w:val="auto"/>
          <w:szCs w:val="22"/>
          <w:highlight w:val="none"/>
        </w:rPr>
        <w:t>“</w:t>
      </w:r>
      <w:r>
        <w:rPr>
          <w:rFonts w:hint="eastAsia" w:ascii="宋体" w:hAnsi="宋体"/>
          <w:color w:val="auto"/>
          <w:szCs w:val="22"/>
          <w:highlight w:val="none"/>
        </w:rPr>
        <w:t>报价表</w:t>
      </w:r>
      <w:r>
        <w:rPr>
          <w:rFonts w:ascii="宋体" w:hAnsi="宋体"/>
          <w:color w:val="auto"/>
          <w:szCs w:val="22"/>
          <w:highlight w:val="none"/>
        </w:rPr>
        <w:t>”</w:t>
      </w:r>
      <w:r>
        <w:rPr>
          <w:rFonts w:hint="eastAsia" w:ascii="宋体" w:hAnsi="宋体"/>
          <w:color w:val="auto"/>
          <w:szCs w:val="22"/>
          <w:highlight w:val="none"/>
        </w:rPr>
        <w:t>中的相应报价。此修改须符合本章第</w:t>
      </w:r>
      <w:r>
        <w:rPr>
          <w:rFonts w:ascii="宋体" w:hAnsi="宋体"/>
          <w:color w:val="auto"/>
          <w:szCs w:val="22"/>
          <w:highlight w:val="none"/>
        </w:rPr>
        <w:t>4.3</w:t>
      </w:r>
      <w:r>
        <w:rPr>
          <w:rFonts w:hint="eastAsia" w:ascii="宋体" w:hAnsi="宋体"/>
          <w:color w:val="auto"/>
          <w:szCs w:val="22"/>
          <w:highlight w:val="none"/>
        </w:rPr>
        <w:t>款的有关要求。</w:t>
      </w:r>
    </w:p>
    <w:p w14:paraId="059C1099">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3.2.4</w:t>
      </w:r>
      <w:r>
        <w:rPr>
          <w:rFonts w:hint="eastAsia" w:ascii="宋体" w:hAnsi="宋体"/>
          <w:color w:val="auto"/>
          <w:szCs w:val="22"/>
          <w:highlight w:val="none"/>
        </w:rPr>
        <w:t>招标人设有最高投标限价的，投标人的投标报价不得超过最高投标限价，最高投标限价在投标人须知前附表中载明。</w:t>
      </w:r>
    </w:p>
    <w:p w14:paraId="1423D5B3">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3.2.5</w:t>
      </w:r>
      <w:r>
        <w:rPr>
          <w:rFonts w:hint="eastAsia" w:ascii="宋体" w:hAnsi="宋体"/>
          <w:color w:val="auto"/>
          <w:szCs w:val="22"/>
          <w:highlight w:val="none"/>
        </w:rPr>
        <w:t>投标报价的其他要求见投标人须知前附表。</w:t>
      </w:r>
    </w:p>
    <w:p w14:paraId="7B97CCFB">
      <w:pPr>
        <w:keepNext/>
        <w:keepLines/>
        <w:spacing w:before="260" w:after="260"/>
        <w:ind w:firstLine="117" w:firstLineChars="49"/>
        <w:outlineLvl w:val="2"/>
        <w:rPr>
          <w:rFonts w:hint="eastAsia" w:ascii="宋体" w:hAnsi="宋体"/>
          <w:color w:val="auto"/>
          <w:sz w:val="24"/>
          <w:szCs w:val="20"/>
          <w:highlight w:val="none"/>
        </w:rPr>
      </w:pPr>
      <w:bookmarkStart w:id="252" w:name="_Toc20407"/>
      <w:bookmarkStart w:id="253" w:name="_Toc30879"/>
      <w:bookmarkStart w:id="254" w:name="_Toc9590380"/>
      <w:bookmarkStart w:id="255" w:name="_Toc21191"/>
      <w:bookmarkStart w:id="256" w:name="_Toc9953"/>
      <w:bookmarkStart w:id="257" w:name="_Toc15167"/>
      <w:bookmarkStart w:id="258" w:name="_Toc8229"/>
      <w:bookmarkStart w:id="259" w:name="_Toc14210"/>
      <w:r>
        <w:rPr>
          <w:rFonts w:ascii="宋体" w:hAnsi="宋体"/>
          <w:color w:val="auto"/>
          <w:sz w:val="24"/>
          <w:szCs w:val="20"/>
          <w:highlight w:val="none"/>
        </w:rPr>
        <w:t>3.3</w:t>
      </w:r>
      <w:r>
        <w:rPr>
          <w:rFonts w:hint="eastAsia" w:ascii="宋体" w:hAnsi="宋体"/>
          <w:color w:val="auto"/>
          <w:sz w:val="24"/>
          <w:szCs w:val="20"/>
          <w:highlight w:val="none"/>
        </w:rPr>
        <w:t>投标有效期</w:t>
      </w:r>
      <w:bookmarkEnd w:id="252"/>
      <w:bookmarkEnd w:id="253"/>
      <w:bookmarkEnd w:id="254"/>
      <w:bookmarkEnd w:id="255"/>
      <w:bookmarkEnd w:id="256"/>
      <w:bookmarkEnd w:id="257"/>
      <w:bookmarkEnd w:id="258"/>
      <w:bookmarkEnd w:id="259"/>
    </w:p>
    <w:p w14:paraId="1DF4830C">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3.3.1</w:t>
      </w:r>
      <w:r>
        <w:rPr>
          <w:rFonts w:hint="eastAsia" w:ascii="宋体" w:hAnsi="宋体"/>
          <w:color w:val="auto"/>
          <w:szCs w:val="22"/>
          <w:highlight w:val="none"/>
        </w:rPr>
        <w:t>除投标人须知前附表另有规定外，投标有效期为</w:t>
      </w:r>
      <w:r>
        <w:rPr>
          <w:rFonts w:ascii="宋体" w:hAnsi="宋体"/>
          <w:color w:val="auto"/>
          <w:szCs w:val="22"/>
          <w:highlight w:val="none"/>
        </w:rPr>
        <w:t>180</w:t>
      </w:r>
      <w:r>
        <w:rPr>
          <w:rFonts w:hint="eastAsia" w:ascii="宋体" w:hAnsi="宋体"/>
          <w:color w:val="auto"/>
          <w:szCs w:val="22"/>
          <w:highlight w:val="none"/>
        </w:rPr>
        <w:t>天。</w:t>
      </w:r>
    </w:p>
    <w:p w14:paraId="742300A2">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3.3.2</w:t>
      </w:r>
      <w:r>
        <w:rPr>
          <w:rFonts w:hint="eastAsia" w:ascii="宋体" w:hAnsi="宋体"/>
          <w:color w:val="auto"/>
          <w:szCs w:val="22"/>
          <w:highlight w:val="none"/>
        </w:rPr>
        <w:t>在投标有效期内，投标人撤销投标文件的，应承担招标文件和法律规定的责任。</w:t>
      </w:r>
    </w:p>
    <w:p w14:paraId="26566500">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3.3.3</w:t>
      </w:r>
      <w:r>
        <w:rPr>
          <w:rFonts w:hint="eastAsia" w:ascii="宋体" w:hAnsi="宋体"/>
          <w:color w:val="auto"/>
          <w:szCs w:val="22"/>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611AB351">
      <w:pPr>
        <w:keepNext/>
        <w:keepLines/>
        <w:spacing w:before="260" w:after="260"/>
        <w:ind w:firstLine="117" w:firstLineChars="49"/>
        <w:outlineLvl w:val="2"/>
        <w:rPr>
          <w:rFonts w:hint="eastAsia" w:ascii="宋体" w:hAnsi="宋体"/>
          <w:color w:val="auto"/>
          <w:sz w:val="24"/>
          <w:szCs w:val="20"/>
          <w:highlight w:val="none"/>
        </w:rPr>
      </w:pPr>
      <w:bookmarkStart w:id="260" w:name="_Toc32500"/>
      <w:bookmarkStart w:id="261" w:name="_Toc21267"/>
      <w:bookmarkStart w:id="262" w:name="_Toc26594"/>
      <w:bookmarkStart w:id="263" w:name="_Toc4139"/>
      <w:bookmarkStart w:id="264" w:name="_Toc10081"/>
      <w:bookmarkStart w:id="265" w:name="_Toc4849"/>
      <w:bookmarkStart w:id="266" w:name="_Toc14541"/>
      <w:bookmarkStart w:id="267" w:name="_Toc9590381"/>
      <w:r>
        <w:rPr>
          <w:rFonts w:ascii="宋体" w:hAnsi="宋体"/>
          <w:color w:val="auto"/>
          <w:sz w:val="24"/>
          <w:szCs w:val="20"/>
          <w:highlight w:val="none"/>
        </w:rPr>
        <w:t>3.4</w:t>
      </w:r>
      <w:r>
        <w:rPr>
          <w:rFonts w:hint="eastAsia" w:ascii="宋体" w:hAnsi="宋体"/>
          <w:color w:val="auto"/>
          <w:sz w:val="24"/>
          <w:szCs w:val="20"/>
          <w:highlight w:val="none"/>
        </w:rPr>
        <w:t>投标保证金</w:t>
      </w:r>
      <w:bookmarkEnd w:id="260"/>
      <w:bookmarkEnd w:id="261"/>
      <w:bookmarkEnd w:id="262"/>
      <w:bookmarkEnd w:id="263"/>
      <w:bookmarkEnd w:id="264"/>
      <w:bookmarkEnd w:id="265"/>
      <w:bookmarkEnd w:id="266"/>
      <w:bookmarkEnd w:id="267"/>
    </w:p>
    <w:p w14:paraId="27E7205F">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3.4.1</w:t>
      </w:r>
      <w:r>
        <w:rPr>
          <w:rFonts w:hint="eastAsia" w:ascii="宋体" w:hAnsi="宋体"/>
          <w:color w:val="auto"/>
          <w:szCs w:val="22"/>
          <w:highlight w:val="none"/>
        </w:rPr>
        <w:t>投标人在递交投标文件的同时，应按投标人须知前附表规定的金额、形式和第六章</w:t>
      </w:r>
      <w:r>
        <w:rPr>
          <w:rFonts w:ascii="宋体" w:hAnsi="宋体"/>
          <w:color w:val="auto"/>
          <w:szCs w:val="22"/>
          <w:highlight w:val="none"/>
        </w:rPr>
        <w:t>“</w:t>
      </w:r>
      <w:r>
        <w:rPr>
          <w:rFonts w:hint="eastAsia" w:ascii="宋体" w:hAnsi="宋体"/>
          <w:color w:val="auto"/>
          <w:szCs w:val="22"/>
          <w:highlight w:val="none"/>
        </w:rPr>
        <w:t>投标文件格式</w:t>
      </w:r>
      <w:r>
        <w:rPr>
          <w:rFonts w:ascii="宋体" w:hAnsi="宋体"/>
          <w:color w:val="auto"/>
          <w:szCs w:val="22"/>
          <w:highlight w:val="none"/>
        </w:rPr>
        <w:t>”</w:t>
      </w:r>
      <w:r>
        <w:rPr>
          <w:rFonts w:hint="eastAsia" w:ascii="宋体" w:hAnsi="宋体"/>
          <w:color w:val="auto"/>
          <w:szCs w:val="22"/>
          <w:highlight w:val="none"/>
        </w:rPr>
        <w:t>规定的投标保证金格式递交投标保证金，并作为其投标文件的组成部分。</w:t>
      </w:r>
    </w:p>
    <w:p w14:paraId="3CA652B3">
      <w:pPr>
        <w:spacing w:line="400" w:lineRule="exact"/>
        <w:ind w:firstLine="420" w:firstLineChars="200"/>
        <w:jc w:val="left"/>
        <w:rPr>
          <w:rFonts w:hint="eastAsia" w:ascii="宋体" w:hAnsi="宋体"/>
          <w:color w:val="auto"/>
          <w:szCs w:val="22"/>
          <w:highlight w:val="none"/>
        </w:rPr>
      </w:pPr>
      <w:r>
        <w:rPr>
          <w:rFonts w:ascii="宋体" w:hAnsi="宋体"/>
          <w:color w:val="auto"/>
          <w:szCs w:val="22"/>
          <w:highlight w:val="none"/>
        </w:rPr>
        <w:t>3.4.2</w:t>
      </w:r>
      <w:r>
        <w:rPr>
          <w:rFonts w:hint="eastAsia" w:ascii="宋体" w:hAnsi="宋体"/>
          <w:color w:val="auto"/>
          <w:szCs w:val="22"/>
          <w:highlight w:val="none"/>
        </w:rPr>
        <w:t>投标人不按本章第</w:t>
      </w:r>
      <w:r>
        <w:rPr>
          <w:rFonts w:ascii="宋体" w:hAnsi="宋体"/>
          <w:color w:val="auto"/>
          <w:szCs w:val="22"/>
          <w:highlight w:val="none"/>
        </w:rPr>
        <w:t>3.4.1</w:t>
      </w:r>
      <w:r>
        <w:rPr>
          <w:rFonts w:hint="eastAsia" w:ascii="宋体" w:hAnsi="宋体"/>
          <w:color w:val="auto"/>
          <w:szCs w:val="22"/>
          <w:highlight w:val="none"/>
        </w:rPr>
        <w:t>项要求提交投标保证金的，评标委员会将否决其投标。</w:t>
      </w:r>
    </w:p>
    <w:p w14:paraId="30A72DA8">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3.4.3</w:t>
      </w:r>
      <w:r>
        <w:rPr>
          <w:rFonts w:hint="eastAsia" w:ascii="宋体" w:hAnsi="宋体"/>
          <w:color w:val="auto"/>
          <w:szCs w:val="22"/>
          <w:highlight w:val="none"/>
        </w:rPr>
        <w:t>招标人最迟将在与中标人签订合同后</w:t>
      </w:r>
      <w:r>
        <w:rPr>
          <w:rFonts w:ascii="宋体" w:hAnsi="宋体"/>
          <w:color w:val="auto"/>
          <w:szCs w:val="22"/>
          <w:highlight w:val="none"/>
        </w:rPr>
        <w:t>5</w:t>
      </w:r>
      <w:r>
        <w:rPr>
          <w:rFonts w:hint="eastAsia" w:ascii="宋体" w:hAnsi="宋体"/>
          <w:color w:val="auto"/>
          <w:szCs w:val="22"/>
          <w:highlight w:val="none"/>
        </w:rPr>
        <w:t>日内，向未中标的投标人和中标人退还投标保证金。投标保证金以现金或者支票形式递交的，还应退还银行同期存款利息。</w:t>
      </w:r>
    </w:p>
    <w:p w14:paraId="033BCADF">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3.4.4</w:t>
      </w:r>
      <w:r>
        <w:rPr>
          <w:rFonts w:hint="eastAsia" w:ascii="宋体" w:hAnsi="宋体"/>
          <w:color w:val="auto"/>
          <w:szCs w:val="22"/>
          <w:highlight w:val="none"/>
        </w:rPr>
        <w:t>有下列情形之一的，投标保证金将不予退还：</w:t>
      </w:r>
    </w:p>
    <w:p w14:paraId="196E4825">
      <w:pPr>
        <w:spacing w:line="400" w:lineRule="exact"/>
        <w:ind w:firstLine="315" w:firstLineChars="150"/>
        <w:rPr>
          <w:rFonts w:hint="eastAsia"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1</w:t>
      </w:r>
      <w:r>
        <w:rPr>
          <w:rFonts w:hint="eastAsia" w:ascii="宋体" w:hAnsi="宋体"/>
          <w:color w:val="auto"/>
          <w:szCs w:val="22"/>
          <w:highlight w:val="none"/>
        </w:rPr>
        <w:t>）投标人在投标有效期内撤销投标文件（逾期未解密投标文件的除外）；</w:t>
      </w:r>
    </w:p>
    <w:p w14:paraId="738673FA">
      <w:pPr>
        <w:spacing w:line="400" w:lineRule="exact"/>
        <w:ind w:firstLine="315" w:firstLineChars="150"/>
        <w:rPr>
          <w:rFonts w:hint="eastAsia"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2</w:t>
      </w:r>
      <w:r>
        <w:rPr>
          <w:rFonts w:hint="eastAsia" w:ascii="宋体" w:hAnsi="宋体"/>
          <w:color w:val="auto"/>
          <w:szCs w:val="22"/>
          <w:highlight w:val="none"/>
        </w:rPr>
        <w:t>）无正当理由不与招标人订立合同，在签订合同时向招标人提出附加条件，或者不按照招标文件要求提交履约保证金；</w:t>
      </w:r>
    </w:p>
    <w:p w14:paraId="4BBC47ED">
      <w:pPr>
        <w:spacing w:line="400" w:lineRule="exact"/>
        <w:ind w:firstLine="315" w:firstLineChars="150"/>
        <w:rPr>
          <w:rFonts w:hint="eastAsia"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3</w:t>
      </w:r>
      <w:r>
        <w:rPr>
          <w:rFonts w:hint="eastAsia" w:ascii="宋体" w:hAnsi="宋体"/>
          <w:color w:val="auto"/>
          <w:szCs w:val="22"/>
          <w:highlight w:val="none"/>
        </w:rPr>
        <w:t>）发生投标人须知前附表</w:t>
      </w:r>
      <w:r>
        <w:rPr>
          <w:rFonts w:hint="eastAsia" w:ascii="宋体" w:hAnsi="宋体"/>
          <w:color w:val="auto"/>
          <w:szCs w:val="21"/>
          <w:highlight w:val="none"/>
        </w:rPr>
        <w:t>规定的其他可以不予退还投标保证金的情形。</w:t>
      </w:r>
    </w:p>
    <w:p w14:paraId="5CABEC07">
      <w:pPr>
        <w:keepNext/>
        <w:keepLines/>
        <w:spacing w:before="260" w:after="260"/>
        <w:ind w:firstLine="117" w:firstLineChars="49"/>
        <w:outlineLvl w:val="2"/>
        <w:rPr>
          <w:rFonts w:hint="eastAsia" w:ascii="宋体" w:hAnsi="宋体"/>
          <w:color w:val="auto"/>
          <w:sz w:val="24"/>
          <w:szCs w:val="20"/>
          <w:highlight w:val="none"/>
        </w:rPr>
      </w:pPr>
      <w:bookmarkStart w:id="268" w:name="_Toc9590382"/>
      <w:bookmarkStart w:id="269" w:name="_Toc2676"/>
      <w:bookmarkStart w:id="270" w:name="_Toc31216"/>
      <w:bookmarkStart w:id="271" w:name="_Toc4323"/>
      <w:bookmarkStart w:id="272" w:name="_Toc28161"/>
      <w:bookmarkStart w:id="273" w:name="_Toc3810"/>
      <w:bookmarkStart w:id="274" w:name="_Toc2983"/>
      <w:bookmarkStart w:id="275" w:name="_Toc3496"/>
      <w:r>
        <w:rPr>
          <w:rFonts w:ascii="宋体" w:hAnsi="宋体"/>
          <w:color w:val="auto"/>
          <w:sz w:val="24"/>
          <w:szCs w:val="20"/>
          <w:highlight w:val="none"/>
        </w:rPr>
        <w:t>3.5</w:t>
      </w:r>
      <w:r>
        <w:rPr>
          <w:rFonts w:hint="eastAsia" w:ascii="宋体" w:hAnsi="宋体"/>
          <w:color w:val="auto"/>
          <w:sz w:val="24"/>
          <w:szCs w:val="20"/>
          <w:highlight w:val="none"/>
        </w:rPr>
        <w:t>资格审查资料（适用于未进行资格预审的）</w:t>
      </w:r>
      <w:bookmarkEnd w:id="268"/>
      <w:bookmarkEnd w:id="269"/>
      <w:bookmarkEnd w:id="270"/>
      <w:bookmarkEnd w:id="271"/>
      <w:bookmarkEnd w:id="272"/>
      <w:bookmarkEnd w:id="273"/>
      <w:bookmarkEnd w:id="274"/>
      <w:bookmarkEnd w:id="275"/>
    </w:p>
    <w:p w14:paraId="138C19B4">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除投标人须知前附表另有规定外，投标人应按下列规定提供资格审查资料，以证明其满足本章第</w:t>
      </w:r>
      <w:r>
        <w:rPr>
          <w:rFonts w:ascii="宋体" w:hAnsi="宋体"/>
          <w:color w:val="auto"/>
          <w:szCs w:val="22"/>
          <w:highlight w:val="none"/>
        </w:rPr>
        <w:t>1.4</w:t>
      </w:r>
      <w:r>
        <w:rPr>
          <w:rFonts w:hint="eastAsia" w:ascii="宋体" w:hAnsi="宋体"/>
          <w:color w:val="auto"/>
          <w:szCs w:val="22"/>
          <w:highlight w:val="none"/>
        </w:rPr>
        <w:t>款规定的资质、财务、业绩、信誉等要求。</w:t>
      </w:r>
    </w:p>
    <w:p w14:paraId="1D376737">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3.5.1“</w:t>
      </w:r>
      <w:r>
        <w:rPr>
          <w:rFonts w:hint="eastAsia" w:ascii="宋体" w:hAnsi="宋体"/>
          <w:color w:val="auto"/>
          <w:szCs w:val="22"/>
          <w:highlight w:val="none"/>
        </w:rPr>
        <w:t>投标人基本情况表</w:t>
      </w:r>
      <w:r>
        <w:rPr>
          <w:rFonts w:ascii="宋体" w:hAnsi="宋体"/>
          <w:color w:val="auto"/>
          <w:szCs w:val="22"/>
          <w:highlight w:val="none"/>
        </w:rPr>
        <w:t>”</w:t>
      </w:r>
      <w:r>
        <w:rPr>
          <w:rFonts w:hint="eastAsia" w:ascii="宋体" w:hAnsi="宋体"/>
          <w:color w:val="auto"/>
          <w:szCs w:val="22"/>
          <w:highlight w:val="none"/>
        </w:rPr>
        <w:t>应附投标人营业执照和组织机构代码证的复印件（按照</w:t>
      </w:r>
      <w:r>
        <w:rPr>
          <w:rFonts w:ascii="宋体" w:hAnsi="宋体"/>
          <w:color w:val="auto"/>
          <w:szCs w:val="22"/>
          <w:highlight w:val="none"/>
        </w:rPr>
        <w:t>“</w:t>
      </w:r>
      <w:r>
        <w:rPr>
          <w:rFonts w:hint="eastAsia" w:ascii="宋体" w:hAnsi="宋体"/>
          <w:color w:val="auto"/>
          <w:szCs w:val="22"/>
          <w:highlight w:val="none"/>
        </w:rPr>
        <w:t>三证合一</w:t>
      </w:r>
      <w:r>
        <w:rPr>
          <w:rFonts w:ascii="宋体" w:hAnsi="宋体"/>
          <w:color w:val="auto"/>
          <w:szCs w:val="22"/>
          <w:highlight w:val="none"/>
        </w:rPr>
        <w:t>”</w:t>
      </w:r>
      <w:r>
        <w:rPr>
          <w:rFonts w:hint="eastAsia" w:ascii="宋体" w:hAnsi="宋体"/>
          <w:color w:val="auto"/>
          <w:szCs w:val="22"/>
          <w:highlight w:val="none"/>
        </w:rPr>
        <w:t>或</w:t>
      </w:r>
      <w:r>
        <w:rPr>
          <w:rFonts w:ascii="宋体" w:hAnsi="宋体"/>
          <w:color w:val="auto"/>
          <w:szCs w:val="22"/>
          <w:highlight w:val="none"/>
        </w:rPr>
        <w:t>“</w:t>
      </w:r>
      <w:r>
        <w:rPr>
          <w:rFonts w:hint="eastAsia" w:ascii="宋体" w:hAnsi="宋体"/>
          <w:color w:val="auto"/>
          <w:szCs w:val="22"/>
          <w:highlight w:val="none"/>
        </w:rPr>
        <w:t>五证合一</w:t>
      </w:r>
      <w:r>
        <w:rPr>
          <w:rFonts w:ascii="宋体" w:hAnsi="宋体"/>
          <w:color w:val="auto"/>
          <w:szCs w:val="22"/>
          <w:highlight w:val="none"/>
        </w:rPr>
        <w:t>”</w:t>
      </w:r>
      <w:r>
        <w:rPr>
          <w:rFonts w:hint="eastAsia" w:ascii="宋体" w:hAnsi="宋体"/>
          <w:color w:val="auto"/>
          <w:szCs w:val="22"/>
          <w:highlight w:val="none"/>
        </w:rPr>
        <w:t>登记制度进行登记的，可仅提供营业执照复印件）、投标人资质证书副本等材料的复印件。</w:t>
      </w:r>
    </w:p>
    <w:p w14:paraId="1BEC9A4F">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3.5.2“</w:t>
      </w:r>
      <w:r>
        <w:rPr>
          <w:rFonts w:hint="eastAsia" w:ascii="宋体" w:hAnsi="宋体"/>
          <w:color w:val="auto"/>
          <w:szCs w:val="22"/>
          <w:highlight w:val="none"/>
        </w:rPr>
        <w:t>近年财务状况表</w:t>
      </w:r>
      <w:r>
        <w:rPr>
          <w:rFonts w:ascii="宋体" w:hAnsi="宋体"/>
          <w:color w:val="auto"/>
          <w:szCs w:val="22"/>
          <w:highlight w:val="none"/>
        </w:rPr>
        <w:t>”</w:t>
      </w:r>
      <w:r>
        <w:rPr>
          <w:rFonts w:hint="eastAsia" w:ascii="宋体" w:hAnsi="宋体"/>
          <w:color w:val="auto"/>
          <w:szCs w:val="22"/>
          <w:highlight w:val="none"/>
        </w:rPr>
        <w:t>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r>
        <w:rPr>
          <w:rFonts w:hint="eastAsia" w:ascii="宋体" w:hAnsi="宋体"/>
          <w:b/>
          <w:bCs/>
          <w:color w:val="auto"/>
          <w:szCs w:val="22"/>
          <w:highlight w:val="none"/>
        </w:rPr>
        <w:t>（本项目不适用）</w:t>
      </w:r>
      <w:r>
        <w:rPr>
          <w:rFonts w:hint="eastAsia" w:ascii="宋体" w:hAnsi="宋体"/>
          <w:color w:val="auto"/>
          <w:szCs w:val="22"/>
          <w:highlight w:val="none"/>
        </w:rPr>
        <w:t>。</w:t>
      </w:r>
    </w:p>
    <w:p w14:paraId="03AD0003">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3.5.3“</w:t>
      </w:r>
      <w:r>
        <w:rPr>
          <w:rFonts w:hint="eastAsia" w:ascii="宋体" w:hAnsi="宋体"/>
          <w:color w:val="auto"/>
          <w:szCs w:val="21"/>
          <w:highlight w:val="none"/>
        </w:rPr>
        <w:t>近年完成的类似项目情况表</w:t>
      </w:r>
      <w:r>
        <w:rPr>
          <w:rFonts w:ascii="宋体" w:hAnsi="宋体"/>
          <w:color w:val="auto"/>
          <w:szCs w:val="21"/>
          <w:highlight w:val="none"/>
        </w:rPr>
        <w:t>”</w:t>
      </w:r>
      <w:r>
        <w:rPr>
          <w:rFonts w:hint="eastAsia" w:ascii="宋体" w:hAnsi="宋体"/>
          <w:color w:val="auto"/>
          <w:szCs w:val="21"/>
          <w:highlight w:val="none"/>
        </w:rPr>
        <w:t>业绩证明至少应提供但不限于以下材料：1</w:t>
      </w:r>
      <w:r>
        <w:rPr>
          <w:rFonts w:ascii="宋体" w:hAnsi="宋体"/>
          <w:color w:val="auto"/>
          <w:szCs w:val="21"/>
          <w:highlight w:val="none"/>
        </w:rPr>
        <w:t>.</w:t>
      </w:r>
      <w:r>
        <w:rPr>
          <w:rFonts w:hint="eastAsia" w:ascii="宋体" w:hAnsi="宋体"/>
          <w:color w:val="auto"/>
          <w:szCs w:val="21"/>
          <w:highlight w:val="none"/>
        </w:rPr>
        <w:t>合同证明文件（至少包括加盖公章的合同协议书扫描件），每张表格只填写一个项目，并标明序号</w:t>
      </w:r>
      <w:r>
        <w:rPr>
          <w:rFonts w:hint="eastAsia" w:ascii="宋体" w:hAnsi="宋体"/>
          <w:b/>
          <w:bCs/>
          <w:color w:val="auto"/>
          <w:szCs w:val="22"/>
          <w:highlight w:val="none"/>
        </w:rPr>
        <w:t>（本项目不适用）</w:t>
      </w:r>
      <w:r>
        <w:rPr>
          <w:rFonts w:hint="eastAsia" w:ascii="宋体" w:hAnsi="宋体"/>
          <w:color w:val="auto"/>
          <w:szCs w:val="21"/>
          <w:highlight w:val="none"/>
        </w:rPr>
        <w:t>。</w:t>
      </w:r>
    </w:p>
    <w:p w14:paraId="0937CA8C">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3.5.4“</w:t>
      </w:r>
      <w:r>
        <w:rPr>
          <w:rFonts w:hint="eastAsia" w:ascii="宋体" w:hAnsi="宋体"/>
          <w:color w:val="auto"/>
          <w:szCs w:val="22"/>
          <w:highlight w:val="none"/>
        </w:rPr>
        <w:t>正在实施和新承接的项目情况表</w:t>
      </w:r>
      <w:r>
        <w:rPr>
          <w:rFonts w:ascii="宋体" w:hAnsi="宋体"/>
          <w:color w:val="auto"/>
          <w:szCs w:val="22"/>
          <w:highlight w:val="none"/>
        </w:rPr>
        <w:t>”</w:t>
      </w:r>
      <w:r>
        <w:rPr>
          <w:rFonts w:hint="eastAsia" w:ascii="宋体" w:hAnsi="宋体"/>
          <w:color w:val="auto"/>
          <w:szCs w:val="22"/>
          <w:highlight w:val="none"/>
        </w:rPr>
        <w:t>应附中标通知书和（或）合同协议书复印件。每张表格只填写一个项目，并标明序号。</w:t>
      </w:r>
      <w:r>
        <w:rPr>
          <w:rFonts w:hint="eastAsia" w:ascii="宋体" w:hAnsi="宋体"/>
          <w:b/>
          <w:bCs/>
          <w:color w:val="auto"/>
          <w:szCs w:val="22"/>
          <w:highlight w:val="none"/>
        </w:rPr>
        <w:t>(本项目不适用)</w:t>
      </w:r>
    </w:p>
    <w:p w14:paraId="28880A90">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3.5.5“</w:t>
      </w:r>
      <w:r>
        <w:rPr>
          <w:rFonts w:hint="eastAsia" w:ascii="宋体" w:hAnsi="宋体"/>
          <w:color w:val="auto"/>
          <w:szCs w:val="22"/>
          <w:highlight w:val="none"/>
        </w:rPr>
        <w:t>近年发生的诉讼及仲裁情况</w:t>
      </w:r>
      <w:r>
        <w:rPr>
          <w:rFonts w:ascii="宋体" w:hAnsi="宋体"/>
          <w:color w:val="auto"/>
          <w:szCs w:val="22"/>
          <w:highlight w:val="none"/>
        </w:rPr>
        <w:t>”</w:t>
      </w:r>
      <w:r>
        <w:rPr>
          <w:rFonts w:hint="eastAsia" w:ascii="宋体" w:hAnsi="宋体"/>
          <w:color w:val="auto"/>
          <w:szCs w:val="22"/>
          <w:highlight w:val="none"/>
        </w:rPr>
        <w:t>应说明投标人败诉的监造合同的相关情况，并附法院或仲裁机构作出的判决、裁决等有关法律文书复印件，具体时间要求见投标人须知前附表。</w:t>
      </w:r>
      <w:r>
        <w:rPr>
          <w:rFonts w:hint="eastAsia" w:ascii="宋体" w:hAnsi="宋体"/>
          <w:b/>
          <w:bCs/>
          <w:color w:val="auto"/>
          <w:szCs w:val="22"/>
          <w:highlight w:val="none"/>
        </w:rPr>
        <w:t>(本项目不适用)</w:t>
      </w:r>
    </w:p>
    <w:p w14:paraId="10303C49">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3.5.6投标人具有由中国民用航空局颁发且在有效期内的《民用无人驾驶航空器运营合格证》。</w:t>
      </w:r>
    </w:p>
    <w:p w14:paraId="0FF79F25">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3.5.7“拟委任的主要人员汇总表”应填报满足本章第1.4.1项规定的项目经理相关信息。“主要人员简历表”中项目经理/项目负责人应附身份证、学历证、职称证、执业证书和近3个月（不含开标当月）社保缴费证明复印件(注：以投标人（或其分支机构）所属当地社保管理部门出具的社保证明文件为准；其他主要人员应附身份证、学历证、职称证、有关证书和社保缴费证明复印件以及管理过的项目业绩须提供合同证明文件。</w:t>
      </w:r>
      <w:r>
        <w:rPr>
          <w:rFonts w:hint="eastAsia" w:ascii="宋体" w:hAnsi="宋体"/>
          <w:b/>
          <w:bCs/>
          <w:color w:val="auto"/>
          <w:szCs w:val="22"/>
          <w:highlight w:val="none"/>
        </w:rPr>
        <w:t>（本项目不适用）</w:t>
      </w:r>
    </w:p>
    <w:p w14:paraId="1A1A8921">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3.5.8“拟投入本项目的主要试验检测仪器设备表”应填报满足本章第1.4.1项规定的试验检测仪器设备。</w:t>
      </w:r>
      <w:r>
        <w:rPr>
          <w:rFonts w:hint="eastAsia" w:ascii="宋体" w:hAnsi="宋体"/>
          <w:b/>
          <w:bCs/>
          <w:color w:val="auto"/>
          <w:szCs w:val="22"/>
          <w:highlight w:val="none"/>
        </w:rPr>
        <w:t>(本项目不适用)</w:t>
      </w:r>
    </w:p>
    <w:p w14:paraId="381D3C55">
      <w:pPr>
        <w:keepNext/>
        <w:keepLines/>
        <w:spacing w:before="260" w:after="260"/>
        <w:ind w:firstLine="117" w:firstLineChars="49"/>
        <w:outlineLvl w:val="2"/>
        <w:rPr>
          <w:rFonts w:hint="eastAsia" w:ascii="宋体" w:hAnsi="宋体"/>
          <w:color w:val="auto"/>
          <w:sz w:val="24"/>
          <w:szCs w:val="20"/>
          <w:highlight w:val="none"/>
        </w:rPr>
      </w:pPr>
      <w:bookmarkStart w:id="276" w:name="_Toc4370"/>
      <w:bookmarkStart w:id="277" w:name="_Toc31857"/>
      <w:bookmarkStart w:id="278" w:name="_Toc17992"/>
      <w:bookmarkStart w:id="279" w:name="_Toc16329"/>
      <w:bookmarkStart w:id="280" w:name="_Toc17529"/>
      <w:bookmarkStart w:id="281" w:name="_Toc1118"/>
      <w:bookmarkStart w:id="282" w:name="_Toc7070"/>
      <w:bookmarkStart w:id="283" w:name="_Toc9590383"/>
      <w:r>
        <w:rPr>
          <w:rFonts w:ascii="宋体" w:hAnsi="宋体"/>
          <w:color w:val="auto"/>
          <w:sz w:val="24"/>
          <w:szCs w:val="20"/>
          <w:highlight w:val="none"/>
        </w:rPr>
        <w:t>3.6</w:t>
      </w:r>
      <w:r>
        <w:rPr>
          <w:rFonts w:hint="eastAsia" w:ascii="宋体" w:hAnsi="宋体"/>
          <w:color w:val="auto"/>
          <w:sz w:val="24"/>
          <w:szCs w:val="20"/>
          <w:highlight w:val="none"/>
        </w:rPr>
        <w:t>备选投标方案</w:t>
      </w:r>
      <w:r>
        <w:rPr>
          <w:rFonts w:hint="eastAsia" w:ascii="宋体" w:hAnsi="宋体"/>
          <w:b/>
          <w:bCs/>
          <w:color w:val="auto"/>
          <w:sz w:val="24"/>
          <w:szCs w:val="20"/>
          <w:highlight w:val="none"/>
        </w:rPr>
        <w:t>（本项目不适用）</w:t>
      </w:r>
      <w:bookmarkEnd w:id="276"/>
      <w:bookmarkEnd w:id="277"/>
      <w:bookmarkEnd w:id="278"/>
      <w:bookmarkEnd w:id="279"/>
      <w:bookmarkEnd w:id="280"/>
      <w:bookmarkEnd w:id="281"/>
      <w:bookmarkEnd w:id="282"/>
      <w:bookmarkEnd w:id="283"/>
    </w:p>
    <w:p w14:paraId="14C2DE57">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3.6.1</w:t>
      </w:r>
      <w:r>
        <w:rPr>
          <w:rFonts w:hint="eastAsia" w:ascii="宋体" w:hAnsi="宋体"/>
          <w:color w:val="auto"/>
          <w:szCs w:val="22"/>
          <w:highlight w:val="none"/>
        </w:rPr>
        <w:t>除投标人须知前附表规定允许外，投标人不得递交备选投标方案，否则其投标将被否决。</w:t>
      </w:r>
    </w:p>
    <w:p w14:paraId="16552A00">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3.6.2</w:t>
      </w:r>
      <w:r>
        <w:rPr>
          <w:rFonts w:hint="eastAsia" w:ascii="宋体" w:hAnsi="宋体"/>
          <w:color w:val="auto"/>
          <w:szCs w:val="22"/>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6E7A8028">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3.6.3</w:t>
      </w:r>
      <w:r>
        <w:rPr>
          <w:rFonts w:hint="eastAsia" w:ascii="宋体" w:hAnsi="宋体"/>
          <w:color w:val="auto"/>
          <w:szCs w:val="22"/>
          <w:highlight w:val="none"/>
        </w:rPr>
        <w:t>投标人提供两个或两个以上投标报价，或者在投标文件中提供一个报价，但同时提供两个或两个以上监造方案的，视为提供备选方案。</w:t>
      </w:r>
    </w:p>
    <w:p w14:paraId="48E3C1E3">
      <w:pPr>
        <w:keepNext/>
        <w:keepLines/>
        <w:spacing w:before="260" w:after="260"/>
        <w:ind w:firstLine="117" w:firstLineChars="49"/>
        <w:outlineLvl w:val="2"/>
        <w:rPr>
          <w:rFonts w:hint="eastAsia" w:ascii="宋体" w:hAnsi="宋体"/>
          <w:color w:val="auto"/>
          <w:sz w:val="24"/>
          <w:szCs w:val="20"/>
          <w:highlight w:val="none"/>
        </w:rPr>
      </w:pPr>
      <w:bookmarkStart w:id="284" w:name="_Toc2633"/>
      <w:bookmarkStart w:id="285" w:name="_Toc18203"/>
      <w:bookmarkStart w:id="286" w:name="_Toc5926"/>
      <w:bookmarkStart w:id="287" w:name="_Toc9330"/>
      <w:bookmarkStart w:id="288" w:name="_Toc9590384"/>
      <w:bookmarkStart w:id="289" w:name="_Toc23703"/>
      <w:bookmarkStart w:id="290" w:name="_Toc12354"/>
      <w:bookmarkStart w:id="291" w:name="_Toc12266"/>
      <w:r>
        <w:rPr>
          <w:rFonts w:ascii="宋体" w:hAnsi="宋体"/>
          <w:color w:val="auto"/>
          <w:sz w:val="24"/>
          <w:szCs w:val="20"/>
          <w:highlight w:val="none"/>
        </w:rPr>
        <w:t>3.7</w:t>
      </w:r>
      <w:r>
        <w:rPr>
          <w:rFonts w:hint="eastAsia" w:ascii="宋体" w:hAnsi="宋体"/>
          <w:color w:val="auto"/>
          <w:sz w:val="24"/>
          <w:szCs w:val="20"/>
          <w:highlight w:val="none"/>
        </w:rPr>
        <w:t>投标文件的编制</w:t>
      </w:r>
      <w:bookmarkEnd w:id="284"/>
      <w:bookmarkEnd w:id="285"/>
      <w:bookmarkEnd w:id="286"/>
      <w:bookmarkEnd w:id="287"/>
      <w:bookmarkEnd w:id="288"/>
      <w:bookmarkEnd w:id="289"/>
      <w:bookmarkEnd w:id="290"/>
      <w:bookmarkEnd w:id="291"/>
    </w:p>
    <w:p w14:paraId="6C013C97">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3.7.1</w:t>
      </w:r>
      <w:r>
        <w:rPr>
          <w:rFonts w:hint="eastAsia" w:ascii="宋体" w:hAnsi="宋体"/>
          <w:color w:val="auto"/>
          <w:szCs w:val="22"/>
          <w:highlight w:val="none"/>
        </w:rPr>
        <w:t>投标文件应按第六章</w:t>
      </w:r>
      <w:r>
        <w:rPr>
          <w:rFonts w:ascii="宋体" w:hAnsi="宋体"/>
          <w:color w:val="auto"/>
          <w:szCs w:val="22"/>
          <w:highlight w:val="none"/>
        </w:rPr>
        <w:t>“</w:t>
      </w:r>
      <w:r>
        <w:rPr>
          <w:rFonts w:hint="eastAsia" w:ascii="宋体" w:hAnsi="宋体"/>
          <w:color w:val="auto"/>
          <w:szCs w:val="22"/>
          <w:highlight w:val="none"/>
        </w:rPr>
        <w:t>投标文件格式</w:t>
      </w:r>
      <w:r>
        <w:rPr>
          <w:rFonts w:ascii="宋体" w:hAnsi="宋体"/>
          <w:color w:val="auto"/>
          <w:szCs w:val="22"/>
          <w:highlight w:val="none"/>
        </w:rPr>
        <w:t>”</w:t>
      </w:r>
      <w:r>
        <w:rPr>
          <w:rFonts w:hint="eastAsia" w:ascii="宋体" w:hAnsi="宋体"/>
          <w:color w:val="auto"/>
          <w:szCs w:val="22"/>
          <w:highlight w:val="none"/>
        </w:rPr>
        <w:t>进行编写，如有必要，可以增加附页，作为投标文件的组成部分。</w:t>
      </w:r>
    </w:p>
    <w:p w14:paraId="621934DD">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3.7.2</w:t>
      </w:r>
      <w:r>
        <w:rPr>
          <w:rFonts w:hint="eastAsia" w:ascii="宋体" w:hAnsi="宋体"/>
          <w:color w:val="auto"/>
          <w:szCs w:val="22"/>
          <w:highlight w:val="none"/>
        </w:rPr>
        <w:t>投标文件应当对招标文件有关服务期限、投标有效期、委托人要求、招标范围等实质性内容作出响应。</w:t>
      </w:r>
    </w:p>
    <w:p w14:paraId="12CE1468">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3.7.3</w:t>
      </w:r>
      <w:r>
        <w:rPr>
          <w:rFonts w:hint="eastAsia" w:ascii="宋体" w:hAnsi="宋体"/>
          <w:color w:val="auto"/>
          <w:szCs w:val="22"/>
          <w:highlight w:val="none"/>
        </w:rPr>
        <w:t>（</w:t>
      </w:r>
      <w:r>
        <w:rPr>
          <w:rFonts w:ascii="宋体" w:hAnsi="宋体"/>
          <w:color w:val="auto"/>
          <w:szCs w:val="22"/>
          <w:highlight w:val="none"/>
        </w:rPr>
        <w:t>B</w:t>
      </w:r>
      <w:r>
        <w:rPr>
          <w:rFonts w:hint="eastAsia" w:ascii="宋体" w:hAnsi="宋体"/>
          <w:color w:val="auto"/>
          <w:szCs w:val="22"/>
          <w:highlight w:val="none"/>
        </w:rPr>
        <w:t>）投标文件全部采用电子文档，除投标人须知前附表另有规定外，投标文件所附证书证件均为原件扫描件，并</w:t>
      </w:r>
      <w:r>
        <w:rPr>
          <w:rFonts w:hint="eastAsia" w:ascii="宋体" w:hAnsi="宋体"/>
          <w:color w:val="auto"/>
          <w:szCs w:val="21"/>
          <w:highlight w:val="none"/>
        </w:rPr>
        <w:t>采用单位和个人数字证书，按招标文件要求在相应位置加盖电子印章</w:t>
      </w:r>
      <w:r>
        <w:rPr>
          <w:rFonts w:hint="eastAsia" w:ascii="宋体" w:hAnsi="宋体"/>
          <w:color w:val="auto"/>
          <w:szCs w:val="22"/>
          <w:highlight w:val="none"/>
        </w:rPr>
        <w:t>。由投标人的法定代表人签字或加盖电子印章的，应附法定代表人身份证明，由代理人签字或加盖电子印章的，应附由法定代表人签署的授权委托书。签字或盖章的具体要求见投标人须知前附表。</w:t>
      </w:r>
    </w:p>
    <w:p w14:paraId="3C22839E">
      <w:pPr>
        <w:keepNext/>
        <w:keepLines/>
        <w:adjustRightInd w:val="0"/>
        <w:spacing w:before="240" w:after="120"/>
        <w:textAlignment w:val="baseline"/>
        <w:outlineLvl w:val="1"/>
        <w:rPr>
          <w:rFonts w:hint="eastAsia" w:ascii="宋体" w:hAnsi="宋体"/>
          <w:b/>
          <w:color w:val="auto"/>
          <w:kern w:val="0"/>
          <w:sz w:val="28"/>
          <w:szCs w:val="20"/>
          <w:highlight w:val="none"/>
        </w:rPr>
      </w:pPr>
      <w:bookmarkStart w:id="292" w:name="_Toc24638"/>
      <w:bookmarkStart w:id="293" w:name="_Toc25877"/>
      <w:bookmarkStart w:id="294" w:name="_Toc13135"/>
      <w:bookmarkStart w:id="295" w:name="_Toc3151"/>
      <w:bookmarkStart w:id="296" w:name="_Toc9181"/>
      <w:bookmarkStart w:id="297" w:name="_Toc27027"/>
      <w:bookmarkStart w:id="298" w:name="_Toc20846"/>
      <w:bookmarkStart w:id="299" w:name="_Toc32645"/>
      <w:bookmarkStart w:id="300" w:name="_Toc9590385"/>
      <w:bookmarkStart w:id="301" w:name="_Toc962"/>
      <w:r>
        <w:rPr>
          <w:rFonts w:ascii="宋体" w:hAnsi="宋体"/>
          <w:b/>
          <w:color w:val="auto"/>
          <w:kern w:val="0"/>
          <w:sz w:val="28"/>
          <w:szCs w:val="20"/>
          <w:highlight w:val="none"/>
        </w:rPr>
        <w:t>4.</w:t>
      </w:r>
      <w:r>
        <w:rPr>
          <w:rFonts w:hint="eastAsia" w:ascii="宋体" w:hAnsi="宋体"/>
          <w:b/>
          <w:color w:val="auto"/>
          <w:kern w:val="0"/>
          <w:sz w:val="28"/>
          <w:szCs w:val="20"/>
          <w:highlight w:val="none"/>
        </w:rPr>
        <w:t>投标</w:t>
      </w:r>
      <w:bookmarkEnd w:id="292"/>
      <w:bookmarkEnd w:id="293"/>
      <w:bookmarkEnd w:id="294"/>
      <w:bookmarkEnd w:id="295"/>
      <w:bookmarkEnd w:id="296"/>
      <w:bookmarkEnd w:id="297"/>
      <w:bookmarkEnd w:id="298"/>
      <w:bookmarkEnd w:id="299"/>
      <w:bookmarkEnd w:id="300"/>
      <w:bookmarkEnd w:id="301"/>
    </w:p>
    <w:p w14:paraId="6AB35032">
      <w:pPr>
        <w:keepNext/>
        <w:keepLines/>
        <w:spacing w:before="260" w:after="260"/>
        <w:ind w:firstLine="117" w:firstLineChars="49"/>
        <w:outlineLvl w:val="2"/>
        <w:rPr>
          <w:rFonts w:hint="eastAsia" w:ascii="宋体" w:hAnsi="宋体"/>
          <w:color w:val="auto"/>
          <w:sz w:val="24"/>
          <w:szCs w:val="20"/>
          <w:highlight w:val="none"/>
        </w:rPr>
      </w:pPr>
      <w:bookmarkStart w:id="302" w:name="_Toc32628"/>
      <w:bookmarkStart w:id="303" w:name="_Toc30114"/>
      <w:bookmarkStart w:id="304" w:name="_Toc22184"/>
      <w:bookmarkStart w:id="305" w:name="_Toc9590386"/>
      <w:bookmarkStart w:id="306" w:name="_Toc24884"/>
      <w:bookmarkStart w:id="307" w:name="_Toc19591"/>
      <w:bookmarkStart w:id="308" w:name="_Toc662"/>
      <w:bookmarkStart w:id="309" w:name="_Toc31901"/>
      <w:r>
        <w:rPr>
          <w:rFonts w:ascii="宋体" w:hAnsi="宋体"/>
          <w:color w:val="auto"/>
          <w:sz w:val="24"/>
          <w:szCs w:val="20"/>
          <w:highlight w:val="none"/>
        </w:rPr>
        <w:t>4.1</w:t>
      </w:r>
      <w:r>
        <w:rPr>
          <w:rFonts w:hint="eastAsia" w:ascii="宋体" w:hAnsi="宋体"/>
          <w:color w:val="auto"/>
          <w:sz w:val="24"/>
          <w:szCs w:val="20"/>
          <w:highlight w:val="none"/>
        </w:rPr>
        <w:t>投标文件的密封和标记</w:t>
      </w:r>
      <w:bookmarkEnd w:id="302"/>
      <w:bookmarkEnd w:id="303"/>
      <w:bookmarkEnd w:id="304"/>
      <w:bookmarkEnd w:id="305"/>
      <w:bookmarkEnd w:id="306"/>
      <w:bookmarkEnd w:id="307"/>
      <w:bookmarkEnd w:id="308"/>
      <w:bookmarkEnd w:id="309"/>
    </w:p>
    <w:p w14:paraId="144F0E17">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4.1.1</w:t>
      </w:r>
      <w:r>
        <w:rPr>
          <w:rFonts w:hint="eastAsia" w:ascii="宋体" w:hAnsi="宋体"/>
          <w:color w:val="auto"/>
          <w:szCs w:val="22"/>
          <w:highlight w:val="none"/>
        </w:rPr>
        <w:t>（</w:t>
      </w:r>
      <w:r>
        <w:rPr>
          <w:rFonts w:ascii="宋体" w:hAnsi="宋体"/>
          <w:color w:val="auto"/>
          <w:szCs w:val="22"/>
          <w:highlight w:val="none"/>
        </w:rPr>
        <w:t>B</w:t>
      </w:r>
      <w:r>
        <w:rPr>
          <w:rFonts w:hint="eastAsia" w:ascii="宋体" w:hAnsi="宋体"/>
          <w:color w:val="auto"/>
          <w:szCs w:val="22"/>
          <w:highlight w:val="none"/>
        </w:rPr>
        <w:t>）投标人应当按照招标文件和电子招标投标交易平台的要求加密投标文件，具体要求见投标人须知前附表。</w:t>
      </w:r>
    </w:p>
    <w:p w14:paraId="1FBB8E84">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4.1.2</w:t>
      </w:r>
      <w:r>
        <w:rPr>
          <w:rFonts w:hint="eastAsia" w:ascii="宋体" w:hAnsi="宋体"/>
          <w:color w:val="auto"/>
          <w:szCs w:val="22"/>
          <w:highlight w:val="none"/>
        </w:rPr>
        <w:t>投标文件封套上应写明的内容见投标人须知前附表。</w:t>
      </w:r>
    </w:p>
    <w:p w14:paraId="29B6F4B0">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4.1.3</w:t>
      </w:r>
      <w:r>
        <w:rPr>
          <w:rFonts w:hint="eastAsia" w:ascii="宋体" w:hAnsi="宋体"/>
          <w:color w:val="auto"/>
          <w:szCs w:val="22"/>
          <w:highlight w:val="none"/>
        </w:rPr>
        <w:t>未按本章第</w:t>
      </w:r>
      <w:r>
        <w:rPr>
          <w:rFonts w:ascii="宋体" w:hAnsi="宋体"/>
          <w:color w:val="auto"/>
          <w:szCs w:val="22"/>
          <w:highlight w:val="none"/>
        </w:rPr>
        <w:t>4.1.1</w:t>
      </w:r>
      <w:r>
        <w:rPr>
          <w:rFonts w:hint="eastAsia" w:ascii="宋体" w:hAnsi="宋体"/>
          <w:color w:val="auto"/>
          <w:szCs w:val="22"/>
          <w:highlight w:val="none"/>
        </w:rPr>
        <w:t>项要求密封的投标文件，招标人将予以拒收。</w:t>
      </w:r>
    </w:p>
    <w:p w14:paraId="5D587138">
      <w:pPr>
        <w:keepNext/>
        <w:keepLines/>
        <w:spacing w:before="260" w:after="260"/>
        <w:ind w:firstLine="117" w:firstLineChars="49"/>
        <w:outlineLvl w:val="2"/>
        <w:rPr>
          <w:rFonts w:hint="eastAsia" w:ascii="宋体" w:hAnsi="宋体"/>
          <w:color w:val="auto"/>
          <w:sz w:val="24"/>
          <w:szCs w:val="20"/>
          <w:highlight w:val="none"/>
        </w:rPr>
      </w:pPr>
      <w:bookmarkStart w:id="310" w:name="_Toc1147"/>
      <w:bookmarkStart w:id="311" w:name="_Toc14344"/>
      <w:bookmarkStart w:id="312" w:name="_Toc31518"/>
      <w:bookmarkStart w:id="313" w:name="_Toc28230"/>
      <w:bookmarkStart w:id="314" w:name="_Toc10391"/>
      <w:bookmarkStart w:id="315" w:name="_Toc9590387"/>
      <w:bookmarkStart w:id="316" w:name="_Toc1887"/>
      <w:bookmarkStart w:id="317" w:name="_Toc1839"/>
      <w:r>
        <w:rPr>
          <w:rFonts w:ascii="宋体" w:hAnsi="宋体"/>
          <w:color w:val="auto"/>
          <w:sz w:val="24"/>
          <w:szCs w:val="20"/>
          <w:highlight w:val="none"/>
        </w:rPr>
        <w:t>4.2</w:t>
      </w:r>
      <w:r>
        <w:rPr>
          <w:rFonts w:hint="eastAsia" w:ascii="宋体" w:hAnsi="宋体"/>
          <w:color w:val="auto"/>
          <w:sz w:val="24"/>
          <w:szCs w:val="20"/>
          <w:highlight w:val="none"/>
        </w:rPr>
        <w:t>投标文件的递交</w:t>
      </w:r>
      <w:bookmarkEnd w:id="310"/>
      <w:bookmarkEnd w:id="311"/>
      <w:bookmarkEnd w:id="312"/>
      <w:bookmarkEnd w:id="313"/>
      <w:bookmarkEnd w:id="314"/>
      <w:bookmarkEnd w:id="315"/>
      <w:bookmarkEnd w:id="316"/>
      <w:bookmarkEnd w:id="317"/>
    </w:p>
    <w:p w14:paraId="19708BD1">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4.2.1</w:t>
      </w:r>
      <w:r>
        <w:rPr>
          <w:rFonts w:hint="eastAsia" w:ascii="宋体" w:hAnsi="宋体"/>
          <w:color w:val="auto"/>
          <w:szCs w:val="22"/>
          <w:highlight w:val="none"/>
        </w:rPr>
        <w:t>投标人应在投标人须知前附表规定的投标截止时间前递交投标文件。</w:t>
      </w:r>
    </w:p>
    <w:p w14:paraId="77960B9B">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4.2.2</w:t>
      </w:r>
      <w:r>
        <w:rPr>
          <w:rFonts w:hint="eastAsia" w:ascii="宋体" w:hAnsi="宋体"/>
          <w:color w:val="auto"/>
          <w:szCs w:val="22"/>
          <w:highlight w:val="none"/>
        </w:rPr>
        <w:t>（</w:t>
      </w:r>
      <w:r>
        <w:rPr>
          <w:rFonts w:ascii="宋体" w:hAnsi="宋体"/>
          <w:color w:val="auto"/>
          <w:szCs w:val="22"/>
          <w:highlight w:val="none"/>
        </w:rPr>
        <w:t>B</w:t>
      </w:r>
      <w:r>
        <w:rPr>
          <w:rFonts w:hint="eastAsia" w:ascii="宋体" w:hAnsi="宋体"/>
          <w:color w:val="auto"/>
          <w:szCs w:val="22"/>
          <w:highlight w:val="none"/>
        </w:rPr>
        <w:t>）</w:t>
      </w:r>
      <w:r>
        <w:rPr>
          <w:rFonts w:hint="eastAsia" w:ascii="宋体" w:hAnsi="宋体"/>
          <w:bCs/>
          <w:iCs/>
          <w:color w:val="auto"/>
          <w:szCs w:val="22"/>
          <w:highlight w:val="none"/>
        </w:rPr>
        <w:t>投标人通过下载招标文件的电子招标投标交易平台递交电子投标文件。</w:t>
      </w:r>
    </w:p>
    <w:p w14:paraId="76F72CE0">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4.2.3</w:t>
      </w:r>
      <w:r>
        <w:rPr>
          <w:rFonts w:hint="eastAsia" w:ascii="宋体" w:hAnsi="宋体"/>
          <w:color w:val="auto"/>
          <w:szCs w:val="22"/>
          <w:highlight w:val="none"/>
        </w:rPr>
        <w:t>除投标人须知前附表另有规定外，投标人所递交的投标文件不予退还。</w:t>
      </w:r>
    </w:p>
    <w:p w14:paraId="79F38938">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4.2.4</w:t>
      </w:r>
      <w:r>
        <w:rPr>
          <w:rFonts w:hint="eastAsia" w:ascii="宋体" w:hAnsi="宋体"/>
          <w:color w:val="auto"/>
          <w:szCs w:val="22"/>
          <w:highlight w:val="none"/>
        </w:rPr>
        <w:t>（</w:t>
      </w:r>
      <w:r>
        <w:rPr>
          <w:rFonts w:ascii="宋体" w:hAnsi="宋体"/>
          <w:color w:val="auto"/>
          <w:szCs w:val="22"/>
          <w:highlight w:val="none"/>
        </w:rPr>
        <w:t>B</w:t>
      </w:r>
      <w:r>
        <w:rPr>
          <w:rFonts w:hint="eastAsia" w:ascii="宋体" w:hAnsi="宋体"/>
          <w:color w:val="auto"/>
          <w:szCs w:val="22"/>
          <w:highlight w:val="none"/>
        </w:rPr>
        <w:t>）投标人完成电子投标文件上传后，</w:t>
      </w:r>
      <w:r>
        <w:rPr>
          <w:rFonts w:hint="eastAsia" w:ascii="宋体" w:hAnsi="宋体"/>
          <w:bCs/>
          <w:iCs/>
          <w:color w:val="auto"/>
          <w:szCs w:val="22"/>
          <w:highlight w:val="none"/>
        </w:rPr>
        <w:t>电子招标投标交易平台</w:t>
      </w:r>
      <w:r>
        <w:rPr>
          <w:rFonts w:hint="eastAsia" w:ascii="宋体" w:hAnsi="宋体"/>
          <w:color w:val="auto"/>
          <w:szCs w:val="22"/>
          <w:highlight w:val="none"/>
        </w:rPr>
        <w:t>即时向投标人发出递交回执通知。递交时间以递交回执通知载明的传输完成时间为准。</w:t>
      </w:r>
    </w:p>
    <w:p w14:paraId="0AC90BF8">
      <w:pPr>
        <w:spacing w:line="400" w:lineRule="exact"/>
        <w:ind w:firstLine="420" w:firstLineChars="200"/>
        <w:jc w:val="left"/>
        <w:rPr>
          <w:rFonts w:hint="eastAsia" w:ascii="宋体" w:hAnsi="宋体"/>
          <w:color w:val="auto"/>
          <w:szCs w:val="22"/>
          <w:highlight w:val="none"/>
        </w:rPr>
      </w:pPr>
      <w:r>
        <w:rPr>
          <w:rFonts w:ascii="宋体" w:hAnsi="宋体"/>
          <w:color w:val="auto"/>
          <w:szCs w:val="22"/>
          <w:highlight w:val="none"/>
        </w:rPr>
        <w:t>4.2.5</w:t>
      </w:r>
      <w:r>
        <w:rPr>
          <w:rFonts w:hint="eastAsia" w:ascii="宋体" w:hAnsi="宋体"/>
          <w:color w:val="auto"/>
          <w:szCs w:val="22"/>
          <w:highlight w:val="none"/>
        </w:rPr>
        <w:t>（</w:t>
      </w:r>
      <w:r>
        <w:rPr>
          <w:rFonts w:ascii="宋体" w:hAnsi="宋体"/>
          <w:color w:val="auto"/>
          <w:szCs w:val="22"/>
          <w:highlight w:val="none"/>
        </w:rPr>
        <w:t>B</w:t>
      </w:r>
      <w:r>
        <w:rPr>
          <w:rFonts w:hint="eastAsia" w:ascii="宋体" w:hAnsi="宋体"/>
          <w:color w:val="auto"/>
          <w:szCs w:val="22"/>
          <w:highlight w:val="none"/>
        </w:rPr>
        <w:t>）逾期送达的投标文件，电子招标投标交易平台将予以拒收。</w:t>
      </w:r>
    </w:p>
    <w:p w14:paraId="1F5658F2">
      <w:pPr>
        <w:spacing w:line="400" w:lineRule="exact"/>
        <w:ind w:firstLine="420" w:firstLineChars="200"/>
        <w:rPr>
          <w:rFonts w:hint="eastAsia" w:ascii="宋体" w:hAnsi="宋体"/>
          <w:color w:val="auto"/>
          <w:szCs w:val="22"/>
          <w:highlight w:val="none"/>
        </w:rPr>
      </w:pPr>
    </w:p>
    <w:p w14:paraId="6AA49BCE">
      <w:pPr>
        <w:keepNext/>
        <w:keepLines/>
        <w:spacing w:before="260" w:after="260"/>
        <w:ind w:firstLine="117" w:firstLineChars="49"/>
        <w:outlineLvl w:val="2"/>
        <w:rPr>
          <w:rFonts w:hint="eastAsia" w:ascii="宋体" w:hAnsi="宋体"/>
          <w:color w:val="auto"/>
          <w:sz w:val="24"/>
          <w:szCs w:val="20"/>
          <w:highlight w:val="none"/>
        </w:rPr>
      </w:pPr>
      <w:bookmarkStart w:id="318" w:name="_Toc339"/>
      <w:bookmarkStart w:id="319" w:name="_Toc21851"/>
      <w:bookmarkStart w:id="320" w:name="_Toc4263"/>
      <w:bookmarkStart w:id="321" w:name="_Toc2713"/>
      <w:bookmarkStart w:id="322" w:name="_Toc30281"/>
      <w:bookmarkStart w:id="323" w:name="_Toc26151"/>
      <w:bookmarkStart w:id="324" w:name="_Toc9590388"/>
      <w:bookmarkStart w:id="325" w:name="_Toc21557"/>
      <w:r>
        <w:rPr>
          <w:rFonts w:ascii="宋体" w:hAnsi="宋体"/>
          <w:color w:val="auto"/>
          <w:sz w:val="24"/>
          <w:szCs w:val="20"/>
          <w:highlight w:val="none"/>
        </w:rPr>
        <w:t>4.3</w:t>
      </w:r>
      <w:r>
        <w:rPr>
          <w:rFonts w:hint="eastAsia" w:ascii="宋体" w:hAnsi="宋体"/>
          <w:color w:val="auto"/>
          <w:sz w:val="24"/>
          <w:szCs w:val="20"/>
          <w:highlight w:val="none"/>
        </w:rPr>
        <w:t>投标文件的修改与撤回</w:t>
      </w:r>
      <w:bookmarkEnd w:id="318"/>
      <w:bookmarkEnd w:id="319"/>
      <w:bookmarkEnd w:id="320"/>
      <w:bookmarkEnd w:id="321"/>
      <w:bookmarkEnd w:id="322"/>
      <w:bookmarkEnd w:id="323"/>
      <w:bookmarkEnd w:id="324"/>
      <w:bookmarkEnd w:id="325"/>
    </w:p>
    <w:p w14:paraId="5F32317B">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4.3.1</w:t>
      </w:r>
      <w:r>
        <w:rPr>
          <w:rFonts w:hint="eastAsia" w:ascii="宋体" w:hAnsi="宋体"/>
          <w:color w:val="auto"/>
          <w:szCs w:val="22"/>
          <w:highlight w:val="none"/>
        </w:rPr>
        <w:t>在本章第</w:t>
      </w:r>
      <w:r>
        <w:rPr>
          <w:rFonts w:ascii="宋体" w:hAnsi="宋体"/>
          <w:color w:val="auto"/>
          <w:szCs w:val="22"/>
          <w:highlight w:val="none"/>
        </w:rPr>
        <w:t>4.2.1</w:t>
      </w:r>
      <w:r>
        <w:rPr>
          <w:rFonts w:hint="eastAsia" w:ascii="宋体" w:hAnsi="宋体"/>
          <w:color w:val="auto"/>
          <w:szCs w:val="22"/>
          <w:highlight w:val="none"/>
        </w:rPr>
        <w:t>项规定的投标截止时间前，投标人可以修改或撤回已递交的投标文件，但应以书面形式通知招标人。</w:t>
      </w:r>
    </w:p>
    <w:p w14:paraId="1A68FDE6">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4.3.2</w:t>
      </w:r>
      <w:r>
        <w:rPr>
          <w:rFonts w:hint="eastAsia" w:ascii="宋体" w:hAnsi="宋体"/>
          <w:color w:val="auto"/>
          <w:szCs w:val="22"/>
          <w:highlight w:val="none"/>
        </w:rPr>
        <w:t>（</w:t>
      </w:r>
      <w:r>
        <w:rPr>
          <w:rFonts w:ascii="宋体" w:hAnsi="宋体"/>
          <w:color w:val="auto"/>
          <w:szCs w:val="22"/>
          <w:highlight w:val="none"/>
        </w:rPr>
        <w:t>B</w:t>
      </w:r>
      <w:r>
        <w:rPr>
          <w:rFonts w:hint="eastAsia" w:ascii="宋体" w:hAnsi="宋体"/>
          <w:color w:val="auto"/>
          <w:szCs w:val="22"/>
          <w:highlight w:val="none"/>
        </w:rPr>
        <w:t>）投标人修改或撤回已递交投标文件的通知，应按照本章第</w:t>
      </w:r>
      <w:r>
        <w:rPr>
          <w:rFonts w:ascii="宋体" w:hAnsi="宋体"/>
          <w:color w:val="auto"/>
          <w:szCs w:val="22"/>
          <w:highlight w:val="none"/>
        </w:rPr>
        <w:t>3.7.3</w:t>
      </w:r>
      <w:r>
        <w:rPr>
          <w:rFonts w:hint="eastAsia" w:ascii="宋体" w:hAnsi="宋体"/>
          <w:color w:val="auto"/>
          <w:szCs w:val="22"/>
          <w:highlight w:val="none"/>
        </w:rPr>
        <w:t>（</w:t>
      </w:r>
      <w:r>
        <w:rPr>
          <w:rFonts w:ascii="宋体" w:hAnsi="宋体"/>
          <w:color w:val="auto"/>
          <w:szCs w:val="22"/>
          <w:highlight w:val="none"/>
        </w:rPr>
        <w:t>B</w:t>
      </w:r>
      <w:r>
        <w:rPr>
          <w:rFonts w:hint="eastAsia" w:ascii="宋体" w:hAnsi="宋体"/>
          <w:color w:val="auto"/>
          <w:szCs w:val="22"/>
          <w:highlight w:val="none"/>
        </w:rPr>
        <w:t>）项的要求加盖电子印章。</w:t>
      </w:r>
      <w:r>
        <w:rPr>
          <w:rFonts w:hint="eastAsia" w:ascii="宋体" w:hAnsi="宋体"/>
          <w:bCs/>
          <w:iCs/>
          <w:color w:val="auto"/>
          <w:szCs w:val="22"/>
          <w:highlight w:val="none"/>
        </w:rPr>
        <w:t>电子招标投标交易平台收到通知后，</w:t>
      </w:r>
      <w:r>
        <w:rPr>
          <w:rFonts w:hint="eastAsia" w:ascii="宋体" w:hAnsi="宋体"/>
          <w:color w:val="auto"/>
          <w:szCs w:val="22"/>
          <w:highlight w:val="none"/>
        </w:rPr>
        <w:t>即时向投标人发出确认回执通知。</w:t>
      </w:r>
    </w:p>
    <w:p w14:paraId="22571C17">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4.3.3</w:t>
      </w:r>
      <w:r>
        <w:rPr>
          <w:rFonts w:hint="eastAsia" w:ascii="宋体" w:hAnsi="宋体"/>
          <w:color w:val="auto"/>
          <w:szCs w:val="22"/>
          <w:highlight w:val="none"/>
        </w:rPr>
        <w:t>投标人撤回投标文件的，招标人自收到投标人书面撤回通知之日起</w:t>
      </w:r>
      <w:r>
        <w:rPr>
          <w:rFonts w:ascii="宋体" w:hAnsi="宋体"/>
          <w:color w:val="auto"/>
          <w:szCs w:val="22"/>
          <w:highlight w:val="none"/>
        </w:rPr>
        <w:t>5</w:t>
      </w:r>
      <w:r>
        <w:rPr>
          <w:rFonts w:hint="eastAsia" w:ascii="宋体" w:hAnsi="宋体"/>
          <w:color w:val="auto"/>
          <w:szCs w:val="22"/>
          <w:highlight w:val="none"/>
        </w:rPr>
        <w:t>日内退还已收取的投标保证金。</w:t>
      </w:r>
    </w:p>
    <w:p w14:paraId="73EA3EE4">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4.3.4</w:t>
      </w:r>
      <w:r>
        <w:rPr>
          <w:rFonts w:hint="eastAsia" w:ascii="宋体" w:hAnsi="宋体"/>
          <w:color w:val="auto"/>
          <w:szCs w:val="22"/>
          <w:highlight w:val="none"/>
        </w:rPr>
        <w:t>修改的内容为投标文件的组成部分。修改的投标文件应按照本章第</w:t>
      </w:r>
      <w:r>
        <w:rPr>
          <w:rFonts w:ascii="宋体" w:hAnsi="宋体"/>
          <w:color w:val="auto"/>
          <w:szCs w:val="22"/>
          <w:highlight w:val="none"/>
        </w:rPr>
        <w:t>3</w:t>
      </w:r>
      <w:r>
        <w:rPr>
          <w:rFonts w:hint="eastAsia" w:ascii="宋体" w:hAnsi="宋体"/>
          <w:color w:val="auto"/>
          <w:szCs w:val="22"/>
          <w:highlight w:val="none"/>
        </w:rPr>
        <w:t>条、第</w:t>
      </w:r>
      <w:r>
        <w:rPr>
          <w:rFonts w:ascii="宋体" w:hAnsi="宋体"/>
          <w:color w:val="auto"/>
          <w:szCs w:val="22"/>
          <w:highlight w:val="none"/>
        </w:rPr>
        <w:t>4</w:t>
      </w:r>
      <w:r>
        <w:rPr>
          <w:rFonts w:hint="eastAsia" w:ascii="宋体" w:hAnsi="宋体"/>
          <w:color w:val="auto"/>
          <w:szCs w:val="22"/>
          <w:highlight w:val="none"/>
        </w:rPr>
        <w:t>条的规定进行编制、密封、标记和递交，并标明</w:t>
      </w:r>
      <w:r>
        <w:rPr>
          <w:rFonts w:ascii="宋体" w:hAnsi="宋体"/>
          <w:color w:val="auto"/>
          <w:szCs w:val="22"/>
          <w:highlight w:val="none"/>
        </w:rPr>
        <w:t>“</w:t>
      </w:r>
      <w:r>
        <w:rPr>
          <w:rFonts w:hint="eastAsia" w:ascii="宋体" w:hAnsi="宋体"/>
          <w:color w:val="auto"/>
          <w:szCs w:val="22"/>
          <w:highlight w:val="none"/>
        </w:rPr>
        <w:t>修改</w:t>
      </w:r>
      <w:r>
        <w:rPr>
          <w:rFonts w:ascii="宋体" w:hAnsi="宋体"/>
          <w:color w:val="auto"/>
          <w:szCs w:val="22"/>
          <w:highlight w:val="none"/>
        </w:rPr>
        <w:t>”</w:t>
      </w:r>
      <w:r>
        <w:rPr>
          <w:rFonts w:hint="eastAsia" w:ascii="宋体" w:hAnsi="宋体"/>
          <w:color w:val="auto"/>
          <w:szCs w:val="22"/>
          <w:highlight w:val="none"/>
        </w:rPr>
        <w:t>字样。</w:t>
      </w:r>
    </w:p>
    <w:p w14:paraId="72F9A72C">
      <w:pPr>
        <w:keepNext/>
        <w:keepLines/>
        <w:adjustRightInd w:val="0"/>
        <w:spacing w:before="240" w:after="120"/>
        <w:textAlignment w:val="baseline"/>
        <w:outlineLvl w:val="1"/>
        <w:rPr>
          <w:rFonts w:hint="eastAsia" w:ascii="宋体" w:hAnsi="宋体"/>
          <w:b/>
          <w:color w:val="auto"/>
          <w:kern w:val="0"/>
          <w:sz w:val="28"/>
          <w:szCs w:val="20"/>
          <w:highlight w:val="none"/>
        </w:rPr>
      </w:pPr>
      <w:bookmarkStart w:id="326" w:name="_Toc27591"/>
      <w:bookmarkStart w:id="327" w:name="_Toc7084"/>
      <w:bookmarkStart w:id="328" w:name="_Toc12028"/>
      <w:bookmarkStart w:id="329" w:name="_Toc14077"/>
      <w:bookmarkStart w:id="330" w:name="_Toc10011"/>
      <w:bookmarkStart w:id="331" w:name="_Toc686"/>
      <w:bookmarkStart w:id="332" w:name="_Toc27657"/>
      <w:bookmarkStart w:id="333" w:name="_Toc14088"/>
      <w:bookmarkStart w:id="334" w:name="_Toc16614"/>
      <w:bookmarkStart w:id="335" w:name="_Toc9590389"/>
      <w:r>
        <w:rPr>
          <w:rFonts w:ascii="宋体" w:hAnsi="宋体"/>
          <w:b/>
          <w:color w:val="auto"/>
          <w:kern w:val="0"/>
          <w:sz w:val="28"/>
          <w:szCs w:val="20"/>
          <w:highlight w:val="none"/>
        </w:rPr>
        <w:t>5.</w:t>
      </w:r>
      <w:r>
        <w:rPr>
          <w:rFonts w:hint="eastAsia" w:ascii="宋体" w:hAnsi="宋体"/>
          <w:b/>
          <w:color w:val="auto"/>
          <w:kern w:val="0"/>
          <w:sz w:val="28"/>
          <w:szCs w:val="20"/>
          <w:highlight w:val="none"/>
        </w:rPr>
        <w:t>开标</w:t>
      </w:r>
      <w:bookmarkEnd w:id="326"/>
      <w:bookmarkEnd w:id="327"/>
      <w:bookmarkEnd w:id="328"/>
      <w:bookmarkEnd w:id="329"/>
      <w:bookmarkEnd w:id="330"/>
      <w:bookmarkEnd w:id="331"/>
      <w:bookmarkEnd w:id="332"/>
      <w:bookmarkEnd w:id="333"/>
      <w:bookmarkEnd w:id="334"/>
      <w:bookmarkEnd w:id="335"/>
    </w:p>
    <w:p w14:paraId="360969C1">
      <w:pPr>
        <w:keepNext/>
        <w:keepLines/>
        <w:spacing w:before="260" w:after="260"/>
        <w:ind w:firstLine="117" w:firstLineChars="49"/>
        <w:outlineLvl w:val="2"/>
        <w:rPr>
          <w:rFonts w:hint="eastAsia" w:ascii="宋体" w:hAnsi="宋体"/>
          <w:color w:val="auto"/>
          <w:sz w:val="24"/>
          <w:szCs w:val="20"/>
          <w:highlight w:val="none"/>
        </w:rPr>
      </w:pPr>
      <w:bookmarkStart w:id="336" w:name="_Toc24731"/>
      <w:bookmarkStart w:id="337" w:name="_Toc9590391"/>
      <w:bookmarkStart w:id="338" w:name="_Toc7838"/>
      <w:bookmarkStart w:id="339" w:name="_Toc15648"/>
      <w:bookmarkStart w:id="340" w:name="_Toc17573"/>
      <w:bookmarkStart w:id="341" w:name="_Toc28615"/>
      <w:bookmarkStart w:id="342" w:name="_Toc23678"/>
      <w:bookmarkStart w:id="343" w:name="_Toc6815"/>
      <w:r>
        <w:rPr>
          <w:rFonts w:ascii="宋体" w:hAnsi="宋体"/>
          <w:color w:val="auto"/>
          <w:sz w:val="24"/>
          <w:szCs w:val="20"/>
          <w:highlight w:val="none"/>
        </w:rPr>
        <w:t>5.1</w:t>
      </w:r>
      <w:r>
        <w:rPr>
          <w:rFonts w:hint="eastAsia" w:ascii="宋体" w:hAnsi="宋体"/>
          <w:color w:val="auto"/>
          <w:sz w:val="24"/>
          <w:szCs w:val="20"/>
          <w:highlight w:val="none"/>
        </w:rPr>
        <w:t>开标时间和地点（</w:t>
      </w:r>
      <w:r>
        <w:rPr>
          <w:rFonts w:ascii="宋体" w:hAnsi="宋体"/>
          <w:color w:val="auto"/>
          <w:sz w:val="24"/>
          <w:szCs w:val="20"/>
          <w:highlight w:val="none"/>
        </w:rPr>
        <w:t>B</w:t>
      </w:r>
      <w:r>
        <w:rPr>
          <w:rFonts w:hint="eastAsia" w:ascii="宋体" w:hAnsi="宋体"/>
          <w:color w:val="auto"/>
          <w:sz w:val="24"/>
          <w:szCs w:val="20"/>
          <w:highlight w:val="none"/>
        </w:rPr>
        <w:t>）</w:t>
      </w:r>
      <w:bookmarkEnd w:id="336"/>
      <w:bookmarkEnd w:id="337"/>
      <w:bookmarkEnd w:id="338"/>
      <w:bookmarkEnd w:id="339"/>
      <w:bookmarkEnd w:id="340"/>
      <w:bookmarkEnd w:id="341"/>
      <w:bookmarkEnd w:id="342"/>
      <w:bookmarkEnd w:id="343"/>
    </w:p>
    <w:p w14:paraId="4642A840">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本电子招投标项目在本章4.2.1项规定的投标截止时间（开标时间），在</w:t>
      </w:r>
      <w:r>
        <w:rPr>
          <w:rFonts w:hint="eastAsia" w:ascii="宋体" w:hAnsi="宋体"/>
          <w:color w:val="auto"/>
          <w:szCs w:val="22"/>
          <w:highlight w:val="none"/>
          <w:lang w:eastAsia="zh-CN"/>
        </w:rPr>
        <w:t>广州交易集团有限公司（广州公共资源交易中心）</w:t>
      </w:r>
      <w:r>
        <w:rPr>
          <w:rFonts w:hint="eastAsia" w:ascii="宋体" w:hAnsi="宋体"/>
          <w:color w:val="auto"/>
          <w:szCs w:val="22"/>
          <w:highlight w:val="none"/>
        </w:rPr>
        <w:t>公开开标，并邀请所有投标人的法定代表人或其委托代理人准时参加。</w:t>
      </w:r>
      <w:bookmarkStart w:id="344" w:name="_Toc9590392"/>
    </w:p>
    <w:p w14:paraId="11A65D3C">
      <w:pPr>
        <w:keepNext/>
        <w:keepLines/>
        <w:spacing w:before="260" w:after="260"/>
        <w:ind w:firstLine="117" w:firstLineChars="49"/>
        <w:outlineLvl w:val="2"/>
        <w:rPr>
          <w:rFonts w:hint="eastAsia" w:ascii="宋体" w:hAnsi="宋体"/>
          <w:color w:val="auto"/>
          <w:sz w:val="24"/>
          <w:szCs w:val="20"/>
          <w:highlight w:val="none"/>
        </w:rPr>
      </w:pPr>
      <w:bookmarkStart w:id="345" w:name="_Toc30335"/>
      <w:bookmarkStart w:id="346" w:name="_Toc20667"/>
      <w:bookmarkStart w:id="347" w:name="_Toc1402"/>
      <w:bookmarkStart w:id="348" w:name="_Toc12934"/>
      <w:bookmarkStart w:id="349" w:name="_Toc23627"/>
      <w:bookmarkStart w:id="350" w:name="_Toc11017"/>
      <w:bookmarkStart w:id="351" w:name="_Toc15687"/>
      <w:r>
        <w:rPr>
          <w:rFonts w:ascii="宋体" w:hAnsi="宋体"/>
          <w:color w:val="auto"/>
          <w:sz w:val="24"/>
          <w:szCs w:val="20"/>
          <w:highlight w:val="none"/>
        </w:rPr>
        <w:t>5.2</w:t>
      </w:r>
      <w:r>
        <w:rPr>
          <w:rFonts w:hint="eastAsia" w:ascii="宋体" w:hAnsi="宋体"/>
          <w:color w:val="auto"/>
          <w:sz w:val="24"/>
          <w:szCs w:val="20"/>
          <w:highlight w:val="none"/>
        </w:rPr>
        <w:t>开标程序</w:t>
      </w:r>
      <w:bookmarkEnd w:id="344"/>
      <w:bookmarkEnd w:id="345"/>
      <w:bookmarkEnd w:id="346"/>
      <w:bookmarkEnd w:id="347"/>
      <w:bookmarkEnd w:id="348"/>
      <w:bookmarkEnd w:id="349"/>
      <w:bookmarkEnd w:id="350"/>
      <w:bookmarkEnd w:id="351"/>
    </w:p>
    <w:p w14:paraId="7ED7D0AB">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主持人按下列程序进行开标：</w:t>
      </w:r>
    </w:p>
    <w:p w14:paraId="7F2B2409">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1</w:t>
      </w:r>
      <w:r>
        <w:rPr>
          <w:rFonts w:hint="eastAsia" w:ascii="宋体" w:hAnsi="宋体"/>
          <w:color w:val="auto"/>
          <w:szCs w:val="22"/>
          <w:highlight w:val="none"/>
        </w:rPr>
        <w:t>）宣布开标纪律；</w:t>
      </w:r>
    </w:p>
    <w:p w14:paraId="0B8B363C">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2</w:t>
      </w:r>
      <w:r>
        <w:rPr>
          <w:rFonts w:hint="eastAsia" w:ascii="宋体" w:hAnsi="宋体"/>
          <w:color w:val="auto"/>
          <w:szCs w:val="22"/>
          <w:highlight w:val="none"/>
        </w:rPr>
        <w:t>）公布在投标截止时间前递交投标文件的投标人名称；</w:t>
      </w:r>
    </w:p>
    <w:p w14:paraId="5C7877DF">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3</w:t>
      </w:r>
      <w:r>
        <w:rPr>
          <w:rFonts w:hint="eastAsia" w:ascii="宋体" w:hAnsi="宋体"/>
          <w:color w:val="auto"/>
          <w:szCs w:val="22"/>
          <w:highlight w:val="none"/>
        </w:rPr>
        <w:t>）宣布开标人、唱标人、记录人、监标人等有关人员姓名；</w:t>
      </w:r>
    </w:p>
    <w:p w14:paraId="75248D4A">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（4）在开启价格标前，首先由招标人从1％、3％、5％的评标参考价候选下浮点数中现场随机抽取确定该项目计算评标基准价的下浮率X，并对有效投标人的价格标投标文件进行公开开标；</w:t>
      </w:r>
    </w:p>
    <w:p w14:paraId="1B436BAE">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5</w:t>
      </w:r>
      <w:r>
        <w:rPr>
          <w:rFonts w:hint="eastAsia" w:ascii="宋体" w:hAnsi="宋体"/>
          <w:color w:val="auto"/>
          <w:szCs w:val="22"/>
          <w:highlight w:val="none"/>
        </w:rPr>
        <w:t>）（</w:t>
      </w:r>
      <w:r>
        <w:rPr>
          <w:rFonts w:ascii="宋体" w:hAnsi="宋体"/>
          <w:color w:val="auto"/>
          <w:szCs w:val="22"/>
          <w:highlight w:val="none"/>
        </w:rPr>
        <w:t>B</w:t>
      </w:r>
      <w:r>
        <w:rPr>
          <w:rFonts w:hint="eastAsia" w:ascii="宋体" w:hAnsi="宋体"/>
          <w:color w:val="auto"/>
          <w:szCs w:val="22"/>
          <w:highlight w:val="none"/>
        </w:rPr>
        <w:t>）投标人通过电子招标投标交易平台对已递交的电子投标文件进行解密，公布招标项目名称、投标人名称、投标保证金的递交情况、投标报价、服务期限及其他内容，并记录在案；</w:t>
      </w:r>
    </w:p>
    <w:p w14:paraId="688C1260">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6</w:t>
      </w:r>
      <w:r>
        <w:rPr>
          <w:rFonts w:hint="eastAsia" w:ascii="宋体" w:hAnsi="宋体"/>
          <w:color w:val="auto"/>
          <w:szCs w:val="22"/>
          <w:highlight w:val="none"/>
        </w:rPr>
        <w:t>）（</w:t>
      </w:r>
      <w:r>
        <w:rPr>
          <w:rFonts w:ascii="宋体" w:hAnsi="宋体"/>
          <w:color w:val="auto"/>
          <w:szCs w:val="22"/>
          <w:highlight w:val="none"/>
        </w:rPr>
        <w:t>B</w:t>
      </w:r>
      <w:r>
        <w:rPr>
          <w:rFonts w:hint="eastAsia" w:ascii="宋体" w:hAnsi="宋体"/>
          <w:color w:val="auto"/>
          <w:szCs w:val="22"/>
          <w:highlight w:val="none"/>
        </w:rPr>
        <w:t>）投标人代表、招标人代表、监标人、记录人等有关人员在开标记录上签字确认；</w:t>
      </w:r>
    </w:p>
    <w:p w14:paraId="066FBE6B">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7</w:t>
      </w:r>
      <w:r>
        <w:rPr>
          <w:rFonts w:hint="eastAsia" w:ascii="宋体" w:hAnsi="宋体"/>
          <w:color w:val="auto"/>
          <w:szCs w:val="22"/>
          <w:highlight w:val="none"/>
        </w:rPr>
        <w:t>）开标结束。</w:t>
      </w:r>
    </w:p>
    <w:p w14:paraId="2C09E34E">
      <w:pPr>
        <w:keepNext/>
        <w:keepLines/>
        <w:spacing w:before="260" w:after="260"/>
        <w:ind w:firstLine="117" w:firstLineChars="49"/>
        <w:outlineLvl w:val="2"/>
        <w:rPr>
          <w:rFonts w:hint="eastAsia" w:ascii="宋体" w:hAnsi="宋体"/>
          <w:color w:val="auto"/>
          <w:sz w:val="24"/>
          <w:szCs w:val="20"/>
          <w:highlight w:val="none"/>
        </w:rPr>
      </w:pPr>
      <w:bookmarkStart w:id="352" w:name="_Toc6595"/>
      <w:bookmarkStart w:id="353" w:name="_Toc8939"/>
      <w:bookmarkStart w:id="354" w:name="_Toc3154"/>
      <w:bookmarkStart w:id="355" w:name="_Toc11951"/>
      <w:bookmarkStart w:id="356" w:name="_Toc3596"/>
      <w:bookmarkStart w:id="357" w:name="_Toc9590393"/>
      <w:bookmarkStart w:id="358" w:name="_Toc21685"/>
      <w:bookmarkStart w:id="359" w:name="_Toc27845"/>
      <w:r>
        <w:rPr>
          <w:rFonts w:ascii="宋体" w:hAnsi="宋体"/>
          <w:color w:val="auto"/>
          <w:sz w:val="24"/>
          <w:szCs w:val="20"/>
          <w:highlight w:val="none"/>
        </w:rPr>
        <w:t>5.3</w:t>
      </w:r>
      <w:r>
        <w:rPr>
          <w:rFonts w:hint="eastAsia" w:ascii="宋体" w:hAnsi="宋体"/>
          <w:color w:val="auto"/>
          <w:sz w:val="24"/>
          <w:szCs w:val="20"/>
          <w:highlight w:val="none"/>
        </w:rPr>
        <w:t>开标异议</w:t>
      </w:r>
      <w:bookmarkEnd w:id="352"/>
      <w:bookmarkEnd w:id="353"/>
      <w:bookmarkEnd w:id="354"/>
      <w:bookmarkEnd w:id="355"/>
      <w:bookmarkEnd w:id="356"/>
      <w:bookmarkEnd w:id="357"/>
      <w:bookmarkEnd w:id="358"/>
      <w:bookmarkEnd w:id="359"/>
    </w:p>
    <w:p w14:paraId="5727C9B7">
      <w:pPr>
        <w:spacing w:line="400" w:lineRule="exact"/>
        <w:ind w:firstLine="359" w:firstLineChars="171"/>
        <w:rPr>
          <w:rFonts w:hint="eastAsia" w:ascii="宋体" w:hAnsi="宋体"/>
          <w:color w:val="auto"/>
          <w:szCs w:val="22"/>
          <w:highlight w:val="none"/>
        </w:rPr>
      </w:pPr>
      <w:r>
        <w:rPr>
          <w:rFonts w:hint="eastAsia" w:ascii="宋体" w:hAnsi="宋体"/>
          <w:color w:val="auto"/>
          <w:szCs w:val="22"/>
          <w:highlight w:val="none"/>
        </w:rPr>
        <w:t>5.3.1参加现场开标的投标人对开标结果有异议的，应当在开标现场提出，同时出示本人身份证原件，招标人应当当场作出答复，并制作记录。参加在线开标的投标人对开标结果有异议的，应当在唱标结束后的规定时间内通过</w:t>
      </w:r>
      <w:r>
        <w:rPr>
          <w:rFonts w:hint="eastAsia" w:ascii="宋体" w:hAnsi="宋体"/>
          <w:color w:val="auto"/>
          <w:szCs w:val="22"/>
          <w:highlight w:val="none"/>
          <w:lang w:eastAsia="zh-CN"/>
        </w:rPr>
        <w:t>广州交易集团有限公司（广州公共资源交易中心）</w:t>
      </w:r>
      <w:r>
        <w:rPr>
          <w:rFonts w:hint="eastAsia" w:ascii="宋体" w:hAnsi="宋体"/>
          <w:color w:val="auto"/>
          <w:szCs w:val="22"/>
          <w:highlight w:val="none"/>
        </w:rPr>
        <w:t>交易平台在线提出。招标人授权招标代理机构工作人员通过交易平台答复，答复后方可结束开标。</w:t>
      </w:r>
    </w:p>
    <w:p w14:paraId="2EC5ADB2">
      <w:pPr>
        <w:spacing w:line="400" w:lineRule="exact"/>
        <w:ind w:firstLine="359" w:firstLineChars="171"/>
        <w:rPr>
          <w:rFonts w:hint="eastAsia" w:ascii="宋体" w:hAnsi="宋体"/>
          <w:color w:val="auto"/>
          <w:szCs w:val="22"/>
          <w:highlight w:val="none"/>
        </w:rPr>
      </w:pPr>
      <w:r>
        <w:rPr>
          <w:rFonts w:hint="eastAsia" w:ascii="宋体" w:hAnsi="宋体"/>
          <w:color w:val="auto"/>
          <w:szCs w:val="22"/>
          <w:highlight w:val="none"/>
        </w:rPr>
        <w:t>5.3.2投标人未参加开标或在规定的时间内未提出异议的，视为对开标无异议。</w:t>
      </w:r>
    </w:p>
    <w:p w14:paraId="148180B0">
      <w:pPr>
        <w:keepNext/>
        <w:keepLines/>
        <w:adjustRightInd w:val="0"/>
        <w:spacing w:before="240" w:after="120"/>
        <w:textAlignment w:val="baseline"/>
        <w:outlineLvl w:val="1"/>
        <w:rPr>
          <w:rFonts w:hint="eastAsia" w:ascii="宋体" w:hAnsi="宋体"/>
          <w:b/>
          <w:color w:val="auto"/>
          <w:kern w:val="0"/>
          <w:sz w:val="28"/>
          <w:szCs w:val="20"/>
          <w:highlight w:val="none"/>
        </w:rPr>
      </w:pPr>
      <w:bookmarkStart w:id="360" w:name="_Toc11485"/>
      <w:bookmarkStart w:id="361" w:name="_Toc22914"/>
      <w:bookmarkStart w:id="362" w:name="_Toc7010"/>
      <w:bookmarkStart w:id="363" w:name="_Toc13723"/>
      <w:bookmarkStart w:id="364" w:name="_Toc21190"/>
      <w:bookmarkStart w:id="365" w:name="_Toc31168"/>
      <w:bookmarkStart w:id="366" w:name="_Toc30034"/>
      <w:bookmarkStart w:id="367" w:name="_Toc9081"/>
      <w:bookmarkStart w:id="368" w:name="_Toc9590394"/>
      <w:bookmarkStart w:id="369" w:name="_Toc25000"/>
      <w:r>
        <w:rPr>
          <w:rFonts w:ascii="宋体" w:hAnsi="宋体"/>
          <w:b/>
          <w:color w:val="auto"/>
          <w:kern w:val="0"/>
          <w:sz w:val="28"/>
          <w:szCs w:val="20"/>
          <w:highlight w:val="none"/>
        </w:rPr>
        <w:t>6.</w:t>
      </w:r>
      <w:r>
        <w:rPr>
          <w:rFonts w:hint="eastAsia" w:ascii="宋体" w:hAnsi="宋体"/>
          <w:b/>
          <w:color w:val="auto"/>
          <w:kern w:val="0"/>
          <w:sz w:val="28"/>
          <w:szCs w:val="20"/>
          <w:highlight w:val="none"/>
        </w:rPr>
        <w:t>评标</w:t>
      </w:r>
      <w:bookmarkEnd w:id="360"/>
      <w:bookmarkEnd w:id="361"/>
      <w:bookmarkEnd w:id="362"/>
      <w:bookmarkEnd w:id="363"/>
      <w:bookmarkEnd w:id="364"/>
      <w:bookmarkEnd w:id="365"/>
      <w:bookmarkEnd w:id="366"/>
      <w:bookmarkEnd w:id="367"/>
      <w:bookmarkEnd w:id="368"/>
      <w:bookmarkEnd w:id="369"/>
    </w:p>
    <w:p w14:paraId="07F7F5F9">
      <w:pPr>
        <w:keepNext/>
        <w:keepLines/>
        <w:spacing w:before="260" w:after="260"/>
        <w:ind w:firstLine="117" w:firstLineChars="49"/>
        <w:outlineLvl w:val="2"/>
        <w:rPr>
          <w:rFonts w:hint="eastAsia" w:ascii="宋体" w:hAnsi="宋体"/>
          <w:color w:val="auto"/>
          <w:sz w:val="24"/>
          <w:szCs w:val="20"/>
          <w:highlight w:val="none"/>
        </w:rPr>
      </w:pPr>
      <w:bookmarkStart w:id="370" w:name="_Toc23389"/>
      <w:bookmarkStart w:id="371" w:name="_Toc9590395"/>
      <w:bookmarkStart w:id="372" w:name="_Toc17720"/>
      <w:bookmarkStart w:id="373" w:name="_Toc19701"/>
      <w:bookmarkStart w:id="374" w:name="_Toc20025"/>
      <w:bookmarkStart w:id="375" w:name="_Toc10314"/>
      <w:bookmarkStart w:id="376" w:name="_Toc18129"/>
      <w:bookmarkStart w:id="377" w:name="_Toc4207"/>
      <w:r>
        <w:rPr>
          <w:rFonts w:ascii="宋体" w:hAnsi="宋体"/>
          <w:color w:val="auto"/>
          <w:sz w:val="24"/>
          <w:szCs w:val="20"/>
          <w:highlight w:val="none"/>
        </w:rPr>
        <w:t>6.1</w:t>
      </w:r>
      <w:r>
        <w:rPr>
          <w:rFonts w:hint="eastAsia" w:ascii="宋体" w:hAnsi="宋体"/>
          <w:color w:val="auto"/>
          <w:sz w:val="24"/>
          <w:szCs w:val="20"/>
          <w:highlight w:val="none"/>
        </w:rPr>
        <w:t>评标委员会</w:t>
      </w:r>
      <w:bookmarkEnd w:id="370"/>
      <w:bookmarkEnd w:id="371"/>
      <w:bookmarkEnd w:id="372"/>
      <w:bookmarkEnd w:id="373"/>
      <w:bookmarkEnd w:id="374"/>
      <w:bookmarkEnd w:id="375"/>
      <w:bookmarkEnd w:id="376"/>
      <w:bookmarkEnd w:id="377"/>
    </w:p>
    <w:p w14:paraId="18E94FBB">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6.1.1</w:t>
      </w:r>
      <w:r>
        <w:rPr>
          <w:rFonts w:hint="eastAsia" w:ascii="宋体" w:hAnsi="宋体"/>
          <w:color w:val="auto"/>
          <w:szCs w:val="22"/>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4A4980DD">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6.1.2</w:t>
      </w:r>
      <w:r>
        <w:rPr>
          <w:rFonts w:hint="eastAsia" w:ascii="宋体" w:hAnsi="宋体"/>
          <w:color w:val="auto"/>
          <w:szCs w:val="22"/>
          <w:highlight w:val="none"/>
        </w:rPr>
        <w:t>评标委员会成员有下列情形之一的，应当回避：</w:t>
      </w:r>
    </w:p>
    <w:p w14:paraId="70AC60BE">
      <w:pPr>
        <w:spacing w:line="400" w:lineRule="exact"/>
        <w:ind w:firstLine="718" w:firstLineChars="342"/>
        <w:rPr>
          <w:rFonts w:hint="eastAsia"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1</w:t>
      </w:r>
      <w:r>
        <w:rPr>
          <w:rFonts w:hint="eastAsia" w:ascii="宋体" w:hAnsi="宋体"/>
          <w:color w:val="auto"/>
          <w:szCs w:val="22"/>
          <w:highlight w:val="none"/>
        </w:rPr>
        <w:t>）投标人或投标人主要负责人的近亲属；</w:t>
      </w:r>
    </w:p>
    <w:p w14:paraId="15EB2773">
      <w:pPr>
        <w:spacing w:line="400" w:lineRule="exact"/>
        <w:ind w:firstLine="718" w:firstLineChars="342"/>
        <w:rPr>
          <w:rFonts w:hint="eastAsia"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2</w:t>
      </w:r>
      <w:r>
        <w:rPr>
          <w:rFonts w:hint="eastAsia" w:ascii="宋体" w:hAnsi="宋体"/>
          <w:color w:val="auto"/>
          <w:szCs w:val="22"/>
          <w:highlight w:val="none"/>
        </w:rPr>
        <w:t>）项目主管部门或者行政监督部门的人员；</w:t>
      </w:r>
    </w:p>
    <w:p w14:paraId="02C6DFF4">
      <w:pPr>
        <w:spacing w:line="400" w:lineRule="exact"/>
        <w:ind w:firstLine="718" w:firstLineChars="342"/>
        <w:rPr>
          <w:rFonts w:hint="eastAsia"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3</w:t>
      </w:r>
      <w:r>
        <w:rPr>
          <w:rFonts w:hint="eastAsia" w:ascii="宋体" w:hAnsi="宋体"/>
          <w:color w:val="auto"/>
          <w:szCs w:val="22"/>
          <w:highlight w:val="none"/>
        </w:rPr>
        <w:t>）与投标人有经济利益关系，可能影响对投标公正评审的；</w:t>
      </w:r>
    </w:p>
    <w:p w14:paraId="33F59A9F">
      <w:pPr>
        <w:spacing w:line="400" w:lineRule="exact"/>
        <w:ind w:firstLine="718" w:firstLineChars="342"/>
        <w:rPr>
          <w:rFonts w:hint="eastAsia"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4</w:t>
      </w:r>
      <w:r>
        <w:rPr>
          <w:rFonts w:hint="eastAsia" w:ascii="宋体" w:hAnsi="宋体"/>
          <w:color w:val="auto"/>
          <w:szCs w:val="22"/>
          <w:highlight w:val="none"/>
        </w:rPr>
        <w:t>）曾因在招标、评标以及其他与招标投标有关活动中从事违法行为而受过行政处罚或刑事处罚的；</w:t>
      </w:r>
    </w:p>
    <w:p w14:paraId="7B51DE46">
      <w:pPr>
        <w:spacing w:line="400" w:lineRule="exact"/>
        <w:ind w:firstLine="718" w:firstLineChars="342"/>
        <w:rPr>
          <w:rFonts w:hint="eastAsia"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5</w:t>
      </w:r>
      <w:r>
        <w:rPr>
          <w:rFonts w:hint="eastAsia" w:ascii="宋体" w:hAnsi="宋体"/>
          <w:color w:val="auto"/>
          <w:szCs w:val="22"/>
          <w:highlight w:val="none"/>
        </w:rPr>
        <w:t>）与投标人有其他利害关系。</w:t>
      </w:r>
    </w:p>
    <w:p w14:paraId="57C834AB">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6.1.3</w:t>
      </w:r>
      <w:r>
        <w:rPr>
          <w:rFonts w:hint="eastAsia" w:ascii="宋体" w:hAnsi="宋体"/>
          <w:color w:val="auto"/>
          <w:szCs w:val="22"/>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14:paraId="518896F8">
      <w:pPr>
        <w:keepNext/>
        <w:keepLines/>
        <w:spacing w:before="260" w:after="260"/>
        <w:ind w:firstLine="117" w:firstLineChars="49"/>
        <w:outlineLvl w:val="2"/>
        <w:rPr>
          <w:rFonts w:hint="eastAsia" w:ascii="宋体" w:hAnsi="宋体"/>
          <w:color w:val="auto"/>
          <w:sz w:val="24"/>
          <w:szCs w:val="20"/>
          <w:highlight w:val="none"/>
        </w:rPr>
      </w:pPr>
      <w:bookmarkStart w:id="378" w:name="_Toc1748"/>
      <w:bookmarkStart w:id="379" w:name="_Toc24906"/>
      <w:bookmarkStart w:id="380" w:name="_Toc13236"/>
      <w:bookmarkStart w:id="381" w:name="_Toc9590396"/>
      <w:bookmarkStart w:id="382" w:name="_Toc25064"/>
      <w:bookmarkStart w:id="383" w:name="_Toc18430"/>
      <w:bookmarkStart w:id="384" w:name="_Toc17325"/>
      <w:bookmarkStart w:id="385" w:name="_Toc13857"/>
      <w:r>
        <w:rPr>
          <w:rFonts w:ascii="宋体" w:hAnsi="宋体"/>
          <w:color w:val="auto"/>
          <w:sz w:val="24"/>
          <w:szCs w:val="20"/>
          <w:highlight w:val="none"/>
        </w:rPr>
        <w:t>6.2</w:t>
      </w:r>
      <w:r>
        <w:rPr>
          <w:rFonts w:hint="eastAsia" w:ascii="宋体" w:hAnsi="宋体"/>
          <w:color w:val="auto"/>
          <w:sz w:val="24"/>
          <w:szCs w:val="20"/>
          <w:highlight w:val="none"/>
        </w:rPr>
        <w:t>评标原则</w:t>
      </w:r>
      <w:bookmarkEnd w:id="378"/>
      <w:bookmarkEnd w:id="379"/>
      <w:bookmarkEnd w:id="380"/>
      <w:bookmarkEnd w:id="381"/>
      <w:bookmarkEnd w:id="382"/>
      <w:bookmarkEnd w:id="383"/>
      <w:bookmarkEnd w:id="384"/>
      <w:bookmarkEnd w:id="385"/>
    </w:p>
    <w:p w14:paraId="5CC12810">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评标活动遵循公平、公正、科学和择优的原则。</w:t>
      </w:r>
    </w:p>
    <w:p w14:paraId="6DA81E60">
      <w:pPr>
        <w:keepNext/>
        <w:keepLines/>
        <w:spacing w:before="260" w:after="260"/>
        <w:ind w:firstLine="117" w:firstLineChars="49"/>
        <w:outlineLvl w:val="2"/>
        <w:rPr>
          <w:rFonts w:hint="eastAsia" w:ascii="宋体" w:hAnsi="宋体"/>
          <w:color w:val="auto"/>
          <w:sz w:val="24"/>
          <w:szCs w:val="20"/>
          <w:highlight w:val="none"/>
        </w:rPr>
      </w:pPr>
      <w:bookmarkStart w:id="386" w:name="_Toc9590397"/>
      <w:bookmarkStart w:id="387" w:name="_Toc18549"/>
      <w:bookmarkStart w:id="388" w:name="_Toc14382"/>
      <w:bookmarkStart w:id="389" w:name="_Toc13311"/>
      <w:bookmarkStart w:id="390" w:name="_Toc19920"/>
      <w:bookmarkStart w:id="391" w:name="_Toc19418"/>
      <w:bookmarkStart w:id="392" w:name="_Toc9448"/>
      <w:bookmarkStart w:id="393" w:name="_Toc14404"/>
      <w:r>
        <w:rPr>
          <w:rFonts w:ascii="宋体" w:hAnsi="宋体"/>
          <w:color w:val="auto"/>
          <w:sz w:val="24"/>
          <w:szCs w:val="20"/>
          <w:highlight w:val="none"/>
        </w:rPr>
        <w:t>6.3</w:t>
      </w:r>
      <w:r>
        <w:rPr>
          <w:rFonts w:hint="eastAsia" w:ascii="宋体" w:hAnsi="宋体"/>
          <w:color w:val="auto"/>
          <w:sz w:val="24"/>
          <w:szCs w:val="20"/>
          <w:highlight w:val="none"/>
        </w:rPr>
        <w:t>评标</w:t>
      </w:r>
      <w:bookmarkEnd w:id="386"/>
      <w:bookmarkEnd w:id="387"/>
      <w:bookmarkEnd w:id="388"/>
      <w:bookmarkEnd w:id="389"/>
      <w:bookmarkEnd w:id="390"/>
      <w:bookmarkEnd w:id="391"/>
      <w:bookmarkEnd w:id="392"/>
      <w:bookmarkEnd w:id="393"/>
    </w:p>
    <w:p w14:paraId="60D9D284">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6.3.1</w:t>
      </w:r>
      <w:r>
        <w:rPr>
          <w:rFonts w:hint="eastAsia" w:ascii="宋体" w:hAnsi="宋体"/>
          <w:color w:val="auto"/>
          <w:szCs w:val="22"/>
          <w:highlight w:val="none"/>
        </w:rPr>
        <w:t>评标委员会按照第三章</w:t>
      </w:r>
      <w:r>
        <w:rPr>
          <w:rFonts w:ascii="宋体" w:hAnsi="宋体"/>
          <w:color w:val="auto"/>
          <w:szCs w:val="22"/>
          <w:highlight w:val="none"/>
        </w:rPr>
        <w:t>“</w:t>
      </w:r>
      <w:r>
        <w:rPr>
          <w:rFonts w:hint="eastAsia" w:ascii="宋体" w:hAnsi="宋体"/>
          <w:color w:val="auto"/>
          <w:szCs w:val="22"/>
          <w:highlight w:val="none"/>
        </w:rPr>
        <w:t>评标办法</w:t>
      </w:r>
      <w:r>
        <w:rPr>
          <w:rFonts w:ascii="宋体" w:hAnsi="宋体"/>
          <w:color w:val="auto"/>
          <w:szCs w:val="22"/>
          <w:highlight w:val="none"/>
        </w:rPr>
        <w:t>”</w:t>
      </w:r>
      <w:r>
        <w:rPr>
          <w:rFonts w:hint="eastAsia" w:ascii="宋体" w:hAnsi="宋体"/>
          <w:color w:val="auto"/>
          <w:szCs w:val="22"/>
          <w:highlight w:val="none"/>
        </w:rPr>
        <w:t>规定的方法、评审因素、标准和程序对投标文件进行评审。第三章</w:t>
      </w:r>
      <w:r>
        <w:rPr>
          <w:rFonts w:ascii="宋体" w:hAnsi="宋体"/>
          <w:color w:val="auto"/>
          <w:szCs w:val="22"/>
          <w:highlight w:val="none"/>
        </w:rPr>
        <w:t>“</w:t>
      </w:r>
      <w:r>
        <w:rPr>
          <w:rFonts w:hint="eastAsia" w:ascii="宋体" w:hAnsi="宋体"/>
          <w:color w:val="auto"/>
          <w:szCs w:val="22"/>
          <w:highlight w:val="none"/>
        </w:rPr>
        <w:t>评标办法</w:t>
      </w:r>
      <w:r>
        <w:rPr>
          <w:rFonts w:ascii="宋体" w:hAnsi="宋体"/>
          <w:color w:val="auto"/>
          <w:szCs w:val="22"/>
          <w:highlight w:val="none"/>
        </w:rPr>
        <w:t>”</w:t>
      </w:r>
      <w:r>
        <w:rPr>
          <w:rFonts w:hint="eastAsia" w:ascii="宋体" w:hAnsi="宋体"/>
          <w:color w:val="auto"/>
          <w:szCs w:val="22"/>
          <w:highlight w:val="none"/>
        </w:rPr>
        <w:t>没有规定的方法、评审因素和标准，不作为评标依据。</w:t>
      </w:r>
    </w:p>
    <w:p w14:paraId="246D1DED">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6.3.2</w:t>
      </w:r>
      <w:r>
        <w:rPr>
          <w:rFonts w:hint="eastAsia" w:ascii="宋体" w:hAnsi="宋体"/>
          <w:color w:val="auto"/>
          <w:szCs w:val="22"/>
          <w:highlight w:val="none"/>
        </w:rPr>
        <w:t>评标完成后，评标委员会应当向招标人提交书面评标报告和中标候选人名单。评标委员会推荐中标候选人的人数见投标人须知前附表。</w:t>
      </w:r>
    </w:p>
    <w:p w14:paraId="71856C5E">
      <w:pPr>
        <w:keepNext/>
        <w:keepLines/>
        <w:adjustRightInd w:val="0"/>
        <w:spacing w:before="240" w:after="120"/>
        <w:textAlignment w:val="baseline"/>
        <w:outlineLvl w:val="1"/>
        <w:rPr>
          <w:rFonts w:hint="eastAsia" w:ascii="宋体" w:hAnsi="宋体"/>
          <w:color w:val="auto"/>
          <w:kern w:val="0"/>
          <w:sz w:val="24"/>
          <w:szCs w:val="20"/>
          <w:highlight w:val="none"/>
        </w:rPr>
      </w:pPr>
      <w:bookmarkStart w:id="394" w:name="_Toc11540"/>
      <w:bookmarkStart w:id="395" w:name="_Toc9829"/>
      <w:bookmarkStart w:id="396" w:name="_Toc18069"/>
      <w:bookmarkStart w:id="397" w:name="_Toc19561"/>
      <w:bookmarkStart w:id="398" w:name="_Toc20003"/>
      <w:bookmarkStart w:id="399" w:name="_Toc29771"/>
      <w:bookmarkStart w:id="400" w:name="_Toc20561"/>
      <w:bookmarkStart w:id="401" w:name="_Toc19938"/>
      <w:bookmarkStart w:id="402" w:name="_Toc1602"/>
      <w:bookmarkStart w:id="403" w:name="_Toc9590398"/>
      <w:r>
        <w:rPr>
          <w:rFonts w:ascii="宋体" w:hAnsi="宋体"/>
          <w:color w:val="auto"/>
          <w:kern w:val="0"/>
          <w:sz w:val="24"/>
          <w:szCs w:val="20"/>
          <w:highlight w:val="none"/>
        </w:rPr>
        <w:t>7.</w:t>
      </w:r>
      <w:r>
        <w:rPr>
          <w:rFonts w:hint="eastAsia" w:ascii="宋体" w:hAnsi="宋体"/>
          <w:color w:val="auto"/>
          <w:kern w:val="0"/>
          <w:sz w:val="24"/>
          <w:szCs w:val="20"/>
          <w:highlight w:val="none"/>
        </w:rPr>
        <w:t>合同授予</w:t>
      </w:r>
      <w:bookmarkEnd w:id="394"/>
      <w:bookmarkEnd w:id="395"/>
      <w:bookmarkEnd w:id="396"/>
      <w:bookmarkEnd w:id="397"/>
      <w:bookmarkEnd w:id="398"/>
      <w:bookmarkEnd w:id="399"/>
      <w:bookmarkEnd w:id="400"/>
      <w:bookmarkEnd w:id="401"/>
      <w:bookmarkEnd w:id="402"/>
      <w:bookmarkEnd w:id="403"/>
    </w:p>
    <w:p w14:paraId="616026C6">
      <w:pPr>
        <w:keepNext/>
        <w:keepLines/>
        <w:spacing w:before="260" w:after="260"/>
        <w:ind w:firstLine="117" w:firstLineChars="49"/>
        <w:outlineLvl w:val="2"/>
        <w:rPr>
          <w:rFonts w:hint="eastAsia" w:ascii="宋体" w:hAnsi="宋体"/>
          <w:color w:val="auto"/>
          <w:sz w:val="24"/>
          <w:szCs w:val="20"/>
          <w:highlight w:val="none"/>
        </w:rPr>
      </w:pPr>
      <w:bookmarkStart w:id="404" w:name="_Toc15349"/>
      <w:bookmarkStart w:id="405" w:name="_Toc11966"/>
      <w:bookmarkStart w:id="406" w:name="_Toc22254"/>
      <w:bookmarkStart w:id="407" w:name="_Toc31643"/>
      <w:bookmarkStart w:id="408" w:name="_Toc13416"/>
      <w:bookmarkStart w:id="409" w:name="_Toc9590399"/>
      <w:bookmarkStart w:id="410" w:name="_Toc27238"/>
      <w:bookmarkStart w:id="411" w:name="_Toc29081"/>
      <w:r>
        <w:rPr>
          <w:rFonts w:ascii="宋体" w:hAnsi="宋体"/>
          <w:color w:val="auto"/>
          <w:sz w:val="24"/>
          <w:szCs w:val="20"/>
          <w:highlight w:val="none"/>
        </w:rPr>
        <w:t>7.1</w:t>
      </w:r>
      <w:r>
        <w:rPr>
          <w:rFonts w:hint="eastAsia" w:ascii="宋体" w:hAnsi="宋体"/>
          <w:color w:val="auto"/>
          <w:sz w:val="24"/>
          <w:szCs w:val="20"/>
          <w:highlight w:val="none"/>
        </w:rPr>
        <w:t>中标候选人公示</w:t>
      </w:r>
      <w:bookmarkEnd w:id="404"/>
      <w:bookmarkEnd w:id="405"/>
      <w:bookmarkEnd w:id="406"/>
      <w:bookmarkEnd w:id="407"/>
      <w:bookmarkEnd w:id="408"/>
      <w:bookmarkEnd w:id="409"/>
      <w:bookmarkEnd w:id="410"/>
      <w:bookmarkEnd w:id="411"/>
    </w:p>
    <w:p w14:paraId="20E45F71">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招标人在收到评标报告之日起</w:t>
      </w:r>
      <w:r>
        <w:rPr>
          <w:rFonts w:ascii="宋体" w:hAnsi="宋体"/>
          <w:color w:val="auto"/>
          <w:szCs w:val="22"/>
          <w:highlight w:val="none"/>
        </w:rPr>
        <w:t>3</w:t>
      </w:r>
      <w:r>
        <w:rPr>
          <w:rFonts w:hint="eastAsia" w:ascii="宋体" w:hAnsi="宋体"/>
          <w:color w:val="auto"/>
          <w:szCs w:val="22"/>
          <w:highlight w:val="none"/>
        </w:rPr>
        <w:t>日内，按照投标人须知前附表规定的公示媒介和期限公示中标候选人，公示期不得少于</w:t>
      </w:r>
      <w:r>
        <w:rPr>
          <w:rFonts w:ascii="宋体" w:hAnsi="宋体"/>
          <w:color w:val="auto"/>
          <w:szCs w:val="22"/>
          <w:highlight w:val="none"/>
        </w:rPr>
        <w:t>3</w:t>
      </w:r>
      <w:r>
        <w:rPr>
          <w:rFonts w:hint="eastAsia" w:ascii="宋体" w:hAnsi="宋体"/>
          <w:color w:val="auto"/>
          <w:szCs w:val="22"/>
          <w:highlight w:val="none"/>
        </w:rPr>
        <w:t>天，</w:t>
      </w:r>
      <w:r>
        <w:rPr>
          <w:rFonts w:hint="eastAsia" w:ascii="宋体" w:hAnsi="宋体" w:cs="宋体"/>
          <w:color w:val="auto"/>
          <w:szCs w:val="21"/>
          <w:highlight w:val="none"/>
        </w:rPr>
        <w:t>公示结束日为工作日</w:t>
      </w:r>
      <w:r>
        <w:rPr>
          <w:rFonts w:hint="eastAsia" w:ascii="宋体" w:hAnsi="宋体"/>
          <w:color w:val="auto"/>
          <w:szCs w:val="22"/>
          <w:highlight w:val="none"/>
        </w:rPr>
        <w:t>。</w:t>
      </w:r>
    </w:p>
    <w:p w14:paraId="41577F50">
      <w:pPr>
        <w:keepNext/>
        <w:keepLines/>
        <w:spacing w:before="260" w:after="260"/>
        <w:ind w:firstLine="117" w:firstLineChars="49"/>
        <w:outlineLvl w:val="2"/>
        <w:rPr>
          <w:rFonts w:hint="eastAsia" w:ascii="宋体" w:hAnsi="宋体"/>
          <w:color w:val="auto"/>
          <w:sz w:val="24"/>
          <w:szCs w:val="20"/>
          <w:highlight w:val="none"/>
        </w:rPr>
      </w:pPr>
      <w:bookmarkStart w:id="412" w:name="_Toc29239"/>
      <w:bookmarkStart w:id="413" w:name="_Toc9590400"/>
      <w:bookmarkStart w:id="414" w:name="_Toc25105"/>
      <w:bookmarkStart w:id="415" w:name="_Toc23960"/>
      <w:bookmarkStart w:id="416" w:name="_Toc27493"/>
      <w:bookmarkStart w:id="417" w:name="_Toc12931"/>
      <w:bookmarkStart w:id="418" w:name="_Toc22785"/>
      <w:bookmarkStart w:id="419" w:name="_Toc27191"/>
      <w:r>
        <w:rPr>
          <w:rFonts w:ascii="宋体" w:hAnsi="宋体"/>
          <w:color w:val="auto"/>
          <w:sz w:val="24"/>
          <w:szCs w:val="20"/>
          <w:highlight w:val="none"/>
        </w:rPr>
        <w:t>7.2</w:t>
      </w:r>
      <w:r>
        <w:rPr>
          <w:rFonts w:hint="eastAsia" w:ascii="宋体" w:hAnsi="宋体"/>
          <w:color w:val="auto"/>
          <w:sz w:val="24"/>
          <w:szCs w:val="20"/>
          <w:highlight w:val="none"/>
        </w:rPr>
        <w:t>评标结果异议</w:t>
      </w:r>
      <w:bookmarkEnd w:id="412"/>
      <w:bookmarkEnd w:id="413"/>
      <w:bookmarkEnd w:id="414"/>
      <w:bookmarkEnd w:id="415"/>
      <w:bookmarkEnd w:id="416"/>
      <w:bookmarkEnd w:id="417"/>
      <w:bookmarkEnd w:id="418"/>
      <w:bookmarkEnd w:id="419"/>
    </w:p>
    <w:p w14:paraId="2F40C8AD">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DCFBE61">
      <w:pPr>
        <w:keepNext/>
        <w:keepLines/>
        <w:spacing w:before="260" w:after="260"/>
        <w:ind w:firstLine="117" w:firstLineChars="49"/>
        <w:outlineLvl w:val="2"/>
        <w:rPr>
          <w:rFonts w:hint="eastAsia" w:ascii="宋体" w:hAnsi="宋体"/>
          <w:color w:val="auto"/>
          <w:sz w:val="24"/>
          <w:szCs w:val="20"/>
          <w:highlight w:val="none"/>
        </w:rPr>
      </w:pPr>
      <w:bookmarkStart w:id="420" w:name="_Toc9590401"/>
      <w:bookmarkStart w:id="421" w:name="_Toc32764"/>
      <w:bookmarkStart w:id="422" w:name="_Toc870"/>
      <w:bookmarkStart w:id="423" w:name="_Toc29067"/>
      <w:bookmarkStart w:id="424" w:name="_Toc18515"/>
      <w:bookmarkStart w:id="425" w:name="_Toc25559"/>
      <w:bookmarkStart w:id="426" w:name="_Toc13181"/>
      <w:bookmarkStart w:id="427" w:name="_Toc22808"/>
      <w:r>
        <w:rPr>
          <w:rFonts w:ascii="宋体" w:hAnsi="宋体"/>
          <w:color w:val="auto"/>
          <w:sz w:val="24"/>
          <w:szCs w:val="20"/>
          <w:highlight w:val="none"/>
        </w:rPr>
        <w:t>7.3</w:t>
      </w:r>
      <w:r>
        <w:rPr>
          <w:rFonts w:hint="eastAsia" w:ascii="宋体" w:hAnsi="宋体"/>
          <w:color w:val="auto"/>
          <w:sz w:val="24"/>
          <w:szCs w:val="20"/>
          <w:highlight w:val="none"/>
        </w:rPr>
        <w:t>中标候选人履约能力审查</w:t>
      </w:r>
      <w:bookmarkEnd w:id="420"/>
      <w:bookmarkEnd w:id="421"/>
      <w:bookmarkEnd w:id="422"/>
      <w:bookmarkEnd w:id="423"/>
      <w:bookmarkEnd w:id="424"/>
      <w:bookmarkEnd w:id="425"/>
      <w:bookmarkEnd w:id="426"/>
      <w:bookmarkEnd w:id="427"/>
    </w:p>
    <w:p w14:paraId="44351109">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01CD4CB8">
      <w:pPr>
        <w:keepNext/>
        <w:keepLines/>
        <w:spacing w:before="260" w:after="260"/>
        <w:ind w:firstLine="117" w:firstLineChars="49"/>
        <w:outlineLvl w:val="2"/>
        <w:rPr>
          <w:rFonts w:hint="eastAsia" w:ascii="宋体" w:hAnsi="宋体"/>
          <w:color w:val="auto"/>
          <w:sz w:val="24"/>
          <w:szCs w:val="20"/>
          <w:highlight w:val="none"/>
        </w:rPr>
      </w:pPr>
      <w:bookmarkStart w:id="428" w:name="_Toc30066"/>
      <w:bookmarkStart w:id="429" w:name="_Toc9415"/>
      <w:bookmarkStart w:id="430" w:name="_Toc30147"/>
      <w:bookmarkStart w:id="431" w:name="_Toc30286"/>
      <w:bookmarkStart w:id="432" w:name="_Toc31094"/>
      <w:bookmarkStart w:id="433" w:name="_Toc21935"/>
      <w:bookmarkStart w:id="434" w:name="_Toc15634"/>
      <w:bookmarkStart w:id="435" w:name="_Toc9590402"/>
      <w:r>
        <w:rPr>
          <w:rFonts w:ascii="宋体" w:hAnsi="宋体"/>
          <w:color w:val="auto"/>
          <w:sz w:val="24"/>
          <w:szCs w:val="20"/>
          <w:highlight w:val="none"/>
        </w:rPr>
        <w:t>7.4</w:t>
      </w:r>
      <w:r>
        <w:rPr>
          <w:rFonts w:hint="eastAsia" w:ascii="宋体" w:hAnsi="宋体"/>
          <w:color w:val="auto"/>
          <w:sz w:val="24"/>
          <w:szCs w:val="20"/>
          <w:highlight w:val="none"/>
        </w:rPr>
        <w:t>定标</w:t>
      </w:r>
      <w:bookmarkEnd w:id="428"/>
      <w:bookmarkEnd w:id="429"/>
      <w:bookmarkEnd w:id="430"/>
      <w:bookmarkEnd w:id="431"/>
      <w:bookmarkEnd w:id="432"/>
      <w:bookmarkEnd w:id="433"/>
      <w:bookmarkEnd w:id="434"/>
      <w:bookmarkEnd w:id="435"/>
    </w:p>
    <w:p w14:paraId="14D0851E">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按照投标人须知前附表的规定，招标人或招标人授权的评标委员会依法确定中标人。</w:t>
      </w:r>
    </w:p>
    <w:p w14:paraId="6AEB3F45">
      <w:pPr>
        <w:keepNext/>
        <w:keepLines/>
        <w:spacing w:before="260" w:after="260"/>
        <w:ind w:firstLine="117" w:firstLineChars="49"/>
        <w:outlineLvl w:val="2"/>
        <w:rPr>
          <w:rFonts w:hint="eastAsia" w:ascii="宋体" w:hAnsi="宋体"/>
          <w:color w:val="auto"/>
          <w:sz w:val="24"/>
          <w:szCs w:val="20"/>
          <w:highlight w:val="none"/>
        </w:rPr>
      </w:pPr>
      <w:bookmarkStart w:id="436" w:name="_Toc9590403"/>
      <w:bookmarkStart w:id="437" w:name="_Toc1427"/>
      <w:bookmarkStart w:id="438" w:name="_Toc9513"/>
      <w:bookmarkStart w:id="439" w:name="_Toc29616"/>
      <w:bookmarkStart w:id="440" w:name="_Toc31619"/>
      <w:bookmarkStart w:id="441" w:name="_Toc29929"/>
      <w:bookmarkStart w:id="442" w:name="_Toc31873"/>
      <w:bookmarkStart w:id="443" w:name="_Toc2086"/>
      <w:r>
        <w:rPr>
          <w:rFonts w:ascii="宋体" w:hAnsi="宋体"/>
          <w:color w:val="auto"/>
          <w:sz w:val="24"/>
          <w:szCs w:val="20"/>
          <w:highlight w:val="none"/>
        </w:rPr>
        <w:t>7.5</w:t>
      </w:r>
      <w:r>
        <w:rPr>
          <w:rFonts w:hint="eastAsia" w:ascii="宋体" w:hAnsi="宋体"/>
          <w:color w:val="auto"/>
          <w:sz w:val="24"/>
          <w:szCs w:val="20"/>
          <w:highlight w:val="none"/>
        </w:rPr>
        <w:t>中标通知</w:t>
      </w:r>
      <w:bookmarkEnd w:id="436"/>
      <w:bookmarkEnd w:id="437"/>
      <w:bookmarkEnd w:id="438"/>
      <w:bookmarkEnd w:id="439"/>
      <w:bookmarkEnd w:id="440"/>
      <w:bookmarkEnd w:id="441"/>
      <w:bookmarkEnd w:id="442"/>
      <w:bookmarkEnd w:id="443"/>
    </w:p>
    <w:p w14:paraId="1223B338">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在本章第</w:t>
      </w:r>
      <w:r>
        <w:rPr>
          <w:rFonts w:ascii="宋体" w:hAnsi="宋体"/>
          <w:color w:val="auto"/>
          <w:szCs w:val="22"/>
          <w:highlight w:val="none"/>
        </w:rPr>
        <w:t>3.3</w:t>
      </w:r>
      <w:r>
        <w:rPr>
          <w:rFonts w:hint="eastAsia" w:ascii="宋体" w:hAnsi="宋体"/>
          <w:color w:val="auto"/>
          <w:szCs w:val="22"/>
          <w:highlight w:val="none"/>
        </w:rPr>
        <w:t>款规定的投标有效期内，招标人以书面形式向中标人发出中标通知书，同时将中标结果通知未中标的投标人。</w:t>
      </w:r>
    </w:p>
    <w:p w14:paraId="37CFBEE1">
      <w:pPr>
        <w:keepNext/>
        <w:keepLines/>
        <w:spacing w:before="260" w:after="260"/>
        <w:ind w:firstLine="117" w:firstLineChars="49"/>
        <w:outlineLvl w:val="2"/>
        <w:rPr>
          <w:rFonts w:hint="eastAsia" w:ascii="宋体" w:hAnsi="宋体"/>
          <w:color w:val="auto"/>
          <w:sz w:val="24"/>
          <w:szCs w:val="20"/>
          <w:highlight w:val="none"/>
        </w:rPr>
      </w:pPr>
      <w:bookmarkStart w:id="444" w:name="_Toc27654"/>
      <w:bookmarkStart w:id="445" w:name="_Toc19459"/>
      <w:bookmarkStart w:id="446" w:name="_Toc15477"/>
      <w:bookmarkStart w:id="447" w:name="_Toc12393"/>
      <w:bookmarkStart w:id="448" w:name="_Toc26987"/>
      <w:bookmarkStart w:id="449" w:name="_Toc9590404"/>
      <w:bookmarkStart w:id="450" w:name="_Toc10834"/>
      <w:bookmarkStart w:id="451" w:name="_Toc7998"/>
      <w:r>
        <w:rPr>
          <w:rFonts w:ascii="宋体" w:hAnsi="宋体"/>
          <w:color w:val="auto"/>
          <w:sz w:val="24"/>
          <w:szCs w:val="20"/>
          <w:highlight w:val="none"/>
        </w:rPr>
        <w:t>7.6</w:t>
      </w:r>
      <w:r>
        <w:rPr>
          <w:rFonts w:hint="eastAsia" w:ascii="宋体" w:hAnsi="宋体"/>
          <w:color w:val="auto"/>
          <w:sz w:val="24"/>
          <w:szCs w:val="20"/>
          <w:highlight w:val="none"/>
        </w:rPr>
        <w:t>履约保证金</w:t>
      </w:r>
      <w:bookmarkEnd w:id="444"/>
      <w:bookmarkEnd w:id="445"/>
      <w:bookmarkEnd w:id="446"/>
      <w:bookmarkEnd w:id="447"/>
      <w:bookmarkEnd w:id="448"/>
      <w:bookmarkEnd w:id="449"/>
      <w:bookmarkEnd w:id="450"/>
      <w:bookmarkEnd w:id="451"/>
    </w:p>
    <w:p w14:paraId="7BB88256">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7.6.1</w:t>
      </w:r>
      <w:r>
        <w:rPr>
          <w:rFonts w:hint="eastAsia" w:ascii="宋体" w:hAnsi="宋体"/>
          <w:color w:val="auto"/>
          <w:szCs w:val="22"/>
          <w:highlight w:val="none"/>
        </w:rPr>
        <w:t>在签订合同前，中标人应按投标人须知前附表规定的形式、金额和招标文件第四章</w:t>
      </w:r>
      <w:r>
        <w:rPr>
          <w:rFonts w:ascii="宋体" w:hAnsi="宋体"/>
          <w:color w:val="auto"/>
          <w:szCs w:val="22"/>
          <w:highlight w:val="none"/>
        </w:rPr>
        <w:t>“</w:t>
      </w:r>
      <w:r>
        <w:rPr>
          <w:rFonts w:hint="eastAsia" w:ascii="宋体" w:hAnsi="宋体"/>
          <w:color w:val="auto"/>
          <w:szCs w:val="22"/>
          <w:highlight w:val="none"/>
        </w:rPr>
        <w:t>合同条款及格式</w:t>
      </w:r>
      <w:r>
        <w:rPr>
          <w:rFonts w:ascii="宋体" w:hAnsi="宋体"/>
          <w:color w:val="auto"/>
          <w:szCs w:val="22"/>
          <w:highlight w:val="none"/>
        </w:rPr>
        <w:t>”</w:t>
      </w:r>
      <w:r>
        <w:rPr>
          <w:rFonts w:hint="eastAsia" w:ascii="宋体" w:hAnsi="宋体"/>
          <w:color w:val="auto"/>
          <w:szCs w:val="22"/>
          <w:highlight w:val="none"/>
        </w:rPr>
        <w:t>规定的或者事先经过招标人书面认可的履约保证金格式向招标人提交履约保证金。除投标人须知前附表另有规定外，履约保证金为中标合同金额的10</w:t>
      </w:r>
      <w:r>
        <w:rPr>
          <w:rFonts w:ascii="宋体" w:hAnsi="宋体"/>
          <w:color w:val="auto"/>
          <w:szCs w:val="22"/>
          <w:highlight w:val="none"/>
        </w:rPr>
        <w:t>%</w:t>
      </w:r>
      <w:r>
        <w:rPr>
          <w:rFonts w:hint="eastAsia" w:ascii="宋体" w:hAnsi="宋体"/>
          <w:color w:val="auto"/>
          <w:szCs w:val="22"/>
          <w:highlight w:val="none"/>
        </w:rPr>
        <w:t>。</w:t>
      </w:r>
      <w:r>
        <w:rPr>
          <w:rFonts w:hint="eastAsia"/>
          <w:color w:val="auto"/>
          <w:highlight w:val="none"/>
        </w:rPr>
        <w:t>联合体中标的，其履约保证金以联合体各方或者联合体中牵头人的名义提交。</w:t>
      </w:r>
    </w:p>
    <w:p w14:paraId="222E0C93">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7.6.2</w:t>
      </w:r>
      <w:r>
        <w:rPr>
          <w:rFonts w:hint="eastAsia" w:ascii="宋体" w:hAnsi="宋体"/>
          <w:color w:val="auto"/>
          <w:szCs w:val="22"/>
          <w:highlight w:val="none"/>
        </w:rPr>
        <w:t>中标人不能按本章第</w:t>
      </w:r>
      <w:r>
        <w:rPr>
          <w:rFonts w:ascii="宋体" w:hAnsi="宋体"/>
          <w:color w:val="auto"/>
          <w:szCs w:val="22"/>
          <w:highlight w:val="none"/>
        </w:rPr>
        <w:t>7.6.1</w:t>
      </w:r>
      <w:r>
        <w:rPr>
          <w:rFonts w:hint="eastAsia" w:ascii="宋体" w:hAnsi="宋体"/>
          <w:color w:val="auto"/>
          <w:szCs w:val="22"/>
          <w:highlight w:val="none"/>
        </w:rPr>
        <w:t>项要求提交履约保证金的，视为放弃中标，其投标保证金不予退还，给招标人造成的损失超过投标保证金数额的，中标人还应当对超过部分予以赔偿。</w:t>
      </w:r>
    </w:p>
    <w:p w14:paraId="1A6F2E18">
      <w:pPr>
        <w:keepNext/>
        <w:keepLines/>
        <w:spacing w:before="260" w:after="260"/>
        <w:ind w:firstLine="117" w:firstLineChars="49"/>
        <w:outlineLvl w:val="2"/>
        <w:rPr>
          <w:rFonts w:hint="eastAsia" w:ascii="宋体" w:hAnsi="宋体"/>
          <w:color w:val="auto"/>
          <w:sz w:val="24"/>
          <w:szCs w:val="20"/>
          <w:highlight w:val="none"/>
        </w:rPr>
      </w:pPr>
      <w:bookmarkStart w:id="452" w:name="_Toc14136"/>
      <w:bookmarkStart w:id="453" w:name="_Toc12514"/>
      <w:bookmarkStart w:id="454" w:name="_Toc3308"/>
      <w:bookmarkStart w:id="455" w:name="_Toc31016"/>
      <w:bookmarkStart w:id="456" w:name="_Toc18740"/>
      <w:bookmarkStart w:id="457" w:name="_Toc8505"/>
      <w:bookmarkStart w:id="458" w:name="_Toc9590405"/>
      <w:bookmarkStart w:id="459" w:name="_Toc6807"/>
      <w:r>
        <w:rPr>
          <w:rFonts w:ascii="宋体" w:hAnsi="宋体"/>
          <w:color w:val="auto"/>
          <w:sz w:val="24"/>
          <w:szCs w:val="20"/>
          <w:highlight w:val="none"/>
        </w:rPr>
        <w:t>7.7</w:t>
      </w:r>
      <w:r>
        <w:rPr>
          <w:rFonts w:hint="eastAsia" w:ascii="宋体" w:hAnsi="宋体"/>
          <w:color w:val="auto"/>
          <w:sz w:val="24"/>
          <w:szCs w:val="20"/>
          <w:highlight w:val="none"/>
        </w:rPr>
        <w:t>签订合同</w:t>
      </w:r>
      <w:bookmarkEnd w:id="452"/>
      <w:bookmarkEnd w:id="453"/>
      <w:bookmarkEnd w:id="454"/>
      <w:bookmarkEnd w:id="455"/>
      <w:bookmarkEnd w:id="456"/>
      <w:bookmarkEnd w:id="457"/>
      <w:bookmarkEnd w:id="458"/>
      <w:bookmarkEnd w:id="459"/>
    </w:p>
    <w:p w14:paraId="00C1DEF6">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7.7.1</w:t>
      </w:r>
      <w:r>
        <w:rPr>
          <w:rFonts w:hint="eastAsia" w:ascii="宋体" w:hAnsi="宋体"/>
          <w:color w:val="auto"/>
          <w:szCs w:val="22"/>
          <w:highlight w:val="none"/>
        </w:rPr>
        <w:t>招标人和中标人应当在中标通知书发出之日起</w:t>
      </w:r>
      <w:r>
        <w:rPr>
          <w:rFonts w:ascii="宋体" w:hAnsi="宋体"/>
          <w:color w:val="auto"/>
          <w:szCs w:val="22"/>
          <w:highlight w:val="none"/>
        </w:rPr>
        <w:t>30</w:t>
      </w:r>
      <w:r>
        <w:rPr>
          <w:rFonts w:hint="eastAsia" w:ascii="宋体" w:hAnsi="宋体"/>
          <w:color w:val="auto"/>
          <w:szCs w:val="22"/>
          <w:highlight w:val="none"/>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8AA4C01">
      <w:pPr>
        <w:spacing w:line="400" w:lineRule="exact"/>
        <w:ind w:firstLine="420" w:firstLineChars="200"/>
        <w:rPr>
          <w:rFonts w:hint="eastAsia" w:ascii="宋体" w:hAnsi="宋体"/>
          <w:color w:val="auto"/>
          <w:szCs w:val="21"/>
          <w:highlight w:val="none"/>
        </w:rPr>
      </w:pPr>
      <w:r>
        <w:rPr>
          <w:rFonts w:ascii="宋体" w:hAnsi="宋体"/>
          <w:color w:val="auto"/>
          <w:szCs w:val="22"/>
          <w:highlight w:val="none"/>
        </w:rPr>
        <w:t>7.7.2</w:t>
      </w:r>
      <w:r>
        <w:rPr>
          <w:rFonts w:hint="eastAsia" w:ascii="宋体" w:hAnsi="宋体"/>
          <w:color w:val="auto"/>
          <w:szCs w:val="21"/>
          <w:highlight w:val="none"/>
        </w:rPr>
        <w:t>联合体中标的，联合体各方应当共同与招标人签订合同，就中标项目向招标人承担连带责任。</w:t>
      </w:r>
    </w:p>
    <w:p w14:paraId="68392DC9">
      <w:pPr>
        <w:keepNext/>
        <w:keepLines/>
        <w:adjustRightInd w:val="0"/>
        <w:spacing w:before="240" w:after="120" w:line="360" w:lineRule="auto"/>
        <w:textAlignment w:val="baseline"/>
        <w:outlineLvl w:val="1"/>
        <w:rPr>
          <w:rFonts w:hint="eastAsia" w:ascii="宋体" w:hAnsi="宋体"/>
          <w:b/>
          <w:color w:val="auto"/>
          <w:kern w:val="0"/>
          <w:sz w:val="28"/>
          <w:szCs w:val="20"/>
          <w:highlight w:val="none"/>
        </w:rPr>
      </w:pPr>
      <w:bookmarkStart w:id="460" w:name="_Toc11216"/>
      <w:bookmarkStart w:id="461" w:name="_Toc5927"/>
      <w:bookmarkStart w:id="462" w:name="_Toc32126"/>
      <w:bookmarkStart w:id="463" w:name="_Toc22068"/>
      <w:bookmarkStart w:id="464" w:name="_Toc29270"/>
      <w:bookmarkStart w:id="465" w:name="_Toc9590406"/>
      <w:bookmarkStart w:id="466" w:name="_Toc27582"/>
      <w:bookmarkStart w:id="467" w:name="_Toc25633"/>
      <w:bookmarkStart w:id="468" w:name="_Toc22315"/>
      <w:bookmarkStart w:id="469" w:name="_Toc30584"/>
      <w:r>
        <w:rPr>
          <w:rFonts w:ascii="宋体" w:hAnsi="宋体"/>
          <w:b/>
          <w:color w:val="auto"/>
          <w:kern w:val="0"/>
          <w:sz w:val="28"/>
          <w:szCs w:val="20"/>
          <w:highlight w:val="none"/>
        </w:rPr>
        <w:t>8.</w:t>
      </w:r>
      <w:r>
        <w:rPr>
          <w:rFonts w:hint="eastAsia" w:ascii="宋体" w:hAnsi="宋体"/>
          <w:b/>
          <w:color w:val="auto"/>
          <w:kern w:val="0"/>
          <w:sz w:val="28"/>
          <w:szCs w:val="20"/>
          <w:highlight w:val="none"/>
        </w:rPr>
        <w:t>纪律和监督</w:t>
      </w:r>
      <w:bookmarkEnd w:id="460"/>
      <w:bookmarkEnd w:id="461"/>
      <w:bookmarkEnd w:id="462"/>
      <w:bookmarkEnd w:id="463"/>
      <w:bookmarkEnd w:id="464"/>
      <w:bookmarkEnd w:id="465"/>
      <w:bookmarkEnd w:id="466"/>
      <w:bookmarkEnd w:id="467"/>
      <w:bookmarkEnd w:id="468"/>
      <w:bookmarkEnd w:id="469"/>
    </w:p>
    <w:p w14:paraId="2DB6107A">
      <w:pPr>
        <w:keepNext/>
        <w:keepLines/>
        <w:spacing w:before="260" w:after="260"/>
        <w:ind w:firstLine="117" w:firstLineChars="49"/>
        <w:outlineLvl w:val="2"/>
        <w:rPr>
          <w:rFonts w:hint="eastAsia" w:ascii="宋体" w:hAnsi="宋体"/>
          <w:color w:val="auto"/>
          <w:sz w:val="24"/>
          <w:szCs w:val="20"/>
          <w:highlight w:val="none"/>
        </w:rPr>
      </w:pPr>
      <w:bookmarkStart w:id="470" w:name="_Toc16127"/>
      <w:bookmarkStart w:id="471" w:name="_Toc6800"/>
      <w:bookmarkStart w:id="472" w:name="_Toc15661"/>
      <w:bookmarkStart w:id="473" w:name="_Toc22551"/>
      <w:bookmarkStart w:id="474" w:name="_Toc32677"/>
      <w:bookmarkStart w:id="475" w:name="_Toc9645"/>
      <w:bookmarkStart w:id="476" w:name="_Toc9590407"/>
      <w:bookmarkStart w:id="477" w:name="_Toc16192"/>
      <w:r>
        <w:rPr>
          <w:rFonts w:ascii="宋体" w:hAnsi="宋体"/>
          <w:color w:val="auto"/>
          <w:sz w:val="24"/>
          <w:szCs w:val="20"/>
          <w:highlight w:val="none"/>
        </w:rPr>
        <w:t>8.1</w:t>
      </w:r>
      <w:r>
        <w:rPr>
          <w:rFonts w:hint="eastAsia" w:ascii="宋体" w:hAnsi="宋体"/>
          <w:color w:val="auto"/>
          <w:sz w:val="24"/>
          <w:szCs w:val="20"/>
          <w:highlight w:val="none"/>
        </w:rPr>
        <w:t>对招标人的纪律要求</w:t>
      </w:r>
      <w:bookmarkEnd w:id="470"/>
      <w:bookmarkEnd w:id="471"/>
      <w:bookmarkEnd w:id="472"/>
      <w:bookmarkEnd w:id="473"/>
      <w:bookmarkEnd w:id="474"/>
      <w:bookmarkEnd w:id="475"/>
      <w:bookmarkEnd w:id="476"/>
      <w:bookmarkEnd w:id="477"/>
    </w:p>
    <w:p w14:paraId="06FE055F">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招标人不得泄露招标投标活动中应当保密的情况和资料，不得与投标人串通损害国家利益、社会公共利益或者他人合法权益。</w:t>
      </w:r>
    </w:p>
    <w:p w14:paraId="1AADB549">
      <w:pPr>
        <w:keepNext/>
        <w:keepLines/>
        <w:spacing w:before="260" w:after="260"/>
        <w:ind w:firstLine="117" w:firstLineChars="49"/>
        <w:outlineLvl w:val="2"/>
        <w:rPr>
          <w:rFonts w:hint="eastAsia" w:ascii="宋体" w:hAnsi="宋体"/>
          <w:color w:val="auto"/>
          <w:sz w:val="24"/>
          <w:szCs w:val="20"/>
          <w:highlight w:val="none"/>
        </w:rPr>
      </w:pPr>
      <w:bookmarkStart w:id="478" w:name="_Toc15225"/>
      <w:bookmarkStart w:id="479" w:name="_Toc9590408"/>
      <w:bookmarkStart w:id="480" w:name="_Toc21647"/>
      <w:bookmarkStart w:id="481" w:name="_Toc25231"/>
      <w:bookmarkStart w:id="482" w:name="_Toc5676"/>
      <w:bookmarkStart w:id="483" w:name="_Toc10245"/>
      <w:bookmarkStart w:id="484" w:name="_Toc22812"/>
      <w:bookmarkStart w:id="485" w:name="_Toc17419"/>
      <w:r>
        <w:rPr>
          <w:rFonts w:ascii="宋体" w:hAnsi="宋体"/>
          <w:color w:val="auto"/>
          <w:sz w:val="24"/>
          <w:szCs w:val="20"/>
          <w:highlight w:val="none"/>
        </w:rPr>
        <w:t>8.2</w:t>
      </w:r>
      <w:r>
        <w:rPr>
          <w:rFonts w:hint="eastAsia" w:ascii="宋体" w:hAnsi="宋体"/>
          <w:color w:val="auto"/>
          <w:sz w:val="24"/>
          <w:szCs w:val="20"/>
          <w:highlight w:val="none"/>
        </w:rPr>
        <w:t>对投标人的纪律要求</w:t>
      </w:r>
      <w:bookmarkEnd w:id="478"/>
      <w:bookmarkEnd w:id="479"/>
      <w:bookmarkEnd w:id="480"/>
      <w:bookmarkEnd w:id="481"/>
      <w:bookmarkEnd w:id="482"/>
      <w:bookmarkEnd w:id="483"/>
      <w:bookmarkEnd w:id="484"/>
      <w:bookmarkEnd w:id="485"/>
    </w:p>
    <w:p w14:paraId="1A4DE860">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8D5FFE0">
      <w:pPr>
        <w:keepNext/>
        <w:keepLines/>
        <w:spacing w:before="260" w:after="260"/>
        <w:ind w:firstLine="117" w:firstLineChars="49"/>
        <w:outlineLvl w:val="2"/>
        <w:rPr>
          <w:rFonts w:hint="eastAsia" w:ascii="宋体" w:hAnsi="宋体"/>
          <w:color w:val="auto"/>
          <w:sz w:val="24"/>
          <w:szCs w:val="20"/>
          <w:highlight w:val="none"/>
        </w:rPr>
      </w:pPr>
      <w:bookmarkStart w:id="486" w:name="_Toc11806"/>
      <w:bookmarkStart w:id="487" w:name="_Toc19548"/>
      <w:bookmarkStart w:id="488" w:name="_Toc18382"/>
      <w:bookmarkStart w:id="489" w:name="_Toc9590409"/>
      <w:bookmarkStart w:id="490" w:name="_Toc10749"/>
      <w:bookmarkStart w:id="491" w:name="_Toc25332"/>
      <w:bookmarkStart w:id="492" w:name="_Toc31206"/>
      <w:bookmarkStart w:id="493" w:name="_Toc20587"/>
      <w:r>
        <w:rPr>
          <w:rFonts w:ascii="宋体" w:hAnsi="宋体"/>
          <w:color w:val="auto"/>
          <w:sz w:val="24"/>
          <w:szCs w:val="20"/>
          <w:highlight w:val="none"/>
        </w:rPr>
        <w:t>8.3</w:t>
      </w:r>
      <w:r>
        <w:rPr>
          <w:rFonts w:hint="eastAsia" w:ascii="宋体" w:hAnsi="宋体"/>
          <w:color w:val="auto"/>
          <w:sz w:val="24"/>
          <w:szCs w:val="20"/>
          <w:highlight w:val="none"/>
        </w:rPr>
        <w:t>对评标委员会成员的纪律要求</w:t>
      </w:r>
      <w:bookmarkEnd w:id="486"/>
      <w:bookmarkEnd w:id="487"/>
      <w:bookmarkEnd w:id="488"/>
      <w:bookmarkEnd w:id="489"/>
      <w:bookmarkEnd w:id="490"/>
      <w:bookmarkEnd w:id="491"/>
      <w:bookmarkEnd w:id="492"/>
      <w:bookmarkEnd w:id="493"/>
    </w:p>
    <w:p w14:paraId="2D4465CC">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Fonts w:ascii="宋体" w:hAnsi="宋体"/>
          <w:color w:val="auto"/>
          <w:szCs w:val="22"/>
          <w:highlight w:val="none"/>
        </w:rPr>
        <w:t>“</w:t>
      </w:r>
      <w:r>
        <w:rPr>
          <w:rFonts w:hint="eastAsia" w:ascii="宋体" w:hAnsi="宋体"/>
          <w:color w:val="auto"/>
          <w:szCs w:val="22"/>
          <w:highlight w:val="none"/>
        </w:rPr>
        <w:t>评标办法</w:t>
      </w:r>
      <w:r>
        <w:rPr>
          <w:rFonts w:ascii="宋体" w:hAnsi="宋体"/>
          <w:color w:val="auto"/>
          <w:szCs w:val="22"/>
          <w:highlight w:val="none"/>
        </w:rPr>
        <w:t>”</w:t>
      </w:r>
      <w:r>
        <w:rPr>
          <w:rFonts w:hint="eastAsia" w:ascii="宋体" w:hAnsi="宋体"/>
          <w:color w:val="auto"/>
          <w:szCs w:val="22"/>
          <w:highlight w:val="none"/>
        </w:rPr>
        <w:t>没有规定的评审因素和标准进行评标。</w:t>
      </w:r>
    </w:p>
    <w:p w14:paraId="6542EA38">
      <w:pPr>
        <w:keepNext/>
        <w:keepLines/>
        <w:spacing w:before="260" w:after="260"/>
        <w:ind w:firstLine="117" w:firstLineChars="49"/>
        <w:outlineLvl w:val="2"/>
        <w:rPr>
          <w:rFonts w:hint="eastAsia" w:ascii="宋体" w:hAnsi="宋体"/>
          <w:color w:val="auto"/>
          <w:sz w:val="24"/>
          <w:szCs w:val="20"/>
          <w:highlight w:val="none"/>
        </w:rPr>
      </w:pPr>
      <w:bookmarkStart w:id="494" w:name="_Toc6351"/>
      <w:bookmarkStart w:id="495" w:name="_Toc28812"/>
      <w:bookmarkStart w:id="496" w:name="_Toc9590410"/>
      <w:bookmarkStart w:id="497" w:name="_Toc20634"/>
      <w:bookmarkStart w:id="498" w:name="_Toc6233"/>
      <w:bookmarkStart w:id="499" w:name="_Toc21189"/>
      <w:bookmarkStart w:id="500" w:name="_Toc5524"/>
      <w:bookmarkStart w:id="501" w:name="_Toc1979"/>
      <w:r>
        <w:rPr>
          <w:rFonts w:ascii="宋体" w:hAnsi="宋体"/>
          <w:color w:val="auto"/>
          <w:sz w:val="24"/>
          <w:szCs w:val="20"/>
          <w:highlight w:val="none"/>
        </w:rPr>
        <w:t>8.4</w:t>
      </w:r>
      <w:r>
        <w:rPr>
          <w:rFonts w:hint="eastAsia" w:ascii="宋体" w:hAnsi="宋体"/>
          <w:color w:val="auto"/>
          <w:sz w:val="24"/>
          <w:szCs w:val="20"/>
          <w:highlight w:val="none"/>
        </w:rPr>
        <w:t>对与评标活动有关的工作人员的纪律要求</w:t>
      </w:r>
      <w:bookmarkEnd w:id="494"/>
      <w:bookmarkEnd w:id="495"/>
      <w:bookmarkEnd w:id="496"/>
      <w:bookmarkEnd w:id="497"/>
      <w:bookmarkEnd w:id="498"/>
      <w:bookmarkEnd w:id="499"/>
      <w:bookmarkEnd w:id="500"/>
      <w:bookmarkEnd w:id="501"/>
    </w:p>
    <w:p w14:paraId="6856FF94">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63EE0E06">
      <w:pPr>
        <w:keepNext/>
        <w:keepLines/>
        <w:spacing w:before="260" w:after="260"/>
        <w:ind w:firstLine="117" w:firstLineChars="49"/>
        <w:outlineLvl w:val="2"/>
        <w:rPr>
          <w:rFonts w:hint="eastAsia" w:ascii="宋体" w:hAnsi="宋体"/>
          <w:color w:val="auto"/>
          <w:sz w:val="24"/>
          <w:szCs w:val="20"/>
          <w:highlight w:val="none"/>
        </w:rPr>
      </w:pPr>
      <w:bookmarkStart w:id="502" w:name="_Toc22020"/>
      <w:bookmarkStart w:id="503" w:name="_Toc19291"/>
      <w:bookmarkStart w:id="504" w:name="_Toc31120"/>
      <w:bookmarkStart w:id="505" w:name="_Toc20869"/>
      <w:bookmarkStart w:id="506" w:name="_Toc13702"/>
      <w:bookmarkStart w:id="507" w:name="_Toc9590411"/>
      <w:bookmarkStart w:id="508" w:name="_Toc32640"/>
      <w:bookmarkStart w:id="509" w:name="_Toc2929"/>
      <w:r>
        <w:rPr>
          <w:rFonts w:ascii="宋体" w:hAnsi="宋体"/>
          <w:color w:val="auto"/>
          <w:sz w:val="24"/>
          <w:szCs w:val="20"/>
          <w:highlight w:val="none"/>
        </w:rPr>
        <w:t>8.5</w:t>
      </w:r>
      <w:r>
        <w:rPr>
          <w:rFonts w:hint="eastAsia" w:ascii="宋体" w:hAnsi="宋体"/>
          <w:color w:val="auto"/>
          <w:sz w:val="24"/>
          <w:szCs w:val="20"/>
          <w:highlight w:val="none"/>
        </w:rPr>
        <w:t>投诉</w:t>
      </w:r>
      <w:bookmarkEnd w:id="502"/>
      <w:bookmarkEnd w:id="503"/>
      <w:bookmarkEnd w:id="504"/>
      <w:bookmarkEnd w:id="505"/>
      <w:bookmarkEnd w:id="506"/>
      <w:bookmarkEnd w:id="507"/>
      <w:bookmarkEnd w:id="508"/>
      <w:bookmarkEnd w:id="509"/>
    </w:p>
    <w:p w14:paraId="7E7F9283">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8.5.1</w:t>
      </w:r>
      <w:r>
        <w:rPr>
          <w:rFonts w:hint="eastAsia" w:ascii="宋体" w:hAnsi="宋体"/>
          <w:color w:val="auto"/>
          <w:szCs w:val="22"/>
          <w:highlight w:val="none"/>
        </w:rPr>
        <w:t>投标人或者其他利害关系人认为招标投标活动不符合法律、行政法规规定的，可以自知道或者应当知道之日起</w:t>
      </w:r>
      <w:r>
        <w:rPr>
          <w:rFonts w:ascii="宋体" w:hAnsi="宋体"/>
          <w:color w:val="auto"/>
          <w:szCs w:val="22"/>
          <w:highlight w:val="none"/>
        </w:rPr>
        <w:t>10</w:t>
      </w:r>
      <w:r>
        <w:rPr>
          <w:rFonts w:hint="eastAsia" w:ascii="宋体" w:hAnsi="宋体"/>
          <w:color w:val="auto"/>
          <w:szCs w:val="22"/>
          <w:highlight w:val="none"/>
        </w:rPr>
        <w:t>日内向有关行政监督部门投诉。投诉应当有明确的请求和必要的证明材料。</w:t>
      </w:r>
    </w:p>
    <w:p w14:paraId="7FBF6323">
      <w:pPr>
        <w:spacing w:line="400" w:lineRule="exact"/>
        <w:ind w:firstLine="420" w:firstLineChars="200"/>
        <w:rPr>
          <w:rFonts w:hint="eastAsia" w:ascii="宋体" w:hAnsi="宋体"/>
          <w:color w:val="auto"/>
          <w:szCs w:val="22"/>
          <w:highlight w:val="none"/>
        </w:rPr>
      </w:pPr>
      <w:r>
        <w:rPr>
          <w:rFonts w:ascii="宋体" w:hAnsi="宋体"/>
          <w:color w:val="auto"/>
          <w:szCs w:val="22"/>
          <w:highlight w:val="none"/>
        </w:rPr>
        <w:t>8.5.2</w:t>
      </w:r>
      <w:r>
        <w:rPr>
          <w:rFonts w:hint="eastAsia" w:ascii="宋体" w:hAnsi="宋体"/>
          <w:color w:val="auto"/>
          <w:szCs w:val="22"/>
          <w:highlight w:val="none"/>
        </w:rPr>
        <w:t>投标人或者其他利害关系人对招标文件、开标和评标结果提出投诉的，应当按照投标人须知第</w:t>
      </w:r>
      <w:r>
        <w:rPr>
          <w:rFonts w:ascii="宋体" w:hAnsi="宋体"/>
          <w:color w:val="auto"/>
          <w:szCs w:val="22"/>
          <w:highlight w:val="none"/>
        </w:rPr>
        <w:t>2.4</w:t>
      </w:r>
      <w:r>
        <w:rPr>
          <w:rFonts w:hint="eastAsia" w:ascii="宋体" w:hAnsi="宋体"/>
          <w:color w:val="auto"/>
          <w:szCs w:val="22"/>
          <w:highlight w:val="none"/>
        </w:rPr>
        <w:t>款、第</w:t>
      </w:r>
      <w:r>
        <w:rPr>
          <w:rFonts w:ascii="宋体" w:hAnsi="宋体"/>
          <w:color w:val="auto"/>
          <w:szCs w:val="22"/>
          <w:highlight w:val="none"/>
        </w:rPr>
        <w:t>5.3</w:t>
      </w:r>
      <w:r>
        <w:rPr>
          <w:rFonts w:hint="eastAsia" w:ascii="宋体" w:hAnsi="宋体"/>
          <w:color w:val="auto"/>
          <w:szCs w:val="22"/>
          <w:highlight w:val="none"/>
        </w:rPr>
        <w:t>款和第</w:t>
      </w:r>
      <w:r>
        <w:rPr>
          <w:rFonts w:ascii="宋体" w:hAnsi="宋体"/>
          <w:color w:val="auto"/>
          <w:szCs w:val="22"/>
          <w:highlight w:val="none"/>
        </w:rPr>
        <w:t>7.2</w:t>
      </w:r>
      <w:r>
        <w:rPr>
          <w:rFonts w:hint="eastAsia" w:ascii="宋体" w:hAnsi="宋体"/>
          <w:color w:val="auto"/>
          <w:szCs w:val="22"/>
          <w:highlight w:val="none"/>
        </w:rPr>
        <w:t>款的规定先向招标人提出异议。异议答复期间不计算在第</w:t>
      </w:r>
      <w:r>
        <w:rPr>
          <w:rFonts w:ascii="宋体" w:hAnsi="宋体"/>
          <w:color w:val="auto"/>
          <w:szCs w:val="22"/>
          <w:highlight w:val="none"/>
        </w:rPr>
        <w:t>8.5.1</w:t>
      </w:r>
      <w:r>
        <w:rPr>
          <w:rFonts w:hint="eastAsia" w:ascii="宋体" w:hAnsi="宋体"/>
          <w:color w:val="auto"/>
          <w:szCs w:val="22"/>
          <w:highlight w:val="none"/>
        </w:rPr>
        <w:t>项规定的期限内。</w:t>
      </w:r>
    </w:p>
    <w:p w14:paraId="3B6CCE96">
      <w:pPr>
        <w:keepNext/>
        <w:keepLines/>
        <w:adjustRightInd w:val="0"/>
        <w:spacing w:before="240" w:after="120"/>
        <w:textAlignment w:val="baseline"/>
        <w:outlineLvl w:val="1"/>
        <w:rPr>
          <w:rFonts w:hint="eastAsia" w:ascii="宋体" w:hAnsi="宋体"/>
          <w:color w:val="auto"/>
          <w:kern w:val="0"/>
          <w:sz w:val="24"/>
          <w:szCs w:val="20"/>
          <w:highlight w:val="none"/>
        </w:rPr>
      </w:pPr>
      <w:bookmarkStart w:id="510" w:name="_Toc5648"/>
      <w:bookmarkStart w:id="511" w:name="_Toc17899"/>
      <w:bookmarkStart w:id="512" w:name="_Toc697"/>
      <w:bookmarkStart w:id="513" w:name="_Toc7876"/>
      <w:bookmarkStart w:id="514" w:name="_Toc15106"/>
      <w:bookmarkStart w:id="515" w:name="_Toc28346"/>
      <w:bookmarkStart w:id="516" w:name="_Toc9590412"/>
      <w:bookmarkStart w:id="517" w:name="_Toc4681"/>
      <w:bookmarkStart w:id="518" w:name="_Toc10944"/>
      <w:bookmarkStart w:id="519" w:name="_Toc26948"/>
      <w:r>
        <w:rPr>
          <w:rFonts w:ascii="宋体" w:hAnsi="宋体"/>
          <w:color w:val="auto"/>
          <w:kern w:val="0"/>
          <w:sz w:val="24"/>
          <w:szCs w:val="20"/>
          <w:highlight w:val="none"/>
        </w:rPr>
        <w:t>9.</w:t>
      </w:r>
      <w:r>
        <w:rPr>
          <w:rFonts w:hint="eastAsia" w:ascii="宋体" w:hAnsi="宋体"/>
          <w:color w:val="auto"/>
          <w:kern w:val="0"/>
          <w:sz w:val="24"/>
          <w:szCs w:val="20"/>
          <w:highlight w:val="none"/>
        </w:rPr>
        <w:t>是否采用电子招标投标</w:t>
      </w:r>
      <w:bookmarkEnd w:id="510"/>
      <w:bookmarkEnd w:id="511"/>
      <w:bookmarkEnd w:id="512"/>
      <w:bookmarkEnd w:id="513"/>
      <w:bookmarkEnd w:id="514"/>
      <w:bookmarkEnd w:id="515"/>
      <w:bookmarkEnd w:id="516"/>
      <w:bookmarkEnd w:id="517"/>
      <w:bookmarkEnd w:id="518"/>
      <w:bookmarkEnd w:id="519"/>
    </w:p>
    <w:p w14:paraId="2351D976">
      <w:pPr>
        <w:spacing w:line="400" w:lineRule="exact"/>
        <w:ind w:firstLine="420" w:firstLineChars="200"/>
        <w:rPr>
          <w:rFonts w:hint="eastAsia" w:ascii="宋体" w:hAnsi="宋体"/>
          <w:color w:val="auto"/>
          <w:szCs w:val="22"/>
          <w:highlight w:val="none"/>
        </w:rPr>
      </w:pPr>
      <w:r>
        <w:rPr>
          <w:rFonts w:hint="eastAsia" w:ascii="宋体" w:hAnsi="宋体"/>
          <w:color w:val="auto"/>
          <w:szCs w:val="22"/>
          <w:highlight w:val="none"/>
        </w:rPr>
        <w:t>本招标项目采用电子招标投标方式，见投标人须知前附表。</w:t>
      </w:r>
    </w:p>
    <w:p w14:paraId="48BBB0BB">
      <w:pPr>
        <w:keepNext/>
        <w:keepLines/>
        <w:adjustRightInd w:val="0"/>
        <w:spacing w:before="240" w:after="120"/>
        <w:textAlignment w:val="baseline"/>
        <w:outlineLvl w:val="1"/>
        <w:rPr>
          <w:rFonts w:hint="eastAsia" w:ascii="宋体" w:hAnsi="宋体"/>
          <w:color w:val="auto"/>
          <w:kern w:val="0"/>
          <w:sz w:val="24"/>
          <w:szCs w:val="20"/>
          <w:highlight w:val="none"/>
        </w:rPr>
      </w:pPr>
      <w:bookmarkStart w:id="520" w:name="_Toc18167"/>
      <w:bookmarkStart w:id="521" w:name="_Toc7262"/>
      <w:bookmarkStart w:id="522" w:name="_Toc20679"/>
      <w:bookmarkStart w:id="523" w:name="_Toc7181"/>
      <w:bookmarkStart w:id="524" w:name="_Toc20014"/>
      <w:bookmarkStart w:id="525" w:name="_Toc10539"/>
      <w:bookmarkStart w:id="526" w:name="_Toc1788"/>
      <w:bookmarkStart w:id="527" w:name="_Toc9590413"/>
      <w:bookmarkStart w:id="528" w:name="_Toc12062"/>
      <w:bookmarkStart w:id="529" w:name="_Toc825"/>
      <w:r>
        <w:rPr>
          <w:rFonts w:ascii="宋体" w:hAnsi="宋体"/>
          <w:color w:val="auto"/>
          <w:kern w:val="0"/>
          <w:sz w:val="24"/>
          <w:szCs w:val="20"/>
          <w:highlight w:val="none"/>
        </w:rPr>
        <w:t>10.</w:t>
      </w:r>
      <w:r>
        <w:rPr>
          <w:rFonts w:hint="eastAsia" w:ascii="宋体" w:hAnsi="宋体"/>
          <w:color w:val="auto"/>
          <w:kern w:val="0"/>
          <w:sz w:val="24"/>
          <w:szCs w:val="20"/>
          <w:highlight w:val="none"/>
        </w:rPr>
        <w:t>需要补充的其他内容</w:t>
      </w:r>
      <w:bookmarkEnd w:id="520"/>
      <w:bookmarkEnd w:id="521"/>
      <w:bookmarkEnd w:id="522"/>
      <w:bookmarkEnd w:id="523"/>
      <w:bookmarkEnd w:id="524"/>
      <w:bookmarkEnd w:id="525"/>
      <w:bookmarkEnd w:id="526"/>
      <w:bookmarkEnd w:id="527"/>
      <w:bookmarkEnd w:id="528"/>
      <w:bookmarkEnd w:id="529"/>
    </w:p>
    <w:p w14:paraId="04A194A5">
      <w:pPr>
        <w:spacing w:line="400" w:lineRule="exact"/>
        <w:ind w:firstLine="420" w:firstLineChars="200"/>
        <w:rPr>
          <w:rFonts w:hint="eastAsia" w:ascii="宋体" w:hAnsi="宋体"/>
          <w:b/>
          <w:color w:val="auto"/>
          <w:kern w:val="0"/>
          <w:sz w:val="24"/>
          <w:highlight w:val="none"/>
        </w:rPr>
      </w:pPr>
      <w:bookmarkStart w:id="530" w:name="_Toc9590414"/>
      <w:r>
        <w:rPr>
          <w:rFonts w:hint="eastAsia" w:ascii="宋体" w:hAnsi="宋体"/>
          <w:color w:val="auto"/>
          <w:szCs w:val="22"/>
          <w:highlight w:val="none"/>
        </w:rPr>
        <w:t>需要补充的其他内容：见投标人须知前附表。</w:t>
      </w:r>
      <w:bookmarkEnd w:id="530"/>
    </w:p>
    <w:p w14:paraId="25CB9C0B">
      <w:pPr>
        <w:spacing w:line="400" w:lineRule="exact"/>
        <w:rPr>
          <w:rFonts w:hint="eastAsia" w:ascii="宋体" w:hAnsi="宋体" w:cs="宋体"/>
          <w:color w:val="auto"/>
          <w:highlight w:val="none"/>
        </w:rPr>
      </w:pPr>
      <w:r>
        <w:rPr>
          <w:rFonts w:ascii="宋体" w:hAnsi="宋体" w:cs="宋体"/>
          <w:color w:val="auto"/>
          <w:highlight w:val="none"/>
        </w:rPr>
        <w:br w:type="page"/>
      </w:r>
    </w:p>
    <w:p w14:paraId="2179891C">
      <w:pPr>
        <w:pStyle w:val="4"/>
        <w:ind w:firstLine="137"/>
        <w:rPr>
          <w:rFonts w:hint="eastAsia" w:ascii="宋体" w:hAnsi="宋体"/>
          <w:color w:val="auto"/>
          <w:highlight w:val="none"/>
        </w:rPr>
      </w:pPr>
      <w:bookmarkStart w:id="531" w:name="_Toc20334"/>
      <w:bookmarkStart w:id="532" w:name="_Toc30079"/>
      <w:bookmarkStart w:id="533" w:name="_Toc10525"/>
      <w:bookmarkStart w:id="534" w:name="_Toc8486"/>
      <w:bookmarkStart w:id="535" w:name="_Toc9590415"/>
      <w:bookmarkStart w:id="536" w:name="_Toc21692"/>
      <w:bookmarkStart w:id="537" w:name="_Toc31296"/>
      <w:bookmarkStart w:id="538" w:name="_Toc32292"/>
      <w:r>
        <w:rPr>
          <w:rFonts w:hint="eastAsia" w:ascii="宋体" w:hAnsi="宋体"/>
          <w:color w:val="auto"/>
          <w:highlight w:val="none"/>
        </w:rPr>
        <w:t>附件一：开标记录表</w:t>
      </w:r>
      <w:bookmarkEnd w:id="531"/>
      <w:bookmarkEnd w:id="532"/>
      <w:bookmarkEnd w:id="533"/>
      <w:bookmarkEnd w:id="534"/>
      <w:bookmarkEnd w:id="535"/>
      <w:bookmarkEnd w:id="536"/>
      <w:bookmarkEnd w:id="537"/>
      <w:bookmarkEnd w:id="538"/>
    </w:p>
    <w:p w14:paraId="137CC0D6">
      <w:pPr>
        <w:spacing w:line="440" w:lineRule="exact"/>
        <w:jc w:val="center"/>
        <w:rPr>
          <w:rFonts w:hint="eastAsia" w:ascii="宋体" w:hAnsi="宋体"/>
          <w:color w:val="auto"/>
          <w:highlight w:val="none"/>
        </w:rPr>
      </w:pPr>
      <w:r>
        <w:rPr>
          <w:rFonts w:hint="eastAsia" w:ascii="宋体" w:hAnsi="宋体"/>
          <w:color w:val="auto"/>
          <w:sz w:val="28"/>
          <w:highlight w:val="none"/>
        </w:rPr>
        <w:t>以交易中心系统导出的格式为准</w:t>
      </w:r>
    </w:p>
    <w:p w14:paraId="1BA5C4EA">
      <w:pPr>
        <w:spacing w:line="440" w:lineRule="exact"/>
        <w:rPr>
          <w:rFonts w:hint="eastAsia" w:ascii="宋体" w:hAnsi="宋体"/>
          <w:color w:val="auto"/>
          <w:highlight w:val="none"/>
        </w:rPr>
      </w:pPr>
    </w:p>
    <w:p w14:paraId="0912EF81">
      <w:pPr>
        <w:pStyle w:val="4"/>
        <w:ind w:firstLine="137"/>
        <w:rPr>
          <w:rFonts w:hint="eastAsia" w:ascii="宋体" w:hAnsi="宋体"/>
          <w:color w:val="auto"/>
          <w:highlight w:val="none"/>
        </w:rPr>
      </w:pPr>
      <w:bookmarkStart w:id="539" w:name="_Toc15630"/>
      <w:bookmarkStart w:id="540" w:name="_Toc9590416"/>
      <w:bookmarkStart w:id="541" w:name="_Toc26817"/>
      <w:bookmarkStart w:id="542" w:name="_Toc26857"/>
      <w:bookmarkStart w:id="543" w:name="_Toc9985"/>
      <w:bookmarkStart w:id="544" w:name="_Toc13437"/>
      <w:bookmarkStart w:id="545" w:name="_Toc1869"/>
      <w:bookmarkStart w:id="546" w:name="_Toc4405"/>
      <w:r>
        <w:rPr>
          <w:rFonts w:hint="eastAsia" w:ascii="宋体" w:hAnsi="宋体"/>
          <w:color w:val="auto"/>
          <w:highlight w:val="none"/>
        </w:rPr>
        <w:t>附件二：问题澄清通知</w:t>
      </w:r>
      <w:bookmarkEnd w:id="539"/>
      <w:bookmarkEnd w:id="540"/>
      <w:bookmarkEnd w:id="541"/>
      <w:bookmarkEnd w:id="542"/>
      <w:bookmarkEnd w:id="543"/>
      <w:bookmarkEnd w:id="544"/>
      <w:bookmarkEnd w:id="545"/>
      <w:bookmarkEnd w:id="546"/>
    </w:p>
    <w:p w14:paraId="162BC018">
      <w:pPr>
        <w:spacing w:line="440" w:lineRule="exact"/>
        <w:jc w:val="center"/>
        <w:rPr>
          <w:rFonts w:hint="eastAsia" w:ascii="宋体" w:hAnsi="宋体"/>
          <w:color w:val="auto"/>
          <w:highlight w:val="none"/>
        </w:rPr>
      </w:pPr>
    </w:p>
    <w:p w14:paraId="06C41765">
      <w:pPr>
        <w:spacing w:line="440" w:lineRule="exact"/>
        <w:jc w:val="center"/>
        <w:rPr>
          <w:rFonts w:hint="eastAsia" w:ascii="宋体" w:hAnsi="宋体"/>
          <w:color w:val="auto"/>
          <w:highlight w:val="none"/>
        </w:rPr>
      </w:pPr>
      <w:r>
        <w:rPr>
          <w:rFonts w:hint="eastAsia" w:ascii="宋体" w:hAnsi="宋体"/>
          <w:color w:val="auto"/>
          <w:sz w:val="28"/>
          <w:highlight w:val="none"/>
        </w:rPr>
        <w:t>以交易中心提供的格式为准</w:t>
      </w:r>
    </w:p>
    <w:p w14:paraId="4ED6BA93">
      <w:pPr>
        <w:spacing w:line="400" w:lineRule="exact"/>
        <w:rPr>
          <w:rFonts w:hint="eastAsia" w:ascii="宋体" w:hAnsi="宋体"/>
          <w:color w:val="auto"/>
          <w:highlight w:val="none"/>
        </w:rPr>
      </w:pPr>
    </w:p>
    <w:p w14:paraId="11C00CB3">
      <w:pPr>
        <w:pStyle w:val="4"/>
        <w:ind w:firstLine="137"/>
        <w:rPr>
          <w:rFonts w:hint="eastAsia" w:ascii="宋体" w:hAnsi="宋体"/>
          <w:color w:val="auto"/>
          <w:highlight w:val="none"/>
        </w:rPr>
      </w:pPr>
      <w:bookmarkStart w:id="547" w:name="_Toc31331"/>
      <w:bookmarkStart w:id="548" w:name="_Toc9590417"/>
      <w:bookmarkStart w:id="549" w:name="_Toc17801"/>
      <w:bookmarkStart w:id="550" w:name="_Toc19569"/>
      <w:bookmarkStart w:id="551" w:name="_Toc31610"/>
      <w:bookmarkStart w:id="552" w:name="_Toc24602"/>
      <w:bookmarkStart w:id="553" w:name="_Toc4576"/>
      <w:bookmarkStart w:id="554" w:name="_Toc334"/>
      <w:r>
        <w:rPr>
          <w:rFonts w:hint="eastAsia" w:ascii="宋体" w:hAnsi="宋体"/>
          <w:color w:val="auto"/>
          <w:highlight w:val="none"/>
        </w:rPr>
        <w:t>附件三：问题的澄清</w:t>
      </w:r>
      <w:bookmarkEnd w:id="547"/>
      <w:bookmarkEnd w:id="548"/>
      <w:bookmarkEnd w:id="549"/>
      <w:bookmarkEnd w:id="550"/>
      <w:bookmarkEnd w:id="551"/>
      <w:bookmarkEnd w:id="552"/>
      <w:bookmarkEnd w:id="553"/>
      <w:bookmarkEnd w:id="554"/>
    </w:p>
    <w:p w14:paraId="32B62F2C">
      <w:pPr>
        <w:spacing w:line="400" w:lineRule="exact"/>
        <w:jc w:val="center"/>
        <w:rPr>
          <w:rFonts w:hint="eastAsia" w:ascii="宋体" w:hAnsi="宋体"/>
          <w:color w:val="auto"/>
          <w:sz w:val="28"/>
          <w:highlight w:val="none"/>
        </w:rPr>
      </w:pPr>
    </w:p>
    <w:p w14:paraId="2078B2D7">
      <w:pPr>
        <w:spacing w:line="440" w:lineRule="exact"/>
        <w:jc w:val="center"/>
        <w:rPr>
          <w:rFonts w:hint="eastAsia" w:ascii="宋体" w:hAnsi="宋体"/>
          <w:color w:val="auto"/>
          <w:highlight w:val="none"/>
        </w:rPr>
      </w:pPr>
      <w:r>
        <w:rPr>
          <w:rFonts w:hint="eastAsia" w:ascii="宋体" w:hAnsi="宋体"/>
          <w:color w:val="auto"/>
          <w:sz w:val="28"/>
          <w:highlight w:val="none"/>
        </w:rPr>
        <w:t>以交易中心提供的格式为准</w:t>
      </w:r>
    </w:p>
    <w:p w14:paraId="334F9EB2">
      <w:pPr>
        <w:spacing w:line="400" w:lineRule="exact"/>
        <w:rPr>
          <w:rFonts w:hint="eastAsia" w:ascii="宋体" w:hAnsi="宋体"/>
          <w:color w:val="auto"/>
          <w:highlight w:val="none"/>
        </w:rPr>
      </w:pPr>
    </w:p>
    <w:p w14:paraId="20AF8F5C">
      <w:pPr>
        <w:pStyle w:val="4"/>
        <w:ind w:firstLine="137"/>
        <w:rPr>
          <w:rFonts w:hint="eastAsia" w:ascii="宋体" w:hAnsi="宋体"/>
          <w:color w:val="auto"/>
          <w:highlight w:val="none"/>
        </w:rPr>
      </w:pPr>
      <w:bookmarkStart w:id="555" w:name="_Toc28926"/>
      <w:bookmarkStart w:id="556" w:name="_Toc7122"/>
      <w:bookmarkStart w:id="557" w:name="_Toc9590418"/>
      <w:bookmarkStart w:id="558" w:name="_Toc22638"/>
      <w:bookmarkStart w:id="559" w:name="_Toc22054"/>
      <w:bookmarkStart w:id="560" w:name="_Toc25479"/>
      <w:bookmarkStart w:id="561" w:name="_Toc1765"/>
      <w:bookmarkStart w:id="562" w:name="_Toc2924"/>
      <w:r>
        <w:rPr>
          <w:rFonts w:hint="eastAsia" w:ascii="宋体" w:hAnsi="宋体"/>
          <w:color w:val="auto"/>
          <w:highlight w:val="none"/>
        </w:rPr>
        <w:t>附件四：中标通知书</w:t>
      </w:r>
      <w:bookmarkEnd w:id="555"/>
      <w:bookmarkEnd w:id="556"/>
      <w:bookmarkEnd w:id="557"/>
      <w:bookmarkEnd w:id="558"/>
      <w:bookmarkEnd w:id="559"/>
      <w:bookmarkEnd w:id="560"/>
      <w:bookmarkEnd w:id="561"/>
      <w:bookmarkEnd w:id="562"/>
    </w:p>
    <w:p w14:paraId="42B9B84E">
      <w:pPr>
        <w:spacing w:line="400" w:lineRule="exact"/>
        <w:rPr>
          <w:rFonts w:hint="eastAsia" w:ascii="宋体" w:hAnsi="宋体"/>
          <w:color w:val="auto"/>
          <w:highlight w:val="none"/>
        </w:rPr>
      </w:pPr>
    </w:p>
    <w:p w14:paraId="41DFF5F6">
      <w:pPr>
        <w:spacing w:line="400" w:lineRule="exact"/>
        <w:jc w:val="center"/>
        <w:rPr>
          <w:rFonts w:hint="eastAsia" w:ascii="宋体" w:hAnsi="宋体"/>
          <w:color w:val="auto"/>
          <w:sz w:val="28"/>
          <w:highlight w:val="none"/>
        </w:rPr>
      </w:pPr>
      <w:r>
        <w:rPr>
          <w:rFonts w:hint="eastAsia" w:ascii="宋体" w:hAnsi="宋体"/>
          <w:color w:val="auto"/>
          <w:sz w:val="28"/>
          <w:highlight w:val="none"/>
        </w:rPr>
        <w:t>中标通知书</w:t>
      </w:r>
    </w:p>
    <w:p w14:paraId="5A64B9E6">
      <w:pPr>
        <w:spacing w:line="400" w:lineRule="exact"/>
        <w:jc w:val="center"/>
        <w:rPr>
          <w:rFonts w:hint="eastAsia" w:ascii="宋体" w:hAnsi="宋体"/>
          <w:color w:val="auto"/>
          <w:sz w:val="28"/>
          <w:highlight w:val="none"/>
        </w:rPr>
      </w:pPr>
    </w:p>
    <w:p w14:paraId="176FBDDC">
      <w:pPr>
        <w:jc w:val="center"/>
        <w:rPr>
          <w:rFonts w:hint="eastAsia" w:ascii="宋体" w:hAnsi="宋体"/>
          <w:bCs/>
          <w:color w:val="auto"/>
          <w:szCs w:val="21"/>
          <w:highlight w:val="none"/>
        </w:rPr>
      </w:pPr>
      <w:r>
        <w:rPr>
          <w:rFonts w:hint="eastAsia" w:ascii="宋体" w:hAnsi="宋体"/>
          <w:color w:val="auto"/>
          <w:sz w:val="28"/>
          <w:highlight w:val="none"/>
        </w:rPr>
        <w:t>以交易中心提供的格式为准。</w:t>
      </w:r>
    </w:p>
    <w:p w14:paraId="0D76A36A">
      <w:pPr>
        <w:spacing w:line="400" w:lineRule="exact"/>
        <w:rPr>
          <w:rFonts w:hint="eastAsia" w:ascii="宋体" w:hAnsi="宋体"/>
          <w:color w:val="auto"/>
          <w:highlight w:val="none"/>
        </w:rPr>
      </w:pPr>
    </w:p>
    <w:p w14:paraId="205593ED">
      <w:pPr>
        <w:pStyle w:val="4"/>
        <w:ind w:firstLine="137"/>
        <w:rPr>
          <w:rFonts w:hint="eastAsia" w:ascii="宋体" w:hAnsi="宋体"/>
          <w:color w:val="auto"/>
          <w:highlight w:val="none"/>
        </w:rPr>
      </w:pPr>
      <w:bookmarkStart w:id="563" w:name="_Toc1289"/>
      <w:bookmarkStart w:id="564" w:name="_Toc2288"/>
      <w:bookmarkStart w:id="565" w:name="_Toc30966"/>
      <w:bookmarkStart w:id="566" w:name="_Toc28052"/>
      <w:bookmarkStart w:id="567" w:name="_Toc4107"/>
      <w:bookmarkStart w:id="568" w:name="_Toc10211"/>
      <w:bookmarkStart w:id="569" w:name="_Toc9590419"/>
      <w:bookmarkStart w:id="570" w:name="_Toc7023"/>
      <w:r>
        <w:rPr>
          <w:rFonts w:hint="eastAsia" w:ascii="宋体" w:hAnsi="宋体"/>
          <w:color w:val="auto"/>
          <w:highlight w:val="none"/>
        </w:rPr>
        <w:t>附件五：中标结果通知书</w:t>
      </w:r>
      <w:bookmarkEnd w:id="563"/>
      <w:bookmarkEnd w:id="564"/>
      <w:bookmarkEnd w:id="565"/>
      <w:bookmarkEnd w:id="566"/>
      <w:bookmarkEnd w:id="567"/>
      <w:bookmarkEnd w:id="568"/>
      <w:bookmarkEnd w:id="569"/>
      <w:bookmarkEnd w:id="570"/>
    </w:p>
    <w:p w14:paraId="75161266">
      <w:pPr>
        <w:spacing w:line="400" w:lineRule="exact"/>
        <w:rPr>
          <w:rFonts w:hint="eastAsia" w:ascii="宋体" w:hAnsi="宋体"/>
          <w:color w:val="auto"/>
          <w:highlight w:val="none"/>
        </w:rPr>
      </w:pPr>
    </w:p>
    <w:p w14:paraId="41F78E9A">
      <w:pPr>
        <w:spacing w:line="400" w:lineRule="exact"/>
        <w:jc w:val="center"/>
        <w:rPr>
          <w:rFonts w:hint="eastAsia" w:ascii="宋体" w:hAnsi="宋体"/>
          <w:color w:val="auto"/>
          <w:sz w:val="28"/>
          <w:highlight w:val="none"/>
        </w:rPr>
      </w:pPr>
      <w:r>
        <w:rPr>
          <w:rFonts w:hint="eastAsia" w:ascii="宋体" w:hAnsi="宋体"/>
          <w:color w:val="auto"/>
          <w:sz w:val="28"/>
          <w:highlight w:val="none"/>
        </w:rPr>
        <w:t>中标结果通知书</w:t>
      </w:r>
    </w:p>
    <w:p w14:paraId="6B2D92B2">
      <w:pPr>
        <w:spacing w:line="400" w:lineRule="exact"/>
        <w:rPr>
          <w:rFonts w:hint="eastAsia" w:ascii="宋体" w:hAnsi="宋体"/>
          <w:color w:val="auto"/>
          <w:highlight w:val="none"/>
        </w:rPr>
      </w:pPr>
    </w:p>
    <w:p w14:paraId="2A620046">
      <w:pPr>
        <w:spacing w:line="440" w:lineRule="exact"/>
        <w:rPr>
          <w:rFonts w:hint="eastAsia" w:ascii="宋体" w:hAnsi="宋体"/>
          <w:color w:val="auto"/>
          <w:highlight w:val="none"/>
        </w:rPr>
      </w:pPr>
      <w:r>
        <w:rPr>
          <w:rFonts w:hint="eastAsia" w:ascii="宋体" w:hAnsi="宋体"/>
          <w:color w:val="auto"/>
          <w:highlight w:val="none"/>
        </w:rPr>
        <w:t>（未中标人名称）：</w:t>
      </w:r>
    </w:p>
    <w:p w14:paraId="75C744CB">
      <w:pPr>
        <w:spacing w:line="440" w:lineRule="exact"/>
        <w:rPr>
          <w:rFonts w:hint="eastAsia" w:ascii="宋体" w:hAnsi="宋体"/>
          <w:color w:val="auto"/>
          <w:highlight w:val="none"/>
        </w:rPr>
      </w:pPr>
    </w:p>
    <w:p w14:paraId="3B6C5173">
      <w:pPr>
        <w:spacing w:line="440" w:lineRule="exact"/>
        <w:ind w:firstLine="420"/>
        <w:rPr>
          <w:rFonts w:hint="eastAsia" w:ascii="宋体" w:hAnsi="宋体"/>
          <w:color w:val="auto"/>
          <w:highlight w:val="none"/>
        </w:rPr>
      </w:pPr>
      <w:r>
        <w:rPr>
          <w:rFonts w:hint="eastAsia" w:ascii="宋体" w:hAnsi="宋体"/>
          <w:color w:val="auto"/>
          <w:highlight w:val="none"/>
        </w:rPr>
        <w:t>我方已接受（中标人名称）于（投标日期）所递交的（项目名称）的投标文件，确定（中标人名称）为中标人。</w:t>
      </w:r>
    </w:p>
    <w:p w14:paraId="336174BE">
      <w:pPr>
        <w:spacing w:line="440" w:lineRule="exact"/>
        <w:ind w:firstLine="420"/>
        <w:rPr>
          <w:rFonts w:hint="eastAsia" w:ascii="宋体" w:hAnsi="宋体"/>
          <w:color w:val="auto"/>
          <w:highlight w:val="none"/>
        </w:rPr>
      </w:pPr>
      <w:r>
        <w:rPr>
          <w:rFonts w:hint="eastAsia" w:ascii="宋体" w:hAnsi="宋体"/>
          <w:color w:val="auto"/>
          <w:highlight w:val="none"/>
        </w:rPr>
        <w:t>感谢你单位对招标项目的参与！</w:t>
      </w:r>
    </w:p>
    <w:p w14:paraId="5EB2F548">
      <w:pPr>
        <w:spacing w:line="440" w:lineRule="exact"/>
        <w:rPr>
          <w:rFonts w:hint="eastAsia" w:ascii="宋体" w:hAnsi="宋体"/>
          <w:color w:val="auto"/>
          <w:highlight w:val="none"/>
        </w:rPr>
      </w:pPr>
    </w:p>
    <w:p w14:paraId="24B7A443">
      <w:pPr>
        <w:spacing w:line="440" w:lineRule="exact"/>
        <w:rPr>
          <w:rFonts w:hint="eastAsia" w:ascii="宋体" w:hAnsi="宋体"/>
          <w:color w:val="auto"/>
          <w:highlight w:val="none"/>
        </w:rPr>
      </w:pPr>
    </w:p>
    <w:p w14:paraId="75870E2B">
      <w:pPr>
        <w:spacing w:line="440" w:lineRule="exact"/>
        <w:rPr>
          <w:rFonts w:hint="eastAsia" w:ascii="宋体" w:hAnsi="宋体"/>
          <w:color w:val="auto"/>
          <w:highlight w:val="none"/>
        </w:rPr>
      </w:pPr>
    </w:p>
    <w:p w14:paraId="58B7CF42">
      <w:pPr>
        <w:spacing w:line="440" w:lineRule="exact"/>
        <w:ind w:firstLine="3045" w:firstLineChars="1450"/>
        <w:rPr>
          <w:rFonts w:hint="eastAsia" w:ascii="宋体" w:hAnsi="宋体"/>
          <w:color w:val="auto"/>
          <w:highlight w:val="none"/>
        </w:rPr>
      </w:pPr>
      <w:r>
        <w:rPr>
          <w:rFonts w:hint="eastAsia" w:ascii="宋体" w:hAnsi="宋体"/>
          <w:color w:val="auto"/>
          <w:highlight w:val="none"/>
        </w:rPr>
        <w:t>招标人：（盖单位章）</w:t>
      </w:r>
    </w:p>
    <w:p w14:paraId="737B6546">
      <w:pPr>
        <w:spacing w:line="440" w:lineRule="exact"/>
        <w:rPr>
          <w:rFonts w:hint="eastAsia" w:ascii="宋体" w:hAnsi="宋体"/>
          <w:color w:val="auto"/>
          <w:highlight w:val="none"/>
        </w:rPr>
      </w:pPr>
    </w:p>
    <w:p w14:paraId="62343EC8">
      <w:pPr>
        <w:wordWrap w:val="0"/>
        <w:spacing w:line="440" w:lineRule="exact"/>
        <w:jc w:val="right"/>
        <w:rPr>
          <w:rFonts w:hint="eastAsia" w:ascii="宋体" w:hAnsi="宋体"/>
          <w:color w:val="auto"/>
          <w:highlight w:val="none"/>
        </w:rPr>
      </w:pPr>
      <w:r>
        <w:rPr>
          <w:rFonts w:hint="eastAsia" w:ascii="宋体" w:hAnsi="宋体"/>
          <w:color w:val="auto"/>
          <w:highlight w:val="none"/>
        </w:rPr>
        <w:t xml:space="preserve">年 </w:t>
      </w:r>
      <w:r>
        <w:rPr>
          <w:rFonts w:ascii="宋体" w:hAnsi="宋体"/>
          <w:color w:val="auto"/>
          <w:highlight w:val="none"/>
        </w:rPr>
        <w:t xml:space="preserve">   </w:t>
      </w:r>
      <w:r>
        <w:rPr>
          <w:rFonts w:hint="eastAsia" w:ascii="宋体" w:hAnsi="宋体"/>
          <w:color w:val="auto"/>
          <w:highlight w:val="none"/>
        </w:rPr>
        <w:t xml:space="preserve">月 </w:t>
      </w:r>
      <w:r>
        <w:rPr>
          <w:rFonts w:ascii="宋体" w:hAnsi="宋体"/>
          <w:color w:val="auto"/>
          <w:highlight w:val="none"/>
        </w:rPr>
        <w:t xml:space="preserve">  </w:t>
      </w:r>
      <w:r>
        <w:rPr>
          <w:rFonts w:hint="eastAsia" w:ascii="宋体" w:hAnsi="宋体"/>
          <w:color w:val="auto"/>
          <w:highlight w:val="none"/>
        </w:rPr>
        <w:t xml:space="preserve">日 </w:t>
      </w:r>
      <w:r>
        <w:rPr>
          <w:rFonts w:ascii="宋体" w:hAnsi="宋体"/>
          <w:color w:val="auto"/>
          <w:highlight w:val="none"/>
        </w:rPr>
        <w:t xml:space="preserve"> </w:t>
      </w:r>
    </w:p>
    <w:p w14:paraId="17C4EB53">
      <w:pPr>
        <w:pStyle w:val="3"/>
        <w:spacing w:before="120" w:after="120"/>
        <w:jc w:val="center"/>
        <w:rPr>
          <w:rFonts w:hint="eastAsia" w:ascii="宋体" w:hAnsi="宋体"/>
          <w:b w:val="0"/>
          <w:color w:val="auto"/>
          <w:kern w:val="24"/>
          <w:sz w:val="28"/>
          <w:szCs w:val="20"/>
          <w:highlight w:val="none"/>
        </w:rPr>
      </w:pPr>
      <w:r>
        <w:rPr>
          <w:rFonts w:ascii="宋体" w:hAnsi="宋体"/>
          <w:color w:val="auto"/>
          <w:highlight w:val="none"/>
        </w:rPr>
        <w:br w:type="page"/>
      </w:r>
      <w:bookmarkStart w:id="571" w:name="_Toc27397"/>
      <w:bookmarkStart w:id="572" w:name="_Toc14619"/>
      <w:bookmarkStart w:id="573" w:name="_Toc25709"/>
      <w:bookmarkStart w:id="574" w:name="_Toc14915"/>
      <w:bookmarkStart w:id="575" w:name="_Toc5726"/>
      <w:bookmarkStart w:id="576" w:name="_Toc30027"/>
      <w:bookmarkStart w:id="577" w:name="_Toc5340"/>
      <w:bookmarkStart w:id="578" w:name="_Toc9590420"/>
      <w:bookmarkStart w:id="579" w:name="_Toc7786"/>
      <w:r>
        <w:rPr>
          <w:rFonts w:hint="eastAsia" w:ascii="宋体" w:hAnsi="宋体" w:eastAsia="宋体"/>
          <w:color w:val="auto"/>
          <w:highlight w:val="none"/>
        </w:rPr>
        <w:t xml:space="preserve">第三章 </w:t>
      </w:r>
      <w:r>
        <w:rPr>
          <w:rFonts w:ascii="宋体" w:hAnsi="宋体" w:eastAsia="宋体"/>
          <w:color w:val="auto"/>
          <w:highlight w:val="none"/>
        </w:rPr>
        <w:t xml:space="preserve"> </w:t>
      </w:r>
      <w:r>
        <w:rPr>
          <w:rFonts w:hint="eastAsia" w:ascii="宋体" w:hAnsi="宋体" w:eastAsia="宋体"/>
          <w:color w:val="auto"/>
          <w:highlight w:val="none"/>
        </w:rPr>
        <w:t>评标办法（综合评估法）</w:t>
      </w:r>
      <w:bookmarkEnd w:id="571"/>
      <w:bookmarkEnd w:id="572"/>
      <w:bookmarkEnd w:id="573"/>
      <w:bookmarkEnd w:id="574"/>
      <w:bookmarkEnd w:id="575"/>
      <w:bookmarkEnd w:id="576"/>
      <w:bookmarkEnd w:id="577"/>
      <w:bookmarkEnd w:id="578"/>
      <w:bookmarkEnd w:id="579"/>
    </w:p>
    <w:p w14:paraId="4617076E">
      <w:pPr>
        <w:rPr>
          <w:rFonts w:hint="eastAsia" w:ascii="宋体" w:hAnsi="宋体"/>
          <w:color w:val="auto"/>
          <w:highlight w:val="none"/>
        </w:rPr>
      </w:pPr>
    </w:p>
    <w:p w14:paraId="1269AD65">
      <w:pPr>
        <w:jc w:val="center"/>
        <w:rPr>
          <w:b/>
          <w:bCs/>
          <w:color w:val="auto"/>
          <w:sz w:val="24"/>
          <w:highlight w:val="none"/>
        </w:rPr>
      </w:pPr>
      <w:bookmarkStart w:id="580" w:name="_Toc529459331"/>
      <w:bookmarkStart w:id="581" w:name="_Toc16683"/>
      <w:bookmarkStart w:id="582" w:name="_Toc393961877"/>
      <w:bookmarkStart w:id="583" w:name="_Toc248"/>
      <w:bookmarkStart w:id="584" w:name="_Toc527555805"/>
      <w:r>
        <w:rPr>
          <w:rFonts w:hint="eastAsia"/>
          <w:b/>
          <w:bCs/>
          <w:color w:val="auto"/>
          <w:sz w:val="24"/>
          <w:highlight w:val="none"/>
        </w:rPr>
        <w:t>评标办法前附表</w:t>
      </w:r>
      <w:bookmarkEnd w:id="580"/>
      <w:bookmarkEnd w:id="581"/>
      <w:bookmarkEnd w:id="582"/>
      <w:bookmarkEnd w:id="583"/>
      <w:bookmarkEnd w:id="584"/>
    </w:p>
    <w:p w14:paraId="0CE0849F">
      <w:pPr>
        <w:rPr>
          <w:rFonts w:hint="eastAsia" w:ascii="宋体" w:hAnsi="宋体"/>
          <w:color w:val="auto"/>
          <w:highlight w:val="none"/>
        </w:rPr>
      </w:pPr>
    </w:p>
    <w:tbl>
      <w:tblPr>
        <w:tblStyle w:val="21"/>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992"/>
        <w:gridCol w:w="1560"/>
        <w:gridCol w:w="6362"/>
      </w:tblGrid>
      <w:tr w14:paraId="0651D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14:paraId="60F0906F">
            <w:pPr>
              <w:spacing w:line="360" w:lineRule="auto"/>
              <w:jc w:val="center"/>
              <w:rPr>
                <w:rFonts w:hint="eastAsia" w:ascii="宋体" w:hAnsi="宋体"/>
                <w:b/>
                <w:color w:val="auto"/>
                <w:highlight w:val="none"/>
              </w:rPr>
            </w:pPr>
            <w:r>
              <w:rPr>
                <w:rFonts w:hint="eastAsia" w:ascii="宋体" w:hAnsi="宋体"/>
                <w:b/>
                <w:color w:val="auto"/>
                <w:highlight w:val="none"/>
              </w:rPr>
              <w:t>条款号</w:t>
            </w:r>
          </w:p>
        </w:tc>
        <w:tc>
          <w:tcPr>
            <w:tcW w:w="1560" w:type="dxa"/>
            <w:tcBorders>
              <w:top w:val="single" w:color="auto" w:sz="4" w:space="0"/>
              <w:left w:val="single" w:color="auto" w:sz="4" w:space="0"/>
              <w:bottom w:val="single" w:color="auto" w:sz="4" w:space="0"/>
              <w:right w:val="single" w:color="auto" w:sz="4" w:space="0"/>
            </w:tcBorders>
            <w:vAlign w:val="center"/>
          </w:tcPr>
          <w:p w14:paraId="3690D9BC">
            <w:pPr>
              <w:spacing w:line="360" w:lineRule="auto"/>
              <w:jc w:val="center"/>
              <w:rPr>
                <w:rFonts w:hint="eastAsia" w:ascii="宋体" w:hAnsi="宋体"/>
                <w:b/>
                <w:color w:val="auto"/>
                <w:highlight w:val="none"/>
              </w:rPr>
            </w:pPr>
            <w:r>
              <w:rPr>
                <w:rFonts w:hint="eastAsia" w:ascii="宋体" w:hAnsi="宋体"/>
                <w:b/>
                <w:color w:val="auto"/>
                <w:highlight w:val="none"/>
              </w:rPr>
              <w:t>评审因素</w:t>
            </w:r>
          </w:p>
        </w:tc>
        <w:tc>
          <w:tcPr>
            <w:tcW w:w="6362" w:type="dxa"/>
            <w:tcBorders>
              <w:top w:val="single" w:color="auto" w:sz="4" w:space="0"/>
              <w:left w:val="single" w:color="auto" w:sz="4" w:space="0"/>
              <w:bottom w:val="single" w:color="auto" w:sz="4" w:space="0"/>
              <w:right w:val="single" w:color="auto" w:sz="4" w:space="0"/>
            </w:tcBorders>
            <w:vAlign w:val="center"/>
          </w:tcPr>
          <w:p w14:paraId="0C2FAA99">
            <w:pPr>
              <w:spacing w:line="360" w:lineRule="auto"/>
              <w:jc w:val="center"/>
              <w:rPr>
                <w:rFonts w:hint="eastAsia" w:ascii="宋体" w:hAnsi="宋体"/>
                <w:b/>
                <w:color w:val="auto"/>
                <w:highlight w:val="none"/>
              </w:rPr>
            </w:pPr>
            <w:r>
              <w:rPr>
                <w:rFonts w:hint="eastAsia" w:ascii="宋体" w:hAnsi="宋体"/>
                <w:b/>
                <w:color w:val="auto"/>
                <w:highlight w:val="none"/>
              </w:rPr>
              <w:t>评审标准</w:t>
            </w:r>
          </w:p>
        </w:tc>
      </w:tr>
      <w:tr w14:paraId="0A558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37A13E8">
            <w:pPr>
              <w:spacing w:line="360" w:lineRule="auto"/>
              <w:jc w:val="center"/>
              <w:rPr>
                <w:rFonts w:hint="eastAsia" w:ascii="宋体" w:hAnsi="宋体"/>
                <w:color w:val="auto"/>
                <w:highlight w:val="none"/>
              </w:rPr>
            </w:pPr>
            <w:r>
              <w:rPr>
                <w:rFonts w:ascii="宋体" w:hAnsi="宋体"/>
                <w:color w:val="auto"/>
                <w:highlight w:val="none"/>
              </w:rPr>
              <w:t>1</w:t>
            </w:r>
          </w:p>
        </w:tc>
        <w:tc>
          <w:tcPr>
            <w:tcW w:w="992" w:type="dxa"/>
            <w:tcBorders>
              <w:top w:val="single" w:color="auto" w:sz="4" w:space="0"/>
              <w:left w:val="single" w:color="auto" w:sz="4" w:space="0"/>
              <w:bottom w:val="single" w:color="auto" w:sz="4" w:space="0"/>
              <w:right w:val="single" w:color="auto" w:sz="4" w:space="0"/>
            </w:tcBorders>
            <w:vAlign w:val="center"/>
          </w:tcPr>
          <w:p w14:paraId="7B61765B">
            <w:pPr>
              <w:spacing w:line="360" w:lineRule="auto"/>
              <w:jc w:val="center"/>
              <w:rPr>
                <w:rFonts w:hint="eastAsia" w:ascii="宋体" w:hAnsi="宋体"/>
                <w:color w:val="auto"/>
                <w:highlight w:val="none"/>
              </w:rPr>
            </w:pPr>
            <w:r>
              <w:rPr>
                <w:rFonts w:hint="eastAsia" w:ascii="宋体" w:hAnsi="宋体"/>
                <w:color w:val="auto"/>
                <w:highlight w:val="none"/>
              </w:rPr>
              <w:t>评标方法</w:t>
            </w:r>
          </w:p>
        </w:tc>
        <w:tc>
          <w:tcPr>
            <w:tcW w:w="1560" w:type="dxa"/>
            <w:tcBorders>
              <w:top w:val="single" w:color="auto" w:sz="4" w:space="0"/>
              <w:left w:val="single" w:color="auto" w:sz="4" w:space="0"/>
              <w:bottom w:val="single" w:color="auto" w:sz="4" w:space="0"/>
              <w:right w:val="single" w:color="auto" w:sz="4" w:space="0"/>
            </w:tcBorders>
            <w:vAlign w:val="center"/>
          </w:tcPr>
          <w:p w14:paraId="6763F250">
            <w:pPr>
              <w:spacing w:line="360" w:lineRule="auto"/>
              <w:jc w:val="center"/>
              <w:rPr>
                <w:rFonts w:hint="eastAsia" w:ascii="宋体" w:hAnsi="宋体"/>
                <w:color w:val="auto"/>
                <w:highlight w:val="none"/>
              </w:rPr>
            </w:pPr>
            <w:r>
              <w:rPr>
                <w:rFonts w:hint="eastAsia" w:ascii="宋体" w:hAnsi="宋体"/>
                <w:color w:val="auto"/>
                <w:highlight w:val="none"/>
              </w:rPr>
              <w:t>中标候选人排序方法</w:t>
            </w:r>
          </w:p>
        </w:tc>
        <w:tc>
          <w:tcPr>
            <w:tcW w:w="6362" w:type="dxa"/>
            <w:tcBorders>
              <w:top w:val="single" w:color="auto" w:sz="4" w:space="0"/>
              <w:left w:val="single" w:color="auto" w:sz="4" w:space="0"/>
              <w:bottom w:val="single" w:color="auto" w:sz="4" w:space="0"/>
              <w:right w:val="single" w:color="auto" w:sz="4" w:space="0"/>
            </w:tcBorders>
            <w:vAlign w:val="center"/>
          </w:tcPr>
          <w:p w14:paraId="0B7CE280">
            <w:pPr>
              <w:spacing w:line="360" w:lineRule="auto"/>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）本次评标采用综合评估法。评标委员会对满足招标文件实质性要求的投标文件，按照本章节第</w:t>
            </w:r>
            <w:r>
              <w:rPr>
                <w:rFonts w:ascii="宋体" w:hAnsi="宋体"/>
                <w:color w:val="auto"/>
                <w:highlight w:val="none"/>
              </w:rPr>
              <w:t>2.2</w:t>
            </w:r>
            <w:r>
              <w:rPr>
                <w:rFonts w:hint="eastAsia" w:ascii="宋体" w:hAnsi="宋体"/>
                <w:color w:val="auto"/>
                <w:highlight w:val="none"/>
              </w:rPr>
              <w:t>款规定的评分标准进行打分，并按得分由高到低顺序推荐中标候选人。</w:t>
            </w:r>
            <w:r>
              <w:rPr>
                <w:rFonts w:hint="eastAsia" w:cs="宋体"/>
                <w:color w:val="auto"/>
                <w:sz w:val="22"/>
                <w:szCs w:val="22"/>
                <w:highlight w:val="none"/>
                <w:lang w:val="zh-CN"/>
              </w:rPr>
              <w:t>如果有两个或以上的投标人的综合得分相同，则在综合得分相同的投标人中按投标报价由低到高顺序排出次序。如果出现投标人的综合得分及投标报价均相同时，则按商务部分得分高低排序，商务部分得分高的排在前，商务部分得分低在排在后，若综合得分、投标报价、商务部分得分均相同，则用抽签的方式确定投标人的排名次序。如果推荐的第一中标候选人放弃中标资格，或因不可抗力无法签订合同，则招标人可按推荐的中标候选人排名顺序依次确定中标人，亦可决定组织重新招标</w:t>
            </w:r>
            <w:r>
              <w:rPr>
                <w:rFonts w:hint="eastAsia" w:ascii="宋体" w:hAnsi="宋体"/>
                <w:color w:val="auto"/>
                <w:highlight w:val="none"/>
              </w:rPr>
              <w:t>。</w:t>
            </w:r>
          </w:p>
          <w:p w14:paraId="0C835294">
            <w:pPr>
              <w:tabs>
                <w:tab w:val="left" w:pos="720"/>
              </w:tabs>
              <w:spacing w:line="360" w:lineRule="auto"/>
              <w:rPr>
                <w:rFonts w:hint="eastAsia" w:ascii="宋体" w:hAnsi="宋体" w:cs="Tahoma"/>
                <w:color w:val="auto"/>
                <w:szCs w:val="21"/>
                <w:highlight w:val="none"/>
              </w:rPr>
            </w:pPr>
            <w:r>
              <w:rPr>
                <w:rFonts w:hint="eastAsia" w:ascii="宋体" w:hAnsi="宋体"/>
                <w:color w:val="auto"/>
                <w:highlight w:val="none"/>
              </w:rPr>
              <w:t>（2）满足资格审查合格条件或通过初步评审的投标申请人不足</w:t>
            </w:r>
            <w:r>
              <w:rPr>
                <w:rFonts w:ascii="宋体" w:hAnsi="宋体"/>
                <w:color w:val="auto"/>
                <w:highlight w:val="none"/>
              </w:rPr>
              <w:t>3</w:t>
            </w:r>
            <w:r>
              <w:rPr>
                <w:rFonts w:hint="eastAsia" w:ascii="宋体" w:hAnsi="宋体"/>
                <w:color w:val="auto"/>
                <w:highlight w:val="none"/>
              </w:rPr>
              <w:t>名时为招标失败。招标人分析招标失败原因，修正招标方案，报有关管理部门核准后，重新组织招标。</w:t>
            </w:r>
          </w:p>
        </w:tc>
      </w:tr>
    </w:tbl>
    <w:p w14:paraId="4D007863">
      <w:pPr>
        <w:rPr>
          <w:rFonts w:hint="eastAsia" w:ascii="宋体" w:hAnsi="宋体"/>
          <w:color w:val="auto"/>
          <w:highlight w:val="none"/>
        </w:rPr>
      </w:pPr>
      <w:bookmarkStart w:id="585" w:name="_Toc529891899"/>
    </w:p>
    <w:p w14:paraId="44501411">
      <w:pPr>
        <w:rPr>
          <w:rFonts w:hint="eastAsia" w:ascii="宋体" w:hAnsi="宋体"/>
          <w:color w:val="auto"/>
          <w:highlight w:val="none"/>
        </w:rPr>
      </w:pPr>
    </w:p>
    <w:p w14:paraId="36AD463E">
      <w:pPr>
        <w:rPr>
          <w:rFonts w:hint="eastAsia" w:ascii="宋体" w:hAnsi="宋体"/>
          <w:color w:val="auto"/>
          <w:highlight w:val="none"/>
        </w:rPr>
      </w:pPr>
    </w:p>
    <w:p w14:paraId="5346A38E">
      <w:pPr>
        <w:rPr>
          <w:rFonts w:hint="eastAsia" w:ascii="宋体" w:hAnsi="宋体"/>
          <w:color w:val="auto"/>
          <w:highlight w:val="none"/>
        </w:rPr>
      </w:pPr>
    </w:p>
    <w:p w14:paraId="2EA00BB7">
      <w:pPr>
        <w:rPr>
          <w:rFonts w:hint="eastAsia" w:ascii="宋体" w:hAnsi="宋体"/>
          <w:color w:val="auto"/>
          <w:highlight w:val="none"/>
        </w:rPr>
      </w:pPr>
    </w:p>
    <w:p w14:paraId="142C9DFF">
      <w:pPr>
        <w:rPr>
          <w:rFonts w:hint="eastAsia" w:ascii="宋体" w:hAnsi="宋体"/>
          <w:color w:val="auto"/>
          <w:highlight w:val="none"/>
        </w:rPr>
      </w:pPr>
    </w:p>
    <w:p w14:paraId="0A7BC48B">
      <w:pPr>
        <w:rPr>
          <w:rFonts w:hint="eastAsia" w:ascii="宋体" w:hAnsi="宋体"/>
          <w:color w:val="auto"/>
          <w:highlight w:val="none"/>
        </w:rPr>
      </w:pPr>
    </w:p>
    <w:p w14:paraId="725AFE30">
      <w:pPr>
        <w:rPr>
          <w:rFonts w:hint="eastAsia" w:ascii="宋体" w:hAnsi="宋体"/>
          <w:color w:val="auto"/>
          <w:highlight w:val="none"/>
        </w:rPr>
      </w:pPr>
    </w:p>
    <w:p w14:paraId="44F03AAE">
      <w:pPr>
        <w:rPr>
          <w:rFonts w:hint="eastAsia" w:ascii="宋体" w:hAnsi="宋体"/>
          <w:color w:val="auto"/>
          <w:highlight w:val="none"/>
        </w:rPr>
      </w:pPr>
    </w:p>
    <w:p w14:paraId="653BC3F0">
      <w:pPr>
        <w:rPr>
          <w:rFonts w:hint="eastAsia" w:ascii="宋体" w:hAnsi="宋体"/>
          <w:color w:val="auto"/>
          <w:highlight w:val="none"/>
        </w:rPr>
      </w:pPr>
    </w:p>
    <w:p w14:paraId="6CB90C78">
      <w:pPr>
        <w:keepNext/>
        <w:keepLines/>
        <w:spacing w:line="360" w:lineRule="auto"/>
        <w:jc w:val="center"/>
        <w:outlineLvl w:val="2"/>
        <w:rPr>
          <w:rFonts w:hint="eastAsia" w:ascii="宋体" w:hAnsi="宋体"/>
          <w:b/>
          <w:bCs/>
          <w:color w:val="auto"/>
          <w:kern w:val="0"/>
          <w:sz w:val="24"/>
          <w:szCs w:val="32"/>
          <w:highlight w:val="none"/>
        </w:rPr>
        <w:sectPr>
          <w:pgSz w:w="11906" w:h="16838"/>
          <w:pgMar w:top="1304" w:right="1418" w:bottom="1304" w:left="1418" w:header="851" w:footer="765" w:gutter="0"/>
          <w:cols w:space="720" w:num="1"/>
          <w:docGrid w:linePitch="312" w:charSpace="0"/>
        </w:sectPr>
      </w:pPr>
    </w:p>
    <w:p w14:paraId="299A390C">
      <w:pPr>
        <w:jc w:val="center"/>
        <w:rPr>
          <w:rFonts w:hint="eastAsia" w:ascii="宋体" w:hAnsi="宋体"/>
          <w:b/>
          <w:bCs/>
          <w:color w:val="auto"/>
          <w:kern w:val="0"/>
          <w:sz w:val="24"/>
          <w:szCs w:val="32"/>
          <w:highlight w:val="none"/>
        </w:rPr>
      </w:pPr>
      <w:r>
        <w:rPr>
          <w:rFonts w:hint="eastAsia" w:ascii="宋体" w:hAnsi="宋体"/>
          <w:b/>
          <w:bCs/>
          <w:color w:val="auto"/>
          <w:kern w:val="0"/>
          <w:sz w:val="24"/>
          <w:szCs w:val="32"/>
          <w:highlight w:val="none"/>
        </w:rPr>
        <w:t>初步评审</w:t>
      </w:r>
      <w:bookmarkEnd w:id="585"/>
    </w:p>
    <w:tbl>
      <w:tblPr>
        <w:tblStyle w:val="21"/>
        <w:tblW w:w="94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96"/>
        <w:gridCol w:w="1593"/>
        <w:gridCol w:w="5965"/>
      </w:tblGrid>
      <w:tr w14:paraId="22E52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1843" w:type="dxa"/>
            <w:gridSpan w:val="2"/>
            <w:tcBorders>
              <w:top w:val="single" w:color="auto" w:sz="4" w:space="0"/>
              <w:left w:val="single" w:color="auto" w:sz="4" w:space="0"/>
              <w:bottom w:val="single" w:color="auto" w:sz="4" w:space="0"/>
              <w:right w:val="single" w:color="auto" w:sz="4" w:space="0"/>
            </w:tcBorders>
            <w:vAlign w:val="center"/>
          </w:tcPr>
          <w:p w14:paraId="28F3F5F2">
            <w:pPr>
              <w:spacing w:line="360" w:lineRule="auto"/>
              <w:jc w:val="center"/>
              <w:rPr>
                <w:rFonts w:hint="eastAsia" w:ascii="宋体" w:hAnsi="宋体"/>
                <w:b/>
                <w:color w:val="auto"/>
                <w:highlight w:val="none"/>
              </w:rPr>
            </w:pPr>
            <w:r>
              <w:rPr>
                <w:rFonts w:hint="eastAsia" w:ascii="宋体" w:hAnsi="宋体"/>
                <w:b/>
                <w:color w:val="auto"/>
                <w:highlight w:val="none"/>
              </w:rPr>
              <w:t>条款号</w:t>
            </w:r>
          </w:p>
        </w:tc>
        <w:tc>
          <w:tcPr>
            <w:tcW w:w="1593" w:type="dxa"/>
            <w:tcBorders>
              <w:top w:val="single" w:color="auto" w:sz="4" w:space="0"/>
              <w:left w:val="single" w:color="auto" w:sz="4" w:space="0"/>
              <w:bottom w:val="single" w:color="auto" w:sz="4" w:space="0"/>
              <w:right w:val="single" w:color="auto" w:sz="4" w:space="0"/>
            </w:tcBorders>
            <w:vAlign w:val="center"/>
          </w:tcPr>
          <w:p w14:paraId="0067F39A">
            <w:pPr>
              <w:spacing w:line="360" w:lineRule="auto"/>
              <w:jc w:val="center"/>
              <w:rPr>
                <w:rFonts w:hint="eastAsia" w:ascii="宋体" w:hAnsi="宋体"/>
                <w:b/>
                <w:color w:val="auto"/>
                <w:highlight w:val="none"/>
              </w:rPr>
            </w:pPr>
            <w:r>
              <w:rPr>
                <w:rFonts w:hint="eastAsia" w:ascii="宋体" w:hAnsi="宋体"/>
                <w:b/>
                <w:color w:val="auto"/>
                <w:highlight w:val="none"/>
              </w:rPr>
              <w:t>评审因素</w:t>
            </w:r>
          </w:p>
        </w:tc>
        <w:tc>
          <w:tcPr>
            <w:tcW w:w="5965" w:type="dxa"/>
            <w:tcBorders>
              <w:top w:val="single" w:color="auto" w:sz="4" w:space="0"/>
              <w:left w:val="single" w:color="auto" w:sz="4" w:space="0"/>
              <w:bottom w:val="single" w:color="auto" w:sz="4" w:space="0"/>
              <w:right w:val="single" w:color="auto" w:sz="4" w:space="0"/>
            </w:tcBorders>
            <w:vAlign w:val="center"/>
          </w:tcPr>
          <w:p w14:paraId="7980EF10">
            <w:pPr>
              <w:spacing w:line="360" w:lineRule="auto"/>
              <w:jc w:val="center"/>
              <w:rPr>
                <w:rFonts w:hint="eastAsia" w:ascii="宋体" w:hAnsi="宋体"/>
                <w:b/>
                <w:color w:val="auto"/>
                <w:highlight w:val="none"/>
              </w:rPr>
            </w:pPr>
            <w:r>
              <w:rPr>
                <w:rFonts w:hint="eastAsia" w:ascii="宋体" w:hAnsi="宋体"/>
                <w:b/>
                <w:color w:val="auto"/>
                <w:highlight w:val="none"/>
              </w:rPr>
              <w:t>评审标准</w:t>
            </w:r>
          </w:p>
        </w:tc>
      </w:tr>
      <w:tr w14:paraId="77C24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747" w:type="dxa"/>
            <w:vMerge w:val="restart"/>
            <w:tcBorders>
              <w:top w:val="single" w:color="auto" w:sz="4" w:space="0"/>
              <w:left w:val="single" w:color="auto" w:sz="4" w:space="0"/>
              <w:bottom w:val="single" w:color="auto" w:sz="4" w:space="0"/>
              <w:right w:val="single" w:color="auto" w:sz="4" w:space="0"/>
            </w:tcBorders>
            <w:vAlign w:val="center"/>
          </w:tcPr>
          <w:p w14:paraId="3160702B">
            <w:pPr>
              <w:spacing w:line="360" w:lineRule="auto"/>
              <w:jc w:val="center"/>
              <w:rPr>
                <w:rFonts w:hint="eastAsia" w:ascii="宋体" w:hAnsi="宋体"/>
                <w:color w:val="auto"/>
                <w:highlight w:val="none"/>
              </w:rPr>
            </w:pPr>
            <w:r>
              <w:rPr>
                <w:rFonts w:ascii="宋体" w:hAnsi="宋体"/>
                <w:color w:val="auto"/>
                <w:highlight w:val="none"/>
              </w:rPr>
              <w:t>2.1.1</w:t>
            </w:r>
          </w:p>
        </w:tc>
        <w:tc>
          <w:tcPr>
            <w:tcW w:w="1096" w:type="dxa"/>
            <w:vMerge w:val="restart"/>
            <w:tcBorders>
              <w:top w:val="single" w:color="auto" w:sz="4" w:space="0"/>
              <w:left w:val="nil"/>
              <w:right w:val="single" w:color="auto" w:sz="4" w:space="0"/>
            </w:tcBorders>
            <w:vAlign w:val="center"/>
          </w:tcPr>
          <w:p w14:paraId="09C2C2C6">
            <w:pPr>
              <w:spacing w:line="360" w:lineRule="auto"/>
              <w:jc w:val="center"/>
              <w:rPr>
                <w:rFonts w:hint="eastAsia" w:ascii="宋体" w:hAnsi="宋体"/>
                <w:color w:val="auto"/>
                <w:highlight w:val="none"/>
              </w:rPr>
            </w:pPr>
            <w:r>
              <w:rPr>
                <w:rFonts w:hint="eastAsia" w:ascii="宋体" w:hAnsi="宋体"/>
                <w:color w:val="auto"/>
                <w:highlight w:val="none"/>
              </w:rPr>
              <w:t>形式评审标准</w:t>
            </w:r>
          </w:p>
        </w:tc>
        <w:tc>
          <w:tcPr>
            <w:tcW w:w="1593" w:type="dxa"/>
            <w:tcBorders>
              <w:top w:val="single" w:color="auto" w:sz="4" w:space="0"/>
              <w:left w:val="single" w:color="auto" w:sz="4" w:space="0"/>
              <w:bottom w:val="single" w:color="auto" w:sz="4" w:space="0"/>
              <w:right w:val="single" w:color="auto" w:sz="4" w:space="0"/>
            </w:tcBorders>
            <w:vAlign w:val="center"/>
          </w:tcPr>
          <w:p w14:paraId="632BD49A">
            <w:pPr>
              <w:spacing w:line="360" w:lineRule="auto"/>
              <w:jc w:val="center"/>
              <w:rPr>
                <w:rFonts w:hint="eastAsia" w:ascii="宋体" w:hAnsi="宋体"/>
                <w:color w:val="auto"/>
                <w:highlight w:val="none"/>
              </w:rPr>
            </w:pPr>
            <w:r>
              <w:rPr>
                <w:rFonts w:hint="eastAsia" w:ascii="宋体" w:hAnsi="宋体"/>
                <w:color w:val="auto"/>
                <w:highlight w:val="none"/>
              </w:rPr>
              <w:t>投标人名称</w:t>
            </w:r>
          </w:p>
        </w:tc>
        <w:tc>
          <w:tcPr>
            <w:tcW w:w="5965" w:type="dxa"/>
            <w:tcBorders>
              <w:top w:val="single" w:color="auto" w:sz="4" w:space="0"/>
              <w:left w:val="single" w:color="auto" w:sz="4" w:space="0"/>
              <w:bottom w:val="single" w:color="auto" w:sz="4" w:space="0"/>
              <w:right w:val="single" w:color="auto" w:sz="4" w:space="0"/>
            </w:tcBorders>
            <w:vAlign w:val="center"/>
          </w:tcPr>
          <w:p w14:paraId="0ECAB22E">
            <w:pPr>
              <w:spacing w:line="360" w:lineRule="auto"/>
              <w:rPr>
                <w:rFonts w:hint="eastAsia" w:ascii="宋体" w:hAnsi="宋体"/>
                <w:color w:val="auto"/>
                <w:highlight w:val="none"/>
              </w:rPr>
            </w:pPr>
            <w:r>
              <w:rPr>
                <w:rFonts w:hint="eastAsia" w:ascii="宋体" w:hAnsi="宋体"/>
                <w:color w:val="auto"/>
                <w:highlight w:val="none"/>
              </w:rPr>
              <w:t>与营业执照一致</w:t>
            </w:r>
          </w:p>
        </w:tc>
      </w:tr>
      <w:tr w14:paraId="45E90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747" w:type="dxa"/>
            <w:vMerge w:val="continue"/>
            <w:tcBorders>
              <w:top w:val="single" w:color="auto" w:sz="4" w:space="0"/>
              <w:left w:val="single" w:color="auto" w:sz="4" w:space="0"/>
              <w:bottom w:val="single" w:color="auto" w:sz="4" w:space="0"/>
              <w:right w:val="single" w:color="auto" w:sz="4" w:space="0"/>
            </w:tcBorders>
            <w:vAlign w:val="center"/>
          </w:tcPr>
          <w:p w14:paraId="637AB7F4">
            <w:pPr>
              <w:widowControl/>
              <w:spacing w:line="360" w:lineRule="auto"/>
              <w:jc w:val="left"/>
              <w:rPr>
                <w:rFonts w:hint="eastAsia" w:ascii="宋体" w:hAnsi="宋体"/>
                <w:color w:val="auto"/>
                <w:highlight w:val="none"/>
              </w:rPr>
            </w:pPr>
          </w:p>
        </w:tc>
        <w:tc>
          <w:tcPr>
            <w:tcW w:w="1096" w:type="dxa"/>
            <w:vMerge w:val="continue"/>
            <w:tcBorders>
              <w:left w:val="nil"/>
              <w:right w:val="single" w:color="auto" w:sz="4" w:space="0"/>
            </w:tcBorders>
            <w:vAlign w:val="center"/>
          </w:tcPr>
          <w:p w14:paraId="02BB25F5">
            <w:pPr>
              <w:widowControl/>
              <w:spacing w:line="360" w:lineRule="auto"/>
              <w:jc w:val="left"/>
              <w:rPr>
                <w:rFonts w:hint="eastAsia" w:ascii="宋体" w:hAnsi="宋体"/>
                <w:color w:val="auto"/>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14:paraId="24B72FCB">
            <w:pPr>
              <w:spacing w:line="360" w:lineRule="auto"/>
              <w:jc w:val="center"/>
              <w:rPr>
                <w:rFonts w:hint="eastAsia" w:ascii="宋体" w:hAnsi="宋体"/>
                <w:color w:val="auto"/>
                <w:highlight w:val="none"/>
              </w:rPr>
            </w:pPr>
            <w:r>
              <w:rPr>
                <w:rFonts w:hint="eastAsia" w:ascii="宋体" w:hAnsi="宋体"/>
                <w:color w:val="auto"/>
                <w:highlight w:val="none"/>
              </w:rPr>
              <w:t>投标函签字盖章</w:t>
            </w:r>
          </w:p>
        </w:tc>
        <w:tc>
          <w:tcPr>
            <w:tcW w:w="5965" w:type="dxa"/>
            <w:tcBorders>
              <w:top w:val="single" w:color="auto" w:sz="4" w:space="0"/>
              <w:left w:val="single" w:color="auto" w:sz="4" w:space="0"/>
              <w:bottom w:val="single" w:color="auto" w:sz="4" w:space="0"/>
              <w:right w:val="single" w:color="auto" w:sz="4" w:space="0"/>
            </w:tcBorders>
            <w:vAlign w:val="center"/>
          </w:tcPr>
          <w:p w14:paraId="3335E217">
            <w:pPr>
              <w:spacing w:line="360" w:lineRule="auto"/>
              <w:rPr>
                <w:rFonts w:hint="eastAsia" w:ascii="宋体" w:hAnsi="宋体"/>
                <w:color w:val="auto"/>
                <w:highlight w:val="none"/>
              </w:rPr>
            </w:pPr>
            <w:r>
              <w:rPr>
                <w:rFonts w:hint="eastAsia" w:ascii="宋体" w:hAnsi="宋体"/>
                <w:color w:val="auto"/>
                <w:highlight w:val="none"/>
              </w:rPr>
              <w:t>符合第六章</w:t>
            </w:r>
            <w:r>
              <w:rPr>
                <w:rFonts w:ascii="宋体" w:hAnsi="宋体"/>
                <w:color w:val="auto"/>
                <w:highlight w:val="none"/>
              </w:rPr>
              <w:t>“</w:t>
            </w:r>
            <w:r>
              <w:rPr>
                <w:rFonts w:hint="eastAsia" w:ascii="宋体" w:hAnsi="宋体"/>
                <w:color w:val="auto"/>
                <w:highlight w:val="none"/>
              </w:rPr>
              <w:t>投标文件格式</w:t>
            </w:r>
            <w:r>
              <w:rPr>
                <w:rFonts w:ascii="宋体" w:hAnsi="宋体"/>
                <w:color w:val="auto"/>
                <w:highlight w:val="none"/>
              </w:rPr>
              <w:t>”</w:t>
            </w:r>
            <w:r>
              <w:rPr>
                <w:rFonts w:hint="eastAsia" w:ascii="宋体" w:hAnsi="宋体"/>
                <w:color w:val="auto"/>
                <w:highlight w:val="none"/>
              </w:rPr>
              <w:t>的规定，有法定代表人或其委托代理人签字/签章、加盖单位公章，应附法定代表人证明书，若法定代表人委托代理人参与投标相关事项则须同时提供法定代表人授权书。</w:t>
            </w:r>
          </w:p>
        </w:tc>
      </w:tr>
      <w:tr w14:paraId="08E3B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747" w:type="dxa"/>
            <w:vMerge w:val="continue"/>
            <w:tcBorders>
              <w:top w:val="single" w:color="auto" w:sz="4" w:space="0"/>
              <w:left w:val="single" w:color="auto" w:sz="4" w:space="0"/>
              <w:bottom w:val="single" w:color="auto" w:sz="4" w:space="0"/>
              <w:right w:val="single" w:color="auto" w:sz="4" w:space="0"/>
            </w:tcBorders>
            <w:vAlign w:val="center"/>
          </w:tcPr>
          <w:p w14:paraId="6469782B">
            <w:pPr>
              <w:widowControl/>
              <w:spacing w:line="360" w:lineRule="auto"/>
              <w:jc w:val="left"/>
              <w:rPr>
                <w:rFonts w:hint="eastAsia" w:ascii="宋体" w:hAnsi="宋体"/>
                <w:color w:val="auto"/>
                <w:highlight w:val="none"/>
              </w:rPr>
            </w:pPr>
          </w:p>
        </w:tc>
        <w:tc>
          <w:tcPr>
            <w:tcW w:w="1096" w:type="dxa"/>
            <w:vMerge w:val="continue"/>
            <w:tcBorders>
              <w:left w:val="nil"/>
              <w:right w:val="single" w:color="auto" w:sz="4" w:space="0"/>
            </w:tcBorders>
            <w:vAlign w:val="center"/>
          </w:tcPr>
          <w:p w14:paraId="79D1DE20">
            <w:pPr>
              <w:widowControl/>
              <w:spacing w:line="360" w:lineRule="auto"/>
              <w:jc w:val="left"/>
              <w:rPr>
                <w:rFonts w:hint="eastAsia" w:ascii="宋体" w:hAnsi="宋体"/>
                <w:color w:val="auto"/>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14:paraId="6DB7808B">
            <w:pPr>
              <w:spacing w:line="360" w:lineRule="auto"/>
              <w:jc w:val="center"/>
              <w:rPr>
                <w:rFonts w:hint="eastAsia" w:ascii="宋体" w:hAnsi="宋体"/>
                <w:color w:val="auto"/>
                <w:highlight w:val="none"/>
              </w:rPr>
            </w:pPr>
            <w:r>
              <w:rPr>
                <w:rFonts w:hint="eastAsia" w:ascii="宋体" w:hAnsi="宋体"/>
                <w:color w:val="auto"/>
                <w:highlight w:val="none"/>
              </w:rPr>
              <w:t>投标文件格式</w:t>
            </w:r>
          </w:p>
        </w:tc>
        <w:tc>
          <w:tcPr>
            <w:tcW w:w="5965" w:type="dxa"/>
            <w:tcBorders>
              <w:top w:val="single" w:color="auto" w:sz="4" w:space="0"/>
              <w:left w:val="single" w:color="auto" w:sz="4" w:space="0"/>
              <w:bottom w:val="single" w:color="auto" w:sz="4" w:space="0"/>
              <w:right w:val="single" w:color="auto" w:sz="4" w:space="0"/>
            </w:tcBorders>
            <w:vAlign w:val="center"/>
          </w:tcPr>
          <w:p w14:paraId="586D9B8C">
            <w:pPr>
              <w:spacing w:line="360" w:lineRule="auto"/>
              <w:rPr>
                <w:rFonts w:hint="eastAsia" w:ascii="宋体" w:hAnsi="宋体"/>
                <w:color w:val="auto"/>
                <w:highlight w:val="none"/>
              </w:rPr>
            </w:pPr>
            <w:r>
              <w:rPr>
                <w:rFonts w:hint="eastAsia" w:ascii="宋体" w:hAnsi="宋体"/>
                <w:color w:val="auto"/>
                <w:highlight w:val="none"/>
              </w:rPr>
              <w:t>符合第六章</w:t>
            </w:r>
            <w:r>
              <w:rPr>
                <w:rFonts w:ascii="宋体" w:hAnsi="宋体"/>
                <w:color w:val="auto"/>
                <w:highlight w:val="none"/>
              </w:rPr>
              <w:t>“</w:t>
            </w:r>
            <w:r>
              <w:rPr>
                <w:rFonts w:hint="eastAsia" w:ascii="宋体" w:hAnsi="宋体"/>
                <w:color w:val="auto"/>
                <w:highlight w:val="none"/>
              </w:rPr>
              <w:t>投标文件格式</w:t>
            </w:r>
            <w:r>
              <w:rPr>
                <w:rFonts w:ascii="宋体" w:hAnsi="宋体"/>
                <w:color w:val="auto"/>
                <w:highlight w:val="none"/>
              </w:rPr>
              <w:t>”</w:t>
            </w:r>
            <w:r>
              <w:rPr>
                <w:rFonts w:hint="eastAsia" w:ascii="宋体" w:hAnsi="宋体"/>
                <w:color w:val="auto"/>
                <w:highlight w:val="none"/>
              </w:rPr>
              <w:t>的规定</w:t>
            </w:r>
          </w:p>
        </w:tc>
      </w:tr>
      <w:tr w14:paraId="7D046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747" w:type="dxa"/>
            <w:vMerge w:val="continue"/>
            <w:tcBorders>
              <w:top w:val="single" w:color="auto" w:sz="4" w:space="0"/>
              <w:left w:val="single" w:color="auto" w:sz="4" w:space="0"/>
              <w:bottom w:val="single" w:color="auto" w:sz="4" w:space="0"/>
              <w:right w:val="single" w:color="auto" w:sz="4" w:space="0"/>
            </w:tcBorders>
            <w:vAlign w:val="center"/>
          </w:tcPr>
          <w:p w14:paraId="6306397C">
            <w:pPr>
              <w:widowControl/>
              <w:spacing w:line="360" w:lineRule="auto"/>
              <w:jc w:val="left"/>
              <w:rPr>
                <w:rFonts w:hint="eastAsia" w:ascii="宋体" w:hAnsi="宋体"/>
                <w:color w:val="auto"/>
                <w:highlight w:val="none"/>
              </w:rPr>
            </w:pPr>
          </w:p>
        </w:tc>
        <w:tc>
          <w:tcPr>
            <w:tcW w:w="1096" w:type="dxa"/>
            <w:vMerge w:val="continue"/>
            <w:tcBorders>
              <w:left w:val="nil"/>
              <w:right w:val="single" w:color="auto" w:sz="4" w:space="0"/>
            </w:tcBorders>
            <w:vAlign w:val="center"/>
          </w:tcPr>
          <w:p w14:paraId="26792D49">
            <w:pPr>
              <w:widowControl/>
              <w:spacing w:line="360" w:lineRule="auto"/>
              <w:jc w:val="left"/>
              <w:rPr>
                <w:rFonts w:hint="eastAsia" w:ascii="宋体" w:hAnsi="宋体"/>
                <w:color w:val="auto"/>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14:paraId="2FD1D1A2">
            <w:pPr>
              <w:spacing w:line="360" w:lineRule="auto"/>
              <w:jc w:val="center"/>
              <w:rPr>
                <w:rFonts w:hint="eastAsia" w:ascii="宋体" w:hAnsi="宋体"/>
                <w:color w:val="auto"/>
                <w:highlight w:val="none"/>
              </w:rPr>
            </w:pPr>
            <w:r>
              <w:rPr>
                <w:rFonts w:hint="eastAsia" w:ascii="宋体" w:hAnsi="宋体"/>
                <w:color w:val="auto"/>
                <w:highlight w:val="none"/>
              </w:rPr>
              <w:t>联合体投标人</w:t>
            </w:r>
          </w:p>
        </w:tc>
        <w:tc>
          <w:tcPr>
            <w:tcW w:w="5965" w:type="dxa"/>
            <w:tcBorders>
              <w:top w:val="single" w:color="auto" w:sz="4" w:space="0"/>
              <w:left w:val="single" w:color="auto" w:sz="4" w:space="0"/>
              <w:bottom w:val="single" w:color="auto" w:sz="4" w:space="0"/>
              <w:right w:val="single" w:color="auto" w:sz="4" w:space="0"/>
            </w:tcBorders>
            <w:vAlign w:val="center"/>
          </w:tcPr>
          <w:p w14:paraId="753B5045">
            <w:pPr>
              <w:spacing w:line="360" w:lineRule="auto"/>
              <w:rPr>
                <w:rFonts w:hint="default" w:ascii="宋体" w:hAnsi="宋体" w:eastAsia="宋体"/>
                <w:color w:val="auto"/>
                <w:highlight w:val="none"/>
                <w:lang w:val="en-US" w:eastAsia="zh-CN"/>
              </w:rPr>
            </w:pPr>
            <w:r>
              <w:rPr>
                <w:rFonts w:hint="eastAsia" w:ascii="宋体" w:hAnsi="宋体"/>
                <w:color w:val="auto"/>
                <w:highlight w:val="none"/>
              </w:rPr>
              <w:t>允许联合体投标。</w:t>
            </w:r>
            <w:r>
              <w:rPr>
                <w:rFonts w:hint="eastAsia" w:ascii="宋体" w:hAnsi="宋体"/>
                <w:color w:val="auto"/>
                <w:highlight w:val="none"/>
                <w:lang w:val="en-US" w:eastAsia="zh-CN"/>
              </w:rPr>
              <w:t>按招标文件格式提交《联合体协议书》、《联合体成员的授权函》。</w:t>
            </w:r>
          </w:p>
        </w:tc>
      </w:tr>
      <w:tr w14:paraId="64799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747" w:type="dxa"/>
            <w:vMerge w:val="continue"/>
            <w:tcBorders>
              <w:top w:val="single" w:color="auto" w:sz="4" w:space="0"/>
              <w:left w:val="single" w:color="auto" w:sz="4" w:space="0"/>
              <w:bottom w:val="single" w:color="auto" w:sz="4" w:space="0"/>
              <w:right w:val="single" w:color="auto" w:sz="4" w:space="0"/>
            </w:tcBorders>
            <w:vAlign w:val="center"/>
          </w:tcPr>
          <w:p w14:paraId="14E41145">
            <w:pPr>
              <w:widowControl/>
              <w:spacing w:line="360" w:lineRule="auto"/>
              <w:jc w:val="left"/>
              <w:rPr>
                <w:rFonts w:hint="eastAsia" w:ascii="宋体" w:hAnsi="宋体"/>
                <w:color w:val="auto"/>
                <w:highlight w:val="none"/>
              </w:rPr>
            </w:pPr>
          </w:p>
        </w:tc>
        <w:tc>
          <w:tcPr>
            <w:tcW w:w="1096" w:type="dxa"/>
            <w:vMerge w:val="continue"/>
            <w:tcBorders>
              <w:left w:val="nil"/>
              <w:right w:val="single" w:color="auto" w:sz="4" w:space="0"/>
            </w:tcBorders>
            <w:vAlign w:val="center"/>
          </w:tcPr>
          <w:p w14:paraId="1CC5A94A">
            <w:pPr>
              <w:widowControl/>
              <w:spacing w:line="360" w:lineRule="auto"/>
              <w:jc w:val="left"/>
              <w:rPr>
                <w:rFonts w:hint="eastAsia" w:ascii="宋体" w:hAnsi="宋体"/>
                <w:color w:val="auto"/>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14:paraId="0C14BD4C">
            <w:pPr>
              <w:spacing w:line="360" w:lineRule="auto"/>
              <w:jc w:val="center"/>
              <w:rPr>
                <w:rFonts w:hint="eastAsia" w:ascii="宋体" w:hAnsi="宋体"/>
                <w:color w:val="auto"/>
                <w:highlight w:val="none"/>
              </w:rPr>
            </w:pPr>
            <w:r>
              <w:rPr>
                <w:rFonts w:hint="eastAsia" w:ascii="宋体" w:hAnsi="宋体"/>
                <w:color w:val="auto"/>
                <w:highlight w:val="none"/>
              </w:rPr>
              <w:t>备选投标方案</w:t>
            </w:r>
          </w:p>
        </w:tc>
        <w:tc>
          <w:tcPr>
            <w:tcW w:w="5965" w:type="dxa"/>
            <w:tcBorders>
              <w:top w:val="single" w:color="auto" w:sz="4" w:space="0"/>
              <w:left w:val="single" w:color="auto" w:sz="4" w:space="0"/>
              <w:bottom w:val="single" w:color="auto" w:sz="4" w:space="0"/>
              <w:right w:val="single" w:color="auto" w:sz="4" w:space="0"/>
            </w:tcBorders>
            <w:vAlign w:val="center"/>
          </w:tcPr>
          <w:p w14:paraId="7E3F73B8">
            <w:pPr>
              <w:spacing w:line="360" w:lineRule="auto"/>
              <w:rPr>
                <w:rFonts w:hint="eastAsia" w:ascii="宋体" w:hAnsi="宋体"/>
                <w:color w:val="auto"/>
                <w:highlight w:val="none"/>
              </w:rPr>
            </w:pPr>
            <w:r>
              <w:rPr>
                <w:rFonts w:hint="eastAsia" w:ascii="宋体" w:hAnsi="宋体"/>
                <w:color w:val="auto"/>
                <w:highlight w:val="none"/>
              </w:rPr>
              <w:t>除招标文件明确允许提交备选投标方案外，投标人不得提交备选投标方案</w:t>
            </w:r>
          </w:p>
        </w:tc>
      </w:tr>
      <w:tr w14:paraId="5B2CF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8" w:hRule="atLeast"/>
          <w:jc w:val="center"/>
        </w:trPr>
        <w:tc>
          <w:tcPr>
            <w:tcW w:w="747" w:type="dxa"/>
            <w:vMerge w:val="continue"/>
            <w:tcBorders>
              <w:top w:val="single" w:color="auto" w:sz="4" w:space="0"/>
              <w:left w:val="single" w:color="auto" w:sz="4" w:space="0"/>
              <w:bottom w:val="single" w:color="auto" w:sz="4" w:space="0"/>
              <w:right w:val="single" w:color="auto" w:sz="4" w:space="0"/>
            </w:tcBorders>
            <w:vAlign w:val="center"/>
          </w:tcPr>
          <w:p w14:paraId="7C58CA73">
            <w:pPr>
              <w:widowControl/>
              <w:spacing w:line="360" w:lineRule="auto"/>
              <w:jc w:val="left"/>
              <w:rPr>
                <w:rFonts w:hint="eastAsia" w:ascii="宋体" w:hAnsi="宋体"/>
                <w:color w:val="auto"/>
                <w:highlight w:val="none"/>
              </w:rPr>
            </w:pPr>
          </w:p>
        </w:tc>
        <w:tc>
          <w:tcPr>
            <w:tcW w:w="1096" w:type="dxa"/>
            <w:vMerge w:val="continue"/>
            <w:tcBorders>
              <w:left w:val="single" w:color="auto" w:sz="4" w:space="0"/>
              <w:right w:val="single" w:color="auto" w:sz="4" w:space="0"/>
            </w:tcBorders>
            <w:vAlign w:val="center"/>
          </w:tcPr>
          <w:p w14:paraId="4F0F6B58">
            <w:pPr>
              <w:spacing w:line="360" w:lineRule="auto"/>
              <w:rPr>
                <w:rFonts w:hint="eastAsia" w:ascii="宋体" w:hAnsi="宋体"/>
                <w:color w:val="auto"/>
                <w:highlight w:val="none"/>
              </w:rPr>
            </w:pPr>
          </w:p>
        </w:tc>
        <w:tc>
          <w:tcPr>
            <w:tcW w:w="1593" w:type="dxa"/>
            <w:tcBorders>
              <w:top w:val="single" w:color="auto" w:sz="4" w:space="0"/>
              <w:left w:val="single" w:color="auto" w:sz="4" w:space="0"/>
              <w:bottom w:val="nil"/>
              <w:right w:val="single" w:color="auto" w:sz="4" w:space="0"/>
            </w:tcBorders>
            <w:vAlign w:val="center"/>
          </w:tcPr>
          <w:p w14:paraId="374C5A6F">
            <w:pPr>
              <w:spacing w:line="360" w:lineRule="auto"/>
              <w:jc w:val="center"/>
              <w:rPr>
                <w:rFonts w:hint="eastAsia" w:ascii="宋体" w:hAnsi="宋体"/>
                <w:color w:val="auto"/>
                <w:highlight w:val="none"/>
              </w:rPr>
            </w:pPr>
            <w:r>
              <w:rPr>
                <w:rFonts w:hint="eastAsia" w:ascii="宋体" w:hAnsi="宋体"/>
                <w:color w:val="auto"/>
                <w:highlight w:val="none"/>
              </w:rPr>
              <w:t>授权有效性</w:t>
            </w:r>
          </w:p>
        </w:tc>
        <w:tc>
          <w:tcPr>
            <w:tcW w:w="5965" w:type="dxa"/>
            <w:tcBorders>
              <w:top w:val="single" w:color="auto" w:sz="4" w:space="0"/>
              <w:left w:val="single" w:color="auto" w:sz="4" w:space="0"/>
              <w:bottom w:val="single" w:color="auto" w:sz="4" w:space="0"/>
              <w:right w:val="single" w:color="auto" w:sz="4" w:space="0"/>
            </w:tcBorders>
            <w:vAlign w:val="center"/>
          </w:tcPr>
          <w:p w14:paraId="57153FD8">
            <w:pPr>
              <w:spacing w:line="360" w:lineRule="auto"/>
              <w:rPr>
                <w:rFonts w:hint="eastAsia" w:ascii="宋体" w:hAnsi="宋体" w:cs="Tahoma"/>
                <w:color w:val="auto"/>
                <w:highlight w:val="none"/>
              </w:rPr>
            </w:pPr>
            <w:r>
              <w:rPr>
                <w:rFonts w:hint="eastAsia" w:ascii="宋体" w:hAnsi="宋体" w:cs="Tahoma"/>
                <w:color w:val="auto"/>
                <w:highlight w:val="none"/>
              </w:rPr>
              <w:t>投标人参加投标的意思表达清楚，法定代表人证明书及投标人代表被授权有效</w:t>
            </w:r>
          </w:p>
        </w:tc>
      </w:tr>
      <w:tr w14:paraId="6FC5E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747" w:type="dxa"/>
            <w:vMerge w:val="continue"/>
            <w:tcBorders>
              <w:top w:val="single" w:color="auto" w:sz="4" w:space="0"/>
              <w:left w:val="single" w:color="auto" w:sz="4" w:space="0"/>
              <w:bottom w:val="single" w:color="auto" w:sz="4" w:space="0"/>
              <w:right w:val="single" w:color="auto" w:sz="4" w:space="0"/>
            </w:tcBorders>
            <w:vAlign w:val="center"/>
          </w:tcPr>
          <w:p w14:paraId="6D31DA3E">
            <w:pPr>
              <w:widowControl/>
              <w:spacing w:line="360" w:lineRule="auto"/>
              <w:jc w:val="left"/>
              <w:rPr>
                <w:rFonts w:hint="eastAsia" w:ascii="宋体" w:hAnsi="宋体"/>
                <w:color w:val="auto"/>
                <w:highlight w:val="none"/>
              </w:rPr>
            </w:pPr>
          </w:p>
        </w:tc>
        <w:tc>
          <w:tcPr>
            <w:tcW w:w="1096" w:type="dxa"/>
            <w:vMerge w:val="continue"/>
            <w:tcBorders>
              <w:left w:val="single" w:color="auto" w:sz="4" w:space="0"/>
              <w:right w:val="single" w:color="auto" w:sz="4" w:space="0"/>
            </w:tcBorders>
            <w:vAlign w:val="center"/>
          </w:tcPr>
          <w:p w14:paraId="5549E588">
            <w:pPr>
              <w:spacing w:line="360" w:lineRule="auto"/>
              <w:rPr>
                <w:rFonts w:hint="eastAsia" w:ascii="宋体" w:hAnsi="宋体"/>
                <w:color w:val="auto"/>
                <w:highlight w:val="none"/>
              </w:rPr>
            </w:pPr>
          </w:p>
        </w:tc>
        <w:tc>
          <w:tcPr>
            <w:tcW w:w="1593" w:type="dxa"/>
            <w:tcBorders>
              <w:top w:val="single" w:color="auto" w:sz="4" w:space="0"/>
              <w:left w:val="single" w:color="auto" w:sz="4" w:space="0"/>
              <w:bottom w:val="nil"/>
              <w:right w:val="single" w:color="auto" w:sz="4" w:space="0"/>
            </w:tcBorders>
            <w:vAlign w:val="center"/>
          </w:tcPr>
          <w:p w14:paraId="5315E651">
            <w:pPr>
              <w:widowControl/>
              <w:spacing w:line="360" w:lineRule="auto"/>
              <w:rPr>
                <w:rFonts w:hint="eastAsia" w:ascii="宋体" w:hAnsi="宋体"/>
                <w:color w:val="auto"/>
                <w:highlight w:val="none"/>
              </w:rPr>
            </w:pPr>
            <w:r>
              <w:rPr>
                <w:rFonts w:hint="eastAsia" w:ascii="宋体" w:hAnsi="宋体"/>
                <w:color w:val="auto"/>
                <w:kern w:val="0"/>
                <w:highlight w:val="none"/>
              </w:rPr>
              <w:t>不存在串通投标情形</w:t>
            </w:r>
          </w:p>
        </w:tc>
        <w:tc>
          <w:tcPr>
            <w:tcW w:w="5965" w:type="dxa"/>
            <w:tcBorders>
              <w:top w:val="single" w:color="auto" w:sz="4" w:space="0"/>
              <w:left w:val="single" w:color="auto" w:sz="4" w:space="0"/>
              <w:bottom w:val="single" w:color="auto" w:sz="4" w:space="0"/>
              <w:right w:val="single" w:color="auto" w:sz="4" w:space="0"/>
            </w:tcBorders>
            <w:vAlign w:val="center"/>
          </w:tcPr>
          <w:p w14:paraId="1AB75C35">
            <w:pPr>
              <w:widowControl/>
              <w:spacing w:line="360" w:lineRule="auto"/>
              <w:rPr>
                <w:rFonts w:hint="eastAsia" w:ascii="宋体" w:hAnsi="宋体"/>
                <w:color w:val="auto"/>
                <w:kern w:val="0"/>
                <w:highlight w:val="none"/>
              </w:rPr>
            </w:pPr>
            <w:r>
              <w:rPr>
                <w:rFonts w:hint="eastAsia" w:ascii="宋体" w:hAnsi="宋体"/>
                <w:color w:val="auto"/>
                <w:kern w:val="0"/>
                <w:highlight w:val="none"/>
              </w:rPr>
              <w:t>串通投标情形以《中华人民共和国招标投标法实施条例》为准</w:t>
            </w:r>
          </w:p>
        </w:tc>
      </w:tr>
      <w:tr w14:paraId="008EE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747" w:type="dxa"/>
            <w:vMerge w:val="continue"/>
            <w:tcBorders>
              <w:top w:val="single" w:color="auto" w:sz="4" w:space="0"/>
              <w:left w:val="single" w:color="auto" w:sz="4" w:space="0"/>
              <w:bottom w:val="single" w:color="auto" w:sz="4" w:space="0"/>
              <w:right w:val="single" w:color="auto" w:sz="4" w:space="0"/>
            </w:tcBorders>
            <w:vAlign w:val="center"/>
          </w:tcPr>
          <w:p w14:paraId="17F3CED9">
            <w:pPr>
              <w:widowControl/>
              <w:spacing w:line="360" w:lineRule="auto"/>
              <w:jc w:val="left"/>
              <w:rPr>
                <w:rFonts w:hint="eastAsia" w:ascii="宋体" w:hAnsi="宋体"/>
                <w:color w:val="auto"/>
                <w:highlight w:val="none"/>
              </w:rPr>
            </w:pPr>
          </w:p>
        </w:tc>
        <w:tc>
          <w:tcPr>
            <w:tcW w:w="1096" w:type="dxa"/>
            <w:vMerge w:val="continue"/>
            <w:tcBorders>
              <w:left w:val="single" w:color="auto" w:sz="4" w:space="0"/>
              <w:bottom w:val="nil"/>
              <w:right w:val="single" w:color="auto" w:sz="4" w:space="0"/>
            </w:tcBorders>
            <w:vAlign w:val="center"/>
          </w:tcPr>
          <w:p w14:paraId="2E331DF5">
            <w:pPr>
              <w:spacing w:line="360" w:lineRule="auto"/>
              <w:rPr>
                <w:rFonts w:hint="eastAsia" w:ascii="宋体" w:hAnsi="宋体"/>
                <w:color w:val="auto"/>
                <w:highlight w:val="none"/>
              </w:rPr>
            </w:pPr>
          </w:p>
        </w:tc>
        <w:tc>
          <w:tcPr>
            <w:tcW w:w="1593" w:type="dxa"/>
            <w:tcBorders>
              <w:top w:val="single" w:color="auto" w:sz="4" w:space="0"/>
              <w:left w:val="single" w:color="auto" w:sz="4" w:space="0"/>
              <w:bottom w:val="nil"/>
              <w:right w:val="single" w:color="auto" w:sz="4" w:space="0"/>
            </w:tcBorders>
            <w:vAlign w:val="center"/>
          </w:tcPr>
          <w:p w14:paraId="6A49492E">
            <w:pPr>
              <w:widowControl/>
              <w:spacing w:line="360" w:lineRule="auto"/>
              <w:rPr>
                <w:rFonts w:hint="eastAsia" w:ascii="宋体" w:hAnsi="宋体"/>
                <w:color w:val="auto"/>
                <w:highlight w:val="none"/>
              </w:rPr>
            </w:pPr>
            <w:r>
              <w:rPr>
                <w:rFonts w:hint="eastAsia" w:ascii="宋体" w:hAnsi="宋体"/>
                <w:color w:val="auto"/>
                <w:highlight w:val="none"/>
              </w:rPr>
              <w:t>投标人机器码</w:t>
            </w:r>
          </w:p>
        </w:tc>
        <w:tc>
          <w:tcPr>
            <w:tcW w:w="5965" w:type="dxa"/>
            <w:tcBorders>
              <w:top w:val="single" w:color="auto" w:sz="4" w:space="0"/>
              <w:left w:val="single" w:color="auto" w:sz="4" w:space="0"/>
              <w:bottom w:val="single" w:color="auto" w:sz="4" w:space="0"/>
              <w:right w:val="single" w:color="auto" w:sz="4" w:space="0"/>
            </w:tcBorders>
            <w:vAlign w:val="center"/>
          </w:tcPr>
          <w:p w14:paraId="0B10E10A">
            <w:pPr>
              <w:widowControl/>
              <w:spacing w:line="360" w:lineRule="auto"/>
              <w:rPr>
                <w:rFonts w:hint="eastAsia" w:ascii="宋体" w:hAnsi="宋体"/>
                <w:color w:val="auto"/>
                <w:kern w:val="0"/>
                <w:highlight w:val="none"/>
              </w:rPr>
            </w:pPr>
            <w:r>
              <w:rPr>
                <w:rFonts w:hint="eastAsia" w:ascii="宋体" w:hAnsi="宋体"/>
                <w:color w:val="auto"/>
                <w:highlight w:val="none"/>
              </w:rPr>
              <w:t>投标文件未出现与本项目其他投标人加密打包投标文件电脑机器特征码一致的情形（以</w:t>
            </w:r>
            <w:r>
              <w:rPr>
                <w:rFonts w:hint="eastAsia" w:ascii="宋体" w:hAnsi="宋体"/>
                <w:color w:val="auto"/>
                <w:highlight w:val="none"/>
                <w:lang w:eastAsia="zh-CN"/>
              </w:rPr>
              <w:t>广州交易集团有限公司（广州公共资源交易中心）</w:t>
            </w:r>
            <w:r>
              <w:rPr>
                <w:rFonts w:hint="eastAsia" w:ascii="宋体" w:hAnsi="宋体"/>
                <w:color w:val="auto"/>
                <w:highlight w:val="none"/>
              </w:rPr>
              <w:t>评标系统的检索信息为准）</w:t>
            </w:r>
          </w:p>
        </w:tc>
      </w:tr>
      <w:tr w14:paraId="4F16A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747" w:type="dxa"/>
            <w:vMerge w:val="restart"/>
            <w:tcBorders>
              <w:top w:val="single" w:color="auto" w:sz="4" w:space="0"/>
              <w:left w:val="single" w:color="auto" w:sz="4" w:space="0"/>
              <w:bottom w:val="single" w:color="auto" w:sz="4" w:space="0"/>
              <w:right w:val="single" w:color="auto" w:sz="4" w:space="0"/>
            </w:tcBorders>
            <w:vAlign w:val="center"/>
          </w:tcPr>
          <w:p w14:paraId="1669003D">
            <w:pPr>
              <w:spacing w:line="360" w:lineRule="auto"/>
              <w:jc w:val="center"/>
              <w:rPr>
                <w:rFonts w:hint="eastAsia" w:ascii="宋体" w:hAnsi="宋体"/>
                <w:color w:val="auto"/>
                <w:highlight w:val="none"/>
              </w:rPr>
            </w:pPr>
            <w:r>
              <w:rPr>
                <w:rFonts w:ascii="宋体" w:hAnsi="宋体"/>
                <w:color w:val="auto"/>
                <w:highlight w:val="none"/>
              </w:rPr>
              <w:t>2.1.2</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14:paraId="62FDD8B0">
            <w:pPr>
              <w:spacing w:line="360" w:lineRule="auto"/>
              <w:jc w:val="center"/>
              <w:rPr>
                <w:rFonts w:hint="eastAsia" w:ascii="宋体" w:hAnsi="宋体"/>
                <w:color w:val="auto"/>
                <w:highlight w:val="none"/>
              </w:rPr>
            </w:pPr>
            <w:r>
              <w:rPr>
                <w:rFonts w:hint="eastAsia" w:ascii="宋体" w:hAnsi="宋体"/>
                <w:color w:val="auto"/>
                <w:highlight w:val="none"/>
              </w:rPr>
              <w:t>资格评审标准</w:t>
            </w:r>
          </w:p>
        </w:tc>
        <w:tc>
          <w:tcPr>
            <w:tcW w:w="1593" w:type="dxa"/>
            <w:tcBorders>
              <w:top w:val="single" w:color="auto" w:sz="4" w:space="0"/>
              <w:left w:val="single" w:color="auto" w:sz="4" w:space="0"/>
              <w:bottom w:val="single" w:color="auto" w:sz="4" w:space="0"/>
              <w:right w:val="single" w:color="auto" w:sz="4" w:space="0"/>
            </w:tcBorders>
            <w:vAlign w:val="center"/>
          </w:tcPr>
          <w:p w14:paraId="2C6743C1">
            <w:pPr>
              <w:spacing w:line="360" w:lineRule="auto"/>
              <w:jc w:val="center"/>
              <w:rPr>
                <w:rFonts w:hint="eastAsia" w:ascii="宋体" w:hAnsi="宋体"/>
                <w:color w:val="auto"/>
                <w:highlight w:val="none"/>
              </w:rPr>
            </w:pPr>
            <w:r>
              <w:rPr>
                <w:rFonts w:hint="eastAsia" w:ascii="宋体" w:hAnsi="宋体"/>
                <w:color w:val="auto"/>
                <w:highlight w:val="none"/>
              </w:rPr>
              <w:t>营业执照和组织机构代码证</w:t>
            </w:r>
          </w:p>
        </w:tc>
        <w:tc>
          <w:tcPr>
            <w:tcW w:w="5965" w:type="dxa"/>
            <w:tcBorders>
              <w:top w:val="single" w:color="auto" w:sz="4" w:space="0"/>
              <w:left w:val="single" w:color="auto" w:sz="4" w:space="0"/>
              <w:bottom w:val="single" w:color="auto" w:sz="4" w:space="0"/>
              <w:right w:val="single" w:color="auto" w:sz="4" w:space="0"/>
            </w:tcBorders>
            <w:vAlign w:val="center"/>
          </w:tcPr>
          <w:p w14:paraId="2B6F3A2B">
            <w:pPr>
              <w:spacing w:line="360" w:lineRule="auto"/>
              <w:rPr>
                <w:rFonts w:hint="eastAsia" w:ascii="宋体" w:hAnsi="宋体"/>
                <w:color w:val="auto"/>
                <w:highlight w:val="none"/>
              </w:rPr>
            </w:pPr>
            <w:r>
              <w:rPr>
                <w:rFonts w:hint="eastAsia" w:ascii="宋体" w:hAnsi="宋体"/>
                <w:color w:val="auto"/>
                <w:highlight w:val="none"/>
              </w:rPr>
              <w:t>符合第二章</w:t>
            </w:r>
            <w:r>
              <w:rPr>
                <w:rFonts w:ascii="宋体" w:hAnsi="宋体"/>
                <w:color w:val="auto"/>
                <w:highlight w:val="none"/>
              </w:rPr>
              <w:t>“</w:t>
            </w:r>
            <w:r>
              <w:rPr>
                <w:rFonts w:hint="eastAsia" w:ascii="宋体" w:hAnsi="宋体"/>
                <w:color w:val="auto"/>
                <w:highlight w:val="none"/>
              </w:rPr>
              <w:t>投标人须知</w:t>
            </w:r>
            <w:r>
              <w:rPr>
                <w:rFonts w:ascii="宋体" w:hAnsi="宋体"/>
                <w:color w:val="auto"/>
                <w:highlight w:val="none"/>
              </w:rPr>
              <w:t>”</w:t>
            </w:r>
            <w:r>
              <w:rPr>
                <w:rFonts w:hint="eastAsia" w:ascii="宋体" w:hAnsi="宋体"/>
                <w:color w:val="auto"/>
                <w:highlight w:val="none"/>
              </w:rPr>
              <w:t>第</w:t>
            </w:r>
            <w:r>
              <w:rPr>
                <w:rFonts w:ascii="宋体" w:hAnsi="宋体"/>
                <w:color w:val="auto"/>
                <w:highlight w:val="none"/>
              </w:rPr>
              <w:t>3.5.1</w:t>
            </w:r>
            <w:r>
              <w:rPr>
                <w:rFonts w:hint="eastAsia" w:ascii="宋体" w:hAnsi="宋体"/>
                <w:color w:val="auto"/>
                <w:highlight w:val="none"/>
              </w:rPr>
              <w:t>项</w:t>
            </w:r>
            <w:r>
              <w:rPr>
                <w:rFonts w:hint="eastAsia" w:ascii="宋体" w:hAnsi="宋体"/>
                <w:color w:val="auto"/>
                <w:szCs w:val="21"/>
                <w:highlight w:val="none"/>
              </w:rPr>
              <w:t>规定</w:t>
            </w:r>
          </w:p>
        </w:tc>
      </w:tr>
      <w:tr w14:paraId="7D571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747" w:type="dxa"/>
            <w:vMerge w:val="continue"/>
            <w:tcBorders>
              <w:top w:val="single" w:color="auto" w:sz="4" w:space="0"/>
              <w:left w:val="single" w:color="auto" w:sz="4" w:space="0"/>
              <w:bottom w:val="single" w:color="auto" w:sz="4" w:space="0"/>
              <w:right w:val="single" w:color="auto" w:sz="4" w:space="0"/>
            </w:tcBorders>
            <w:vAlign w:val="center"/>
          </w:tcPr>
          <w:p w14:paraId="3FB6FF9E">
            <w:pPr>
              <w:widowControl/>
              <w:spacing w:line="360" w:lineRule="auto"/>
              <w:jc w:val="left"/>
              <w:rPr>
                <w:rFonts w:hint="eastAsia" w:ascii="宋体" w:hAnsi="宋体"/>
                <w:color w:val="auto"/>
                <w:highlight w:val="none"/>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13CAA903">
            <w:pPr>
              <w:widowControl/>
              <w:spacing w:line="360" w:lineRule="auto"/>
              <w:jc w:val="left"/>
              <w:rPr>
                <w:rFonts w:hint="eastAsia" w:ascii="宋体" w:hAnsi="宋体"/>
                <w:color w:val="auto"/>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14:paraId="09F022C1">
            <w:pPr>
              <w:spacing w:line="360" w:lineRule="auto"/>
              <w:jc w:val="center"/>
              <w:rPr>
                <w:rFonts w:hint="eastAsia" w:ascii="宋体" w:hAnsi="宋体"/>
                <w:color w:val="auto"/>
                <w:highlight w:val="none"/>
              </w:rPr>
            </w:pPr>
            <w:r>
              <w:rPr>
                <w:rFonts w:hint="eastAsia" w:ascii="宋体" w:hAnsi="宋体"/>
                <w:color w:val="auto"/>
                <w:highlight w:val="none"/>
              </w:rPr>
              <w:t>资质要求</w:t>
            </w:r>
          </w:p>
        </w:tc>
        <w:tc>
          <w:tcPr>
            <w:tcW w:w="5965" w:type="dxa"/>
            <w:tcBorders>
              <w:top w:val="single" w:color="auto" w:sz="4" w:space="0"/>
              <w:left w:val="single" w:color="auto" w:sz="4" w:space="0"/>
              <w:bottom w:val="single" w:color="auto" w:sz="4" w:space="0"/>
              <w:right w:val="single" w:color="auto" w:sz="4" w:space="0"/>
            </w:tcBorders>
            <w:vAlign w:val="center"/>
          </w:tcPr>
          <w:p w14:paraId="02B69B77">
            <w:pPr>
              <w:spacing w:line="360" w:lineRule="auto"/>
              <w:rPr>
                <w:rFonts w:hint="eastAsia" w:ascii="宋体" w:hAnsi="宋体"/>
                <w:color w:val="auto"/>
                <w:highlight w:val="none"/>
              </w:rPr>
            </w:pPr>
            <w:r>
              <w:rPr>
                <w:rFonts w:hint="eastAsia" w:ascii="宋体" w:hAnsi="宋体"/>
                <w:color w:val="auto"/>
                <w:highlight w:val="none"/>
              </w:rPr>
              <w:t>详见本项目第一章招标公告第3.2项规定</w:t>
            </w:r>
          </w:p>
        </w:tc>
      </w:tr>
      <w:tr w14:paraId="40839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747" w:type="dxa"/>
            <w:vMerge w:val="continue"/>
            <w:tcBorders>
              <w:top w:val="single" w:color="auto" w:sz="4" w:space="0"/>
              <w:left w:val="single" w:color="auto" w:sz="4" w:space="0"/>
              <w:bottom w:val="single" w:color="auto" w:sz="4" w:space="0"/>
              <w:right w:val="single" w:color="auto" w:sz="4" w:space="0"/>
            </w:tcBorders>
            <w:vAlign w:val="center"/>
          </w:tcPr>
          <w:p w14:paraId="1ECEC445">
            <w:pPr>
              <w:widowControl/>
              <w:spacing w:line="360" w:lineRule="auto"/>
              <w:jc w:val="left"/>
              <w:rPr>
                <w:rFonts w:hint="eastAsia" w:ascii="宋体" w:hAnsi="宋体"/>
                <w:color w:val="auto"/>
                <w:highlight w:val="none"/>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0B358355">
            <w:pPr>
              <w:widowControl/>
              <w:spacing w:line="360" w:lineRule="auto"/>
              <w:jc w:val="left"/>
              <w:rPr>
                <w:rFonts w:hint="eastAsia" w:ascii="宋体" w:hAnsi="宋体"/>
                <w:color w:val="auto"/>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14:paraId="53D20ABC">
            <w:pPr>
              <w:spacing w:line="360" w:lineRule="auto"/>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财务要求</w:t>
            </w:r>
          </w:p>
        </w:tc>
        <w:tc>
          <w:tcPr>
            <w:tcW w:w="5965" w:type="dxa"/>
            <w:tcBorders>
              <w:top w:val="single" w:color="auto" w:sz="4" w:space="0"/>
              <w:left w:val="single" w:color="auto" w:sz="4" w:space="0"/>
              <w:bottom w:val="single" w:color="auto" w:sz="4" w:space="0"/>
              <w:right w:val="single" w:color="auto" w:sz="4" w:space="0"/>
            </w:tcBorders>
            <w:vAlign w:val="center"/>
          </w:tcPr>
          <w:p w14:paraId="75644573">
            <w:pPr>
              <w:spacing w:line="360" w:lineRule="auto"/>
              <w:rPr>
                <w:rFonts w:hint="eastAsia" w:ascii="宋体" w:hAnsi="宋体" w:eastAsia="宋体"/>
                <w:color w:val="auto"/>
                <w:highlight w:val="none"/>
                <w:lang w:eastAsia="zh-CN"/>
              </w:rPr>
            </w:pPr>
            <w:r>
              <w:rPr>
                <w:rFonts w:hint="eastAsia" w:ascii="宋体" w:hAnsi="宋体"/>
                <w:color w:val="auto"/>
                <w:highlight w:val="none"/>
                <w:lang w:val="en-US" w:eastAsia="zh-CN"/>
              </w:rPr>
              <w:t>/</w:t>
            </w:r>
          </w:p>
        </w:tc>
      </w:tr>
      <w:tr w14:paraId="6072D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3" w:hRule="atLeast"/>
          <w:jc w:val="center"/>
        </w:trPr>
        <w:tc>
          <w:tcPr>
            <w:tcW w:w="747" w:type="dxa"/>
            <w:vMerge w:val="continue"/>
            <w:tcBorders>
              <w:top w:val="single" w:color="auto" w:sz="4" w:space="0"/>
              <w:left w:val="single" w:color="auto" w:sz="4" w:space="0"/>
              <w:bottom w:val="single" w:color="auto" w:sz="4" w:space="0"/>
              <w:right w:val="single" w:color="auto" w:sz="4" w:space="0"/>
            </w:tcBorders>
            <w:vAlign w:val="center"/>
          </w:tcPr>
          <w:p w14:paraId="4ECA5DC9">
            <w:pPr>
              <w:widowControl/>
              <w:spacing w:line="360" w:lineRule="auto"/>
              <w:jc w:val="left"/>
              <w:rPr>
                <w:rFonts w:hint="eastAsia" w:ascii="宋体" w:hAnsi="宋体"/>
                <w:color w:val="auto"/>
                <w:highlight w:val="none"/>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12D6CE58">
            <w:pPr>
              <w:widowControl/>
              <w:spacing w:line="360" w:lineRule="auto"/>
              <w:jc w:val="left"/>
              <w:rPr>
                <w:rFonts w:hint="eastAsia" w:ascii="宋体" w:hAnsi="宋体"/>
                <w:color w:val="auto"/>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14:paraId="0CFBF64D">
            <w:pPr>
              <w:spacing w:line="360" w:lineRule="auto"/>
              <w:jc w:val="center"/>
              <w:rPr>
                <w:rFonts w:hint="eastAsia" w:ascii="宋体" w:hAnsi="宋体"/>
                <w:strike/>
                <w:color w:val="auto"/>
                <w:highlight w:val="none"/>
              </w:rPr>
            </w:pPr>
            <w:r>
              <w:rPr>
                <w:rFonts w:hint="eastAsia" w:ascii="宋体" w:hAnsi="宋体"/>
                <w:color w:val="auto"/>
                <w:highlight w:val="none"/>
              </w:rPr>
              <w:t>业绩要求</w:t>
            </w:r>
          </w:p>
        </w:tc>
        <w:tc>
          <w:tcPr>
            <w:tcW w:w="5965" w:type="dxa"/>
            <w:tcBorders>
              <w:top w:val="single" w:color="auto" w:sz="4" w:space="0"/>
              <w:left w:val="single" w:color="auto" w:sz="4" w:space="0"/>
              <w:bottom w:val="single" w:color="auto" w:sz="4" w:space="0"/>
              <w:right w:val="single" w:color="auto" w:sz="4" w:space="0"/>
            </w:tcBorders>
            <w:vAlign w:val="center"/>
          </w:tcPr>
          <w:p w14:paraId="2E3FE933">
            <w:pPr>
              <w:spacing w:line="360" w:lineRule="auto"/>
              <w:rPr>
                <w:rFonts w:hint="eastAsia" w:ascii="宋体" w:hAnsi="宋体"/>
                <w:strike/>
                <w:color w:val="auto"/>
                <w:highlight w:val="none"/>
              </w:rPr>
            </w:pPr>
            <w:r>
              <w:rPr>
                <w:rFonts w:hint="eastAsia" w:ascii="宋体" w:hAnsi="宋体"/>
                <w:color w:val="auto"/>
                <w:highlight w:val="none"/>
              </w:rPr>
              <w:t>/</w:t>
            </w:r>
          </w:p>
        </w:tc>
      </w:tr>
      <w:tr w14:paraId="4A753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747" w:type="dxa"/>
            <w:vMerge w:val="continue"/>
            <w:tcBorders>
              <w:top w:val="single" w:color="auto" w:sz="4" w:space="0"/>
              <w:left w:val="single" w:color="auto" w:sz="4" w:space="0"/>
              <w:bottom w:val="single" w:color="auto" w:sz="4" w:space="0"/>
              <w:right w:val="single" w:color="auto" w:sz="4" w:space="0"/>
            </w:tcBorders>
            <w:vAlign w:val="center"/>
          </w:tcPr>
          <w:p w14:paraId="40DF9EC6">
            <w:pPr>
              <w:widowControl/>
              <w:spacing w:line="360" w:lineRule="auto"/>
              <w:jc w:val="left"/>
              <w:rPr>
                <w:rFonts w:hint="eastAsia" w:ascii="宋体" w:hAnsi="宋体"/>
                <w:color w:val="auto"/>
                <w:highlight w:val="none"/>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6264C3CC">
            <w:pPr>
              <w:widowControl/>
              <w:spacing w:line="360" w:lineRule="auto"/>
              <w:jc w:val="left"/>
              <w:rPr>
                <w:rFonts w:hint="eastAsia" w:ascii="宋体" w:hAnsi="宋体"/>
                <w:color w:val="auto"/>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14:paraId="2C67AEEE">
            <w:pPr>
              <w:spacing w:line="360" w:lineRule="auto"/>
              <w:jc w:val="center"/>
              <w:rPr>
                <w:rFonts w:hint="eastAsia" w:ascii="宋体" w:hAnsi="宋体"/>
                <w:color w:val="auto"/>
                <w:highlight w:val="none"/>
              </w:rPr>
            </w:pPr>
            <w:r>
              <w:rPr>
                <w:rFonts w:hint="eastAsia" w:ascii="宋体" w:hAnsi="宋体"/>
                <w:color w:val="auto"/>
                <w:highlight w:val="none"/>
              </w:rPr>
              <w:t>信誉要求</w:t>
            </w:r>
          </w:p>
        </w:tc>
        <w:tc>
          <w:tcPr>
            <w:tcW w:w="5965" w:type="dxa"/>
            <w:tcBorders>
              <w:top w:val="single" w:color="auto" w:sz="4" w:space="0"/>
              <w:left w:val="single" w:color="auto" w:sz="4" w:space="0"/>
              <w:bottom w:val="single" w:color="auto" w:sz="4" w:space="0"/>
              <w:right w:val="single" w:color="auto" w:sz="4" w:space="0"/>
            </w:tcBorders>
            <w:vAlign w:val="center"/>
          </w:tcPr>
          <w:p w14:paraId="597CADDA">
            <w:pPr>
              <w:spacing w:line="360" w:lineRule="auto"/>
              <w:rPr>
                <w:rFonts w:hint="eastAsia" w:ascii="宋体" w:hAnsi="宋体"/>
                <w:color w:val="auto"/>
                <w:highlight w:val="none"/>
              </w:rPr>
            </w:pPr>
            <w:r>
              <w:rPr>
                <w:rFonts w:hint="eastAsia" w:ascii="宋体" w:hAnsi="宋体"/>
                <w:color w:val="auto"/>
                <w:highlight w:val="none"/>
              </w:rPr>
              <w:t>/</w:t>
            </w:r>
          </w:p>
        </w:tc>
      </w:tr>
      <w:tr w14:paraId="6B978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9" w:hRule="atLeast"/>
          <w:jc w:val="center"/>
        </w:trPr>
        <w:tc>
          <w:tcPr>
            <w:tcW w:w="747" w:type="dxa"/>
            <w:vMerge w:val="continue"/>
            <w:tcBorders>
              <w:top w:val="single" w:color="auto" w:sz="4" w:space="0"/>
              <w:left w:val="single" w:color="auto" w:sz="4" w:space="0"/>
              <w:bottom w:val="single" w:color="auto" w:sz="4" w:space="0"/>
              <w:right w:val="single" w:color="auto" w:sz="4" w:space="0"/>
            </w:tcBorders>
            <w:vAlign w:val="center"/>
          </w:tcPr>
          <w:p w14:paraId="4894857D">
            <w:pPr>
              <w:widowControl/>
              <w:spacing w:line="360" w:lineRule="auto"/>
              <w:jc w:val="left"/>
              <w:rPr>
                <w:rFonts w:hint="eastAsia" w:ascii="宋体" w:hAnsi="宋体"/>
                <w:color w:val="auto"/>
                <w:highlight w:val="none"/>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44608BC7">
            <w:pPr>
              <w:widowControl/>
              <w:spacing w:line="360" w:lineRule="auto"/>
              <w:jc w:val="left"/>
              <w:rPr>
                <w:rFonts w:hint="eastAsia" w:ascii="宋体" w:hAnsi="宋体"/>
                <w:color w:val="auto"/>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14:paraId="110819F7">
            <w:pPr>
              <w:spacing w:line="360" w:lineRule="auto"/>
              <w:jc w:val="center"/>
              <w:rPr>
                <w:rFonts w:hint="eastAsia" w:ascii="宋体" w:hAnsi="宋体"/>
                <w:color w:val="auto"/>
                <w:highlight w:val="none"/>
              </w:rPr>
            </w:pPr>
            <w:r>
              <w:rPr>
                <w:rFonts w:hint="eastAsia" w:ascii="宋体" w:hAnsi="宋体"/>
                <w:color w:val="auto"/>
                <w:highlight w:val="none"/>
              </w:rPr>
              <w:t>项目经理（项目负责人）</w:t>
            </w:r>
          </w:p>
        </w:tc>
        <w:tc>
          <w:tcPr>
            <w:tcW w:w="5965" w:type="dxa"/>
            <w:tcBorders>
              <w:top w:val="single" w:color="auto" w:sz="4" w:space="0"/>
              <w:left w:val="single" w:color="auto" w:sz="4" w:space="0"/>
              <w:bottom w:val="single" w:color="auto" w:sz="4" w:space="0"/>
              <w:right w:val="single" w:color="auto" w:sz="4" w:space="0"/>
            </w:tcBorders>
            <w:vAlign w:val="center"/>
          </w:tcPr>
          <w:p w14:paraId="38BAEA78">
            <w:pPr>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w:t>
            </w:r>
          </w:p>
        </w:tc>
      </w:tr>
      <w:tr w14:paraId="06DFC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9" w:hRule="atLeast"/>
          <w:jc w:val="center"/>
        </w:trPr>
        <w:tc>
          <w:tcPr>
            <w:tcW w:w="747" w:type="dxa"/>
            <w:vMerge w:val="continue"/>
            <w:tcBorders>
              <w:top w:val="single" w:color="auto" w:sz="4" w:space="0"/>
              <w:left w:val="single" w:color="auto" w:sz="4" w:space="0"/>
              <w:bottom w:val="single" w:color="auto" w:sz="4" w:space="0"/>
              <w:right w:val="single" w:color="auto" w:sz="4" w:space="0"/>
            </w:tcBorders>
            <w:vAlign w:val="center"/>
          </w:tcPr>
          <w:p w14:paraId="14E78502">
            <w:pPr>
              <w:widowControl/>
              <w:spacing w:line="360" w:lineRule="auto"/>
              <w:jc w:val="left"/>
              <w:rPr>
                <w:rFonts w:hint="eastAsia" w:ascii="宋体" w:hAnsi="宋体"/>
                <w:color w:val="auto"/>
                <w:highlight w:val="none"/>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6284B422">
            <w:pPr>
              <w:widowControl/>
              <w:spacing w:line="360" w:lineRule="auto"/>
              <w:jc w:val="left"/>
              <w:rPr>
                <w:rFonts w:hint="eastAsia" w:ascii="宋体" w:hAnsi="宋体"/>
                <w:color w:val="auto"/>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14:paraId="2B5C14B5">
            <w:pPr>
              <w:spacing w:line="360" w:lineRule="auto"/>
              <w:jc w:val="center"/>
              <w:rPr>
                <w:rFonts w:hint="eastAsia" w:ascii="宋体" w:hAnsi="宋体"/>
                <w:color w:val="auto"/>
                <w:highlight w:val="none"/>
              </w:rPr>
            </w:pPr>
            <w:r>
              <w:rPr>
                <w:rFonts w:hint="eastAsia" w:ascii="宋体" w:hAnsi="宋体"/>
                <w:color w:val="auto"/>
                <w:highlight w:val="none"/>
              </w:rPr>
              <w:t>其他主要人员要求</w:t>
            </w:r>
          </w:p>
        </w:tc>
        <w:tc>
          <w:tcPr>
            <w:tcW w:w="5965" w:type="dxa"/>
            <w:tcBorders>
              <w:top w:val="single" w:color="auto" w:sz="4" w:space="0"/>
              <w:left w:val="single" w:color="auto" w:sz="4" w:space="0"/>
              <w:bottom w:val="single" w:color="auto" w:sz="4" w:space="0"/>
              <w:right w:val="single" w:color="auto" w:sz="4" w:space="0"/>
            </w:tcBorders>
            <w:vAlign w:val="center"/>
          </w:tcPr>
          <w:p w14:paraId="17F4553C">
            <w:pPr>
              <w:spacing w:line="360" w:lineRule="auto"/>
              <w:rPr>
                <w:rFonts w:hint="eastAsia" w:ascii="宋体" w:hAnsi="宋体" w:eastAsia="宋体"/>
                <w:color w:val="auto"/>
                <w:highlight w:val="none"/>
                <w:lang w:eastAsia="zh-CN"/>
              </w:rPr>
            </w:pPr>
            <w:r>
              <w:rPr>
                <w:rFonts w:hint="eastAsia" w:ascii="宋体" w:hAnsi="宋体"/>
                <w:color w:val="auto"/>
                <w:highlight w:val="none"/>
                <w:lang w:val="en-US" w:eastAsia="zh-CN"/>
              </w:rPr>
              <w:t>/</w:t>
            </w:r>
          </w:p>
        </w:tc>
      </w:tr>
      <w:tr w14:paraId="303B6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9" w:hRule="atLeast"/>
          <w:jc w:val="center"/>
        </w:trPr>
        <w:tc>
          <w:tcPr>
            <w:tcW w:w="747" w:type="dxa"/>
            <w:vMerge w:val="continue"/>
            <w:tcBorders>
              <w:top w:val="single" w:color="auto" w:sz="4" w:space="0"/>
              <w:left w:val="single" w:color="auto" w:sz="4" w:space="0"/>
              <w:bottom w:val="single" w:color="auto" w:sz="4" w:space="0"/>
              <w:right w:val="single" w:color="auto" w:sz="4" w:space="0"/>
            </w:tcBorders>
            <w:vAlign w:val="center"/>
          </w:tcPr>
          <w:p w14:paraId="067FCE38">
            <w:pPr>
              <w:widowControl/>
              <w:spacing w:line="360" w:lineRule="auto"/>
              <w:jc w:val="left"/>
              <w:rPr>
                <w:rFonts w:hint="eastAsia" w:ascii="宋体" w:hAnsi="宋体"/>
                <w:color w:val="auto"/>
                <w:highlight w:val="none"/>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75DC22AE">
            <w:pPr>
              <w:widowControl/>
              <w:spacing w:line="360" w:lineRule="auto"/>
              <w:jc w:val="left"/>
              <w:rPr>
                <w:rFonts w:hint="eastAsia" w:ascii="宋体" w:hAnsi="宋体"/>
                <w:color w:val="auto"/>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14:paraId="031B53AE">
            <w:pPr>
              <w:spacing w:line="360" w:lineRule="auto"/>
              <w:jc w:val="center"/>
              <w:rPr>
                <w:rFonts w:hint="eastAsia" w:ascii="宋体" w:hAnsi="宋体"/>
                <w:color w:val="auto"/>
                <w:highlight w:val="none"/>
              </w:rPr>
            </w:pPr>
            <w:r>
              <w:rPr>
                <w:rFonts w:hint="eastAsia" w:ascii="宋体" w:hAnsi="宋体"/>
                <w:color w:val="auto"/>
                <w:highlight w:val="none"/>
              </w:rPr>
              <w:t>其他要求</w:t>
            </w:r>
          </w:p>
        </w:tc>
        <w:tc>
          <w:tcPr>
            <w:tcW w:w="5965" w:type="dxa"/>
            <w:tcBorders>
              <w:top w:val="single" w:color="auto" w:sz="4" w:space="0"/>
              <w:left w:val="single" w:color="auto" w:sz="4" w:space="0"/>
              <w:bottom w:val="single" w:color="auto" w:sz="4" w:space="0"/>
              <w:right w:val="single" w:color="auto" w:sz="4" w:space="0"/>
            </w:tcBorders>
            <w:vAlign w:val="center"/>
          </w:tcPr>
          <w:p w14:paraId="4CAB7C54">
            <w:pPr>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详见招标公告</w:t>
            </w:r>
          </w:p>
        </w:tc>
      </w:tr>
      <w:tr w14:paraId="69C61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747" w:type="dxa"/>
            <w:vMerge w:val="continue"/>
            <w:tcBorders>
              <w:top w:val="single" w:color="auto" w:sz="4" w:space="0"/>
              <w:left w:val="single" w:color="auto" w:sz="4" w:space="0"/>
              <w:bottom w:val="single" w:color="auto" w:sz="4" w:space="0"/>
              <w:right w:val="single" w:color="auto" w:sz="4" w:space="0"/>
            </w:tcBorders>
            <w:vAlign w:val="center"/>
          </w:tcPr>
          <w:p w14:paraId="53BD5473">
            <w:pPr>
              <w:widowControl/>
              <w:spacing w:line="360" w:lineRule="auto"/>
              <w:jc w:val="left"/>
              <w:rPr>
                <w:rFonts w:hint="eastAsia" w:ascii="宋体" w:hAnsi="宋体"/>
                <w:color w:val="auto"/>
                <w:highlight w:val="none"/>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56DB300B">
            <w:pPr>
              <w:widowControl/>
              <w:spacing w:line="360" w:lineRule="auto"/>
              <w:jc w:val="left"/>
              <w:rPr>
                <w:rFonts w:hint="eastAsia" w:ascii="宋体" w:hAnsi="宋体"/>
                <w:color w:val="auto"/>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14:paraId="77F39A2C">
            <w:pPr>
              <w:spacing w:line="360" w:lineRule="auto"/>
              <w:jc w:val="center"/>
              <w:rPr>
                <w:rFonts w:hint="eastAsia" w:ascii="宋体" w:hAnsi="宋体"/>
                <w:color w:val="auto"/>
                <w:highlight w:val="none"/>
              </w:rPr>
            </w:pPr>
            <w:r>
              <w:rPr>
                <w:rFonts w:hint="eastAsia" w:ascii="宋体" w:hAnsi="宋体"/>
                <w:color w:val="auto"/>
                <w:highlight w:val="none"/>
              </w:rPr>
              <w:t>不存在禁止投标的情形</w:t>
            </w:r>
          </w:p>
        </w:tc>
        <w:tc>
          <w:tcPr>
            <w:tcW w:w="5965" w:type="dxa"/>
            <w:tcBorders>
              <w:top w:val="single" w:color="auto" w:sz="4" w:space="0"/>
              <w:left w:val="single" w:color="auto" w:sz="4" w:space="0"/>
              <w:bottom w:val="single" w:color="auto" w:sz="4" w:space="0"/>
              <w:right w:val="single" w:color="auto" w:sz="4" w:space="0"/>
            </w:tcBorders>
            <w:vAlign w:val="center"/>
          </w:tcPr>
          <w:p w14:paraId="22128956">
            <w:pPr>
              <w:spacing w:line="360" w:lineRule="auto"/>
              <w:rPr>
                <w:rFonts w:hint="eastAsia" w:ascii="宋体" w:hAnsi="宋体"/>
                <w:color w:val="auto"/>
                <w:highlight w:val="none"/>
              </w:rPr>
            </w:pPr>
            <w:r>
              <w:rPr>
                <w:rFonts w:hint="eastAsia" w:ascii="宋体" w:hAnsi="宋体"/>
                <w:color w:val="auto"/>
                <w:highlight w:val="none"/>
              </w:rPr>
              <w:t>不存在第二章</w:t>
            </w:r>
            <w:r>
              <w:rPr>
                <w:rFonts w:ascii="宋体" w:hAnsi="宋体"/>
                <w:color w:val="auto"/>
                <w:highlight w:val="none"/>
              </w:rPr>
              <w:t>“</w:t>
            </w:r>
            <w:r>
              <w:rPr>
                <w:rFonts w:hint="eastAsia" w:ascii="宋体" w:hAnsi="宋体"/>
                <w:color w:val="auto"/>
                <w:highlight w:val="none"/>
              </w:rPr>
              <w:t>投标人须知</w:t>
            </w:r>
            <w:r>
              <w:rPr>
                <w:rFonts w:ascii="宋体" w:hAnsi="宋体"/>
                <w:color w:val="auto"/>
                <w:highlight w:val="none"/>
              </w:rPr>
              <w:t>”</w:t>
            </w:r>
            <w:r>
              <w:rPr>
                <w:rFonts w:hint="eastAsia" w:ascii="宋体" w:hAnsi="宋体"/>
                <w:color w:val="auto"/>
                <w:highlight w:val="none"/>
              </w:rPr>
              <w:t>第</w:t>
            </w:r>
            <w:r>
              <w:rPr>
                <w:rFonts w:ascii="宋体" w:hAnsi="宋体"/>
                <w:color w:val="auto"/>
                <w:highlight w:val="none"/>
              </w:rPr>
              <w:t>1.4.3</w:t>
            </w:r>
            <w:r>
              <w:rPr>
                <w:rFonts w:hint="eastAsia" w:ascii="宋体" w:hAnsi="宋体"/>
                <w:color w:val="auto"/>
                <w:highlight w:val="none"/>
              </w:rPr>
              <w:t>项规定的任何一种情形</w:t>
            </w:r>
          </w:p>
        </w:tc>
      </w:tr>
      <w:tr w14:paraId="0A0E5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2" w:hRule="atLeast"/>
          <w:jc w:val="center"/>
        </w:trPr>
        <w:tc>
          <w:tcPr>
            <w:tcW w:w="747" w:type="dxa"/>
            <w:vMerge w:val="restart"/>
            <w:tcBorders>
              <w:top w:val="single" w:color="auto" w:sz="4" w:space="0"/>
              <w:left w:val="single" w:color="auto" w:sz="4" w:space="0"/>
              <w:right w:val="single" w:color="auto" w:sz="4" w:space="0"/>
            </w:tcBorders>
            <w:vAlign w:val="center"/>
          </w:tcPr>
          <w:p w14:paraId="64A77D14">
            <w:pPr>
              <w:spacing w:line="360" w:lineRule="auto"/>
              <w:jc w:val="center"/>
              <w:rPr>
                <w:rFonts w:hint="eastAsia" w:ascii="宋体" w:hAnsi="宋体"/>
                <w:color w:val="auto"/>
                <w:highlight w:val="none"/>
              </w:rPr>
            </w:pPr>
            <w:r>
              <w:rPr>
                <w:rFonts w:ascii="宋体" w:hAnsi="宋体"/>
                <w:color w:val="auto"/>
                <w:highlight w:val="none"/>
              </w:rPr>
              <w:t>2.1.3</w:t>
            </w:r>
          </w:p>
        </w:tc>
        <w:tc>
          <w:tcPr>
            <w:tcW w:w="1096" w:type="dxa"/>
            <w:vMerge w:val="restart"/>
            <w:tcBorders>
              <w:top w:val="single" w:color="auto" w:sz="4" w:space="0"/>
              <w:left w:val="single" w:color="auto" w:sz="4" w:space="0"/>
              <w:right w:val="single" w:color="auto" w:sz="4" w:space="0"/>
            </w:tcBorders>
            <w:vAlign w:val="center"/>
          </w:tcPr>
          <w:p w14:paraId="7352A804">
            <w:pPr>
              <w:spacing w:line="360" w:lineRule="auto"/>
              <w:jc w:val="center"/>
              <w:rPr>
                <w:rFonts w:hint="eastAsia" w:ascii="宋体" w:hAnsi="宋体"/>
                <w:color w:val="auto"/>
                <w:highlight w:val="none"/>
              </w:rPr>
            </w:pPr>
            <w:r>
              <w:rPr>
                <w:rFonts w:hint="eastAsia" w:ascii="宋体" w:hAnsi="宋体"/>
                <w:color w:val="auto"/>
                <w:highlight w:val="none"/>
              </w:rPr>
              <w:t>响应性评审标准</w:t>
            </w:r>
          </w:p>
        </w:tc>
        <w:tc>
          <w:tcPr>
            <w:tcW w:w="1593" w:type="dxa"/>
            <w:tcBorders>
              <w:top w:val="single" w:color="auto" w:sz="4" w:space="0"/>
              <w:left w:val="single" w:color="auto" w:sz="4" w:space="0"/>
              <w:bottom w:val="single" w:color="auto" w:sz="4" w:space="0"/>
              <w:right w:val="single" w:color="auto" w:sz="4" w:space="0"/>
            </w:tcBorders>
            <w:vAlign w:val="center"/>
          </w:tcPr>
          <w:p w14:paraId="0346B61E">
            <w:pPr>
              <w:spacing w:line="360" w:lineRule="auto"/>
              <w:jc w:val="center"/>
              <w:rPr>
                <w:rFonts w:hint="eastAsia" w:ascii="宋体" w:hAnsi="宋体"/>
                <w:color w:val="auto"/>
                <w:highlight w:val="none"/>
              </w:rPr>
            </w:pPr>
            <w:r>
              <w:rPr>
                <w:rFonts w:hint="eastAsia" w:ascii="宋体" w:hAnsi="宋体"/>
                <w:color w:val="auto"/>
                <w:highlight w:val="none"/>
              </w:rPr>
              <w:t>投标报价</w:t>
            </w:r>
          </w:p>
        </w:tc>
        <w:tc>
          <w:tcPr>
            <w:tcW w:w="5965" w:type="dxa"/>
            <w:tcBorders>
              <w:top w:val="single" w:color="auto" w:sz="4" w:space="0"/>
              <w:left w:val="single" w:color="auto" w:sz="4" w:space="0"/>
              <w:bottom w:val="single" w:color="auto" w:sz="4" w:space="0"/>
              <w:right w:val="single" w:color="auto" w:sz="4" w:space="0"/>
            </w:tcBorders>
            <w:vAlign w:val="center"/>
          </w:tcPr>
          <w:p w14:paraId="0AEB5082">
            <w:pPr>
              <w:spacing w:line="360" w:lineRule="auto"/>
              <w:rPr>
                <w:rFonts w:hint="eastAsia" w:ascii="宋体" w:hAnsi="宋体"/>
                <w:color w:val="auto"/>
                <w:szCs w:val="21"/>
                <w:highlight w:val="none"/>
              </w:rPr>
            </w:pPr>
            <w:r>
              <w:rPr>
                <w:rFonts w:hint="eastAsia" w:ascii="宋体" w:hAnsi="宋体"/>
                <w:color w:val="auto"/>
                <w:szCs w:val="21"/>
                <w:highlight w:val="none"/>
              </w:rPr>
              <w:t>须同时满足以下条件：</w:t>
            </w:r>
          </w:p>
          <w:p w14:paraId="26071E62">
            <w:pPr>
              <w:widowControl/>
              <w:numPr>
                <w:ilvl w:val="0"/>
                <w:numId w:val="3"/>
              </w:numPr>
              <w:spacing w:line="360" w:lineRule="auto"/>
              <w:jc w:val="left"/>
              <w:rPr>
                <w:rFonts w:hint="eastAsia" w:ascii="宋体" w:hAnsi="宋体"/>
                <w:color w:val="auto"/>
                <w:szCs w:val="21"/>
                <w:highlight w:val="none"/>
              </w:rPr>
            </w:pPr>
            <w:r>
              <w:rPr>
                <w:rFonts w:hint="eastAsia" w:ascii="宋体" w:hAnsi="宋体"/>
                <w:color w:val="auto"/>
                <w:szCs w:val="21"/>
                <w:highlight w:val="none"/>
              </w:rPr>
              <w:t>投标人报价不得超过本次招标控制价；</w:t>
            </w:r>
          </w:p>
          <w:p w14:paraId="5CFDEF4A">
            <w:pPr>
              <w:widowControl/>
              <w:numPr>
                <w:ilvl w:val="0"/>
                <w:numId w:val="3"/>
              </w:numPr>
              <w:spacing w:line="360" w:lineRule="auto"/>
              <w:jc w:val="left"/>
              <w:rPr>
                <w:rFonts w:hint="eastAsia" w:ascii="宋体" w:hAnsi="宋体"/>
                <w:color w:val="auto"/>
                <w:szCs w:val="22"/>
                <w:highlight w:val="none"/>
              </w:rPr>
            </w:pPr>
            <w:r>
              <w:rPr>
                <w:rFonts w:hint="eastAsia" w:ascii="宋体" w:hAnsi="宋体"/>
                <w:color w:val="auto"/>
                <w:szCs w:val="22"/>
                <w:highlight w:val="none"/>
              </w:rPr>
              <w:t>按第六章“投标文件格式”的要求在投标函中进行报价并填写报价表；</w:t>
            </w:r>
          </w:p>
          <w:p w14:paraId="063A165B">
            <w:pPr>
              <w:numPr>
                <w:ilvl w:val="0"/>
                <w:numId w:val="3"/>
              </w:numPr>
              <w:spacing w:line="360" w:lineRule="auto"/>
              <w:rPr>
                <w:rFonts w:hint="eastAsia" w:ascii="宋体" w:hAnsi="宋体"/>
                <w:color w:val="auto"/>
                <w:szCs w:val="21"/>
                <w:highlight w:val="none"/>
              </w:rPr>
            </w:pPr>
            <w:r>
              <w:rPr>
                <w:rFonts w:hint="eastAsia" w:ascii="宋体" w:hAnsi="宋体"/>
                <w:color w:val="auto"/>
                <w:szCs w:val="21"/>
                <w:highlight w:val="none"/>
              </w:rPr>
              <w:t>对同一招标项目未出现两个或以上投标报价。</w:t>
            </w:r>
          </w:p>
        </w:tc>
      </w:tr>
      <w:tr w14:paraId="6BCE1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6" w:hRule="atLeast"/>
          <w:jc w:val="center"/>
        </w:trPr>
        <w:tc>
          <w:tcPr>
            <w:tcW w:w="747" w:type="dxa"/>
            <w:vMerge w:val="continue"/>
            <w:tcBorders>
              <w:left w:val="single" w:color="auto" w:sz="4" w:space="0"/>
              <w:right w:val="single" w:color="auto" w:sz="4" w:space="0"/>
            </w:tcBorders>
            <w:vAlign w:val="center"/>
          </w:tcPr>
          <w:p w14:paraId="0401D923">
            <w:pPr>
              <w:spacing w:line="360" w:lineRule="auto"/>
              <w:jc w:val="center"/>
              <w:rPr>
                <w:rFonts w:hint="eastAsia" w:ascii="宋体" w:hAnsi="宋体"/>
                <w:color w:val="auto"/>
                <w:highlight w:val="none"/>
              </w:rPr>
            </w:pPr>
          </w:p>
        </w:tc>
        <w:tc>
          <w:tcPr>
            <w:tcW w:w="1096" w:type="dxa"/>
            <w:vMerge w:val="continue"/>
            <w:tcBorders>
              <w:left w:val="single" w:color="auto" w:sz="4" w:space="0"/>
              <w:right w:val="single" w:color="auto" w:sz="4" w:space="0"/>
            </w:tcBorders>
            <w:vAlign w:val="center"/>
          </w:tcPr>
          <w:p w14:paraId="4AEFD154">
            <w:pPr>
              <w:spacing w:line="360" w:lineRule="auto"/>
              <w:jc w:val="center"/>
              <w:rPr>
                <w:rFonts w:hint="eastAsia" w:ascii="宋体" w:hAnsi="宋体"/>
                <w:color w:val="auto"/>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14:paraId="22775FE6">
            <w:pPr>
              <w:spacing w:line="360" w:lineRule="auto"/>
              <w:jc w:val="center"/>
              <w:rPr>
                <w:rFonts w:hint="eastAsia" w:ascii="宋体" w:hAnsi="宋体"/>
                <w:color w:val="auto"/>
                <w:highlight w:val="none"/>
              </w:rPr>
            </w:pPr>
            <w:r>
              <w:rPr>
                <w:rFonts w:hint="eastAsia" w:ascii="宋体" w:hAnsi="宋体"/>
                <w:color w:val="auto"/>
                <w:highlight w:val="none"/>
              </w:rPr>
              <w:t>投标有效期</w:t>
            </w:r>
          </w:p>
        </w:tc>
        <w:tc>
          <w:tcPr>
            <w:tcW w:w="5965" w:type="dxa"/>
            <w:tcBorders>
              <w:top w:val="single" w:color="auto" w:sz="4" w:space="0"/>
              <w:left w:val="single" w:color="auto" w:sz="4" w:space="0"/>
              <w:bottom w:val="single" w:color="auto" w:sz="4" w:space="0"/>
              <w:right w:val="single" w:color="auto" w:sz="4" w:space="0"/>
            </w:tcBorders>
            <w:vAlign w:val="center"/>
          </w:tcPr>
          <w:p w14:paraId="477CC155">
            <w:pPr>
              <w:spacing w:line="360" w:lineRule="auto"/>
              <w:rPr>
                <w:rFonts w:hint="eastAsia" w:ascii="宋体" w:hAnsi="宋体"/>
                <w:strike/>
                <w:color w:val="auto"/>
                <w:highlight w:val="none"/>
              </w:rPr>
            </w:pPr>
            <w:r>
              <w:rPr>
                <w:rFonts w:hint="eastAsia" w:ascii="宋体" w:hAnsi="宋体"/>
                <w:color w:val="auto"/>
                <w:highlight w:val="none"/>
              </w:rPr>
              <w:t>符合第二章</w:t>
            </w:r>
            <w:r>
              <w:rPr>
                <w:rFonts w:ascii="宋体" w:hAnsi="宋体"/>
                <w:color w:val="auto"/>
                <w:highlight w:val="none"/>
              </w:rPr>
              <w:t>“</w:t>
            </w:r>
            <w:r>
              <w:rPr>
                <w:rFonts w:hint="eastAsia" w:ascii="宋体" w:hAnsi="宋体"/>
                <w:color w:val="auto"/>
                <w:highlight w:val="none"/>
              </w:rPr>
              <w:t>投标人须知</w:t>
            </w:r>
            <w:r>
              <w:rPr>
                <w:rFonts w:ascii="宋体" w:hAnsi="宋体"/>
                <w:color w:val="auto"/>
                <w:highlight w:val="none"/>
              </w:rPr>
              <w:t>”</w:t>
            </w:r>
            <w:r>
              <w:rPr>
                <w:rFonts w:hint="eastAsia" w:ascii="宋体" w:hAnsi="宋体"/>
                <w:color w:val="auto"/>
                <w:highlight w:val="none"/>
              </w:rPr>
              <w:t>第</w:t>
            </w:r>
            <w:r>
              <w:rPr>
                <w:rFonts w:ascii="宋体" w:hAnsi="宋体"/>
                <w:color w:val="auto"/>
                <w:highlight w:val="none"/>
              </w:rPr>
              <w:t>3.3.1</w:t>
            </w:r>
            <w:r>
              <w:rPr>
                <w:rFonts w:hint="eastAsia" w:ascii="宋体" w:hAnsi="宋体"/>
                <w:color w:val="auto"/>
                <w:highlight w:val="none"/>
              </w:rPr>
              <w:t>项规定</w:t>
            </w:r>
          </w:p>
        </w:tc>
      </w:tr>
      <w:tr w14:paraId="30C0D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4" w:hRule="atLeast"/>
          <w:jc w:val="center"/>
        </w:trPr>
        <w:tc>
          <w:tcPr>
            <w:tcW w:w="747" w:type="dxa"/>
            <w:vMerge w:val="continue"/>
            <w:tcBorders>
              <w:left w:val="single" w:color="auto" w:sz="4" w:space="0"/>
              <w:right w:val="single" w:color="auto" w:sz="4" w:space="0"/>
            </w:tcBorders>
            <w:vAlign w:val="center"/>
          </w:tcPr>
          <w:p w14:paraId="29D9A1AE">
            <w:pPr>
              <w:widowControl/>
              <w:spacing w:line="360" w:lineRule="auto"/>
              <w:jc w:val="left"/>
              <w:rPr>
                <w:rFonts w:hint="eastAsia" w:ascii="宋体" w:hAnsi="宋体"/>
                <w:color w:val="auto"/>
                <w:highlight w:val="none"/>
              </w:rPr>
            </w:pPr>
          </w:p>
        </w:tc>
        <w:tc>
          <w:tcPr>
            <w:tcW w:w="1096" w:type="dxa"/>
            <w:vMerge w:val="continue"/>
            <w:tcBorders>
              <w:left w:val="single" w:color="auto" w:sz="4" w:space="0"/>
              <w:right w:val="single" w:color="auto" w:sz="4" w:space="0"/>
            </w:tcBorders>
            <w:vAlign w:val="center"/>
          </w:tcPr>
          <w:p w14:paraId="61C41DFA">
            <w:pPr>
              <w:widowControl/>
              <w:spacing w:line="360" w:lineRule="auto"/>
              <w:jc w:val="left"/>
              <w:rPr>
                <w:rFonts w:hint="eastAsia" w:ascii="宋体" w:hAnsi="宋体"/>
                <w:color w:val="auto"/>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14:paraId="002149EE">
            <w:pPr>
              <w:spacing w:line="360" w:lineRule="auto"/>
              <w:jc w:val="center"/>
              <w:rPr>
                <w:rFonts w:hint="eastAsia" w:ascii="宋体" w:hAnsi="宋体"/>
                <w:strike/>
                <w:color w:val="auto"/>
                <w:highlight w:val="none"/>
              </w:rPr>
            </w:pPr>
            <w:r>
              <w:rPr>
                <w:rFonts w:hint="eastAsia" w:ascii="宋体" w:hAnsi="宋体"/>
                <w:color w:val="auto"/>
                <w:highlight w:val="none"/>
              </w:rPr>
              <w:t>投标保证金</w:t>
            </w:r>
          </w:p>
        </w:tc>
        <w:tc>
          <w:tcPr>
            <w:tcW w:w="5965" w:type="dxa"/>
            <w:tcBorders>
              <w:top w:val="single" w:color="auto" w:sz="4" w:space="0"/>
              <w:left w:val="single" w:color="auto" w:sz="4" w:space="0"/>
              <w:bottom w:val="single" w:color="auto" w:sz="4" w:space="0"/>
              <w:right w:val="single" w:color="auto" w:sz="4" w:space="0"/>
            </w:tcBorders>
            <w:vAlign w:val="center"/>
          </w:tcPr>
          <w:p w14:paraId="5632F93C">
            <w:pPr>
              <w:spacing w:line="360" w:lineRule="auto"/>
              <w:jc w:val="left"/>
              <w:rPr>
                <w:rFonts w:hint="eastAsia" w:ascii="宋体" w:hAnsi="宋体"/>
                <w:strike/>
                <w:color w:val="auto"/>
                <w:highlight w:val="none"/>
              </w:rPr>
            </w:pPr>
            <w:r>
              <w:rPr>
                <w:rFonts w:hint="eastAsia" w:ascii="宋体" w:hAnsi="宋体"/>
                <w:color w:val="auto"/>
                <w:highlight w:val="none"/>
              </w:rPr>
              <w:t>符合第二章</w:t>
            </w:r>
            <w:r>
              <w:rPr>
                <w:rFonts w:ascii="宋体" w:hAnsi="宋体"/>
                <w:color w:val="auto"/>
                <w:highlight w:val="none"/>
              </w:rPr>
              <w:t>“</w:t>
            </w:r>
            <w:r>
              <w:rPr>
                <w:rFonts w:hint="eastAsia" w:ascii="宋体" w:hAnsi="宋体"/>
                <w:color w:val="auto"/>
                <w:highlight w:val="none"/>
              </w:rPr>
              <w:t>投标人须知</w:t>
            </w:r>
            <w:r>
              <w:rPr>
                <w:rFonts w:ascii="宋体" w:hAnsi="宋体"/>
                <w:color w:val="auto"/>
                <w:highlight w:val="none"/>
              </w:rPr>
              <w:t>”</w:t>
            </w:r>
            <w:r>
              <w:rPr>
                <w:rFonts w:hint="eastAsia" w:ascii="宋体" w:hAnsi="宋体"/>
                <w:color w:val="auto"/>
                <w:highlight w:val="none"/>
              </w:rPr>
              <w:t>第</w:t>
            </w:r>
            <w:r>
              <w:rPr>
                <w:rFonts w:ascii="宋体" w:hAnsi="宋体"/>
                <w:color w:val="auto"/>
                <w:highlight w:val="none"/>
              </w:rPr>
              <w:t>3.4.1</w:t>
            </w:r>
            <w:r>
              <w:rPr>
                <w:rFonts w:hint="eastAsia" w:ascii="宋体" w:hAnsi="宋体"/>
                <w:color w:val="auto"/>
                <w:highlight w:val="none"/>
              </w:rPr>
              <w:t>项规定</w:t>
            </w:r>
          </w:p>
        </w:tc>
      </w:tr>
      <w:tr w14:paraId="00BB9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jc w:val="center"/>
        </w:trPr>
        <w:tc>
          <w:tcPr>
            <w:tcW w:w="747" w:type="dxa"/>
            <w:vMerge w:val="continue"/>
            <w:tcBorders>
              <w:left w:val="single" w:color="auto" w:sz="4" w:space="0"/>
              <w:right w:val="single" w:color="auto" w:sz="4" w:space="0"/>
            </w:tcBorders>
            <w:vAlign w:val="center"/>
          </w:tcPr>
          <w:p w14:paraId="45309B98">
            <w:pPr>
              <w:widowControl/>
              <w:spacing w:line="360" w:lineRule="auto"/>
              <w:jc w:val="left"/>
              <w:rPr>
                <w:rFonts w:hint="eastAsia" w:ascii="宋体" w:hAnsi="宋体"/>
                <w:color w:val="auto"/>
                <w:highlight w:val="none"/>
              </w:rPr>
            </w:pPr>
          </w:p>
        </w:tc>
        <w:tc>
          <w:tcPr>
            <w:tcW w:w="1096" w:type="dxa"/>
            <w:vMerge w:val="continue"/>
            <w:tcBorders>
              <w:left w:val="single" w:color="auto" w:sz="4" w:space="0"/>
              <w:right w:val="single" w:color="auto" w:sz="4" w:space="0"/>
            </w:tcBorders>
            <w:vAlign w:val="center"/>
          </w:tcPr>
          <w:p w14:paraId="4BED63E3">
            <w:pPr>
              <w:widowControl/>
              <w:spacing w:line="360" w:lineRule="auto"/>
              <w:jc w:val="left"/>
              <w:rPr>
                <w:rFonts w:hint="eastAsia" w:ascii="宋体" w:hAnsi="宋体"/>
                <w:color w:val="auto"/>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14:paraId="57FAFD70">
            <w:pPr>
              <w:spacing w:line="360" w:lineRule="auto"/>
              <w:jc w:val="center"/>
              <w:rPr>
                <w:rFonts w:hint="eastAsia" w:ascii="宋体" w:hAnsi="宋体"/>
                <w:strike/>
                <w:color w:val="auto"/>
                <w:highlight w:val="none"/>
              </w:rPr>
            </w:pPr>
            <w:r>
              <w:rPr>
                <w:rFonts w:hint="eastAsia" w:ascii="宋体" w:hAnsi="宋体"/>
                <w:color w:val="auto"/>
                <w:highlight w:val="none"/>
              </w:rPr>
              <w:t>响应合同条款</w:t>
            </w:r>
          </w:p>
        </w:tc>
        <w:tc>
          <w:tcPr>
            <w:tcW w:w="5965" w:type="dxa"/>
            <w:tcBorders>
              <w:top w:val="single" w:color="auto" w:sz="4" w:space="0"/>
              <w:left w:val="single" w:color="auto" w:sz="4" w:space="0"/>
              <w:bottom w:val="single" w:color="auto" w:sz="4" w:space="0"/>
              <w:right w:val="single" w:color="auto" w:sz="4" w:space="0"/>
            </w:tcBorders>
            <w:vAlign w:val="center"/>
          </w:tcPr>
          <w:p w14:paraId="63D67A88">
            <w:pPr>
              <w:spacing w:line="360" w:lineRule="auto"/>
              <w:jc w:val="left"/>
              <w:rPr>
                <w:rFonts w:hint="eastAsia" w:ascii="宋体" w:hAnsi="宋体"/>
                <w:strike/>
                <w:color w:val="auto"/>
                <w:highlight w:val="none"/>
              </w:rPr>
            </w:pPr>
            <w:r>
              <w:rPr>
                <w:rFonts w:hint="eastAsia" w:ascii="宋体" w:hAnsi="宋体"/>
                <w:color w:val="auto"/>
                <w:highlight w:val="none"/>
              </w:rPr>
              <w:t>符合第六章</w:t>
            </w:r>
            <w:r>
              <w:rPr>
                <w:rFonts w:ascii="宋体" w:hAnsi="宋体"/>
                <w:color w:val="auto"/>
                <w:highlight w:val="none"/>
              </w:rPr>
              <w:t>“</w:t>
            </w:r>
            <w:r>
              <w:rPr>
                <w:rFonts w:hint="eastAsia" w:ascii="宋体" w:hAnsi="宋体"/>
                <w:color w:val="auto"/>
                <w:highlight w:val="none"/>
              </w:rPr>
              <w:t>投标文件格式</w:t>
            </w:r>
            <w:r>
              <w:rPr>
                <w:rFonts w:ascii="宋体" w:hAnsi="宋体"/>
                <w:color w:val="auto"/>
                <w:highlight w:val="none"/>
              </w:rPr>
              <w:t>”</w:t>
            </w:r>
            <w:r>
              <w:rPr>
                <w:rFonts w:hint="eastAsia" w:ascii="宋体" w:hAnsi="宋体"/>
                <w:color w:val="auto"/>
                <w:highlight w:val="none"/>
              </w:rPr>
              <w:t>的规定，提交合同条款响应性承诺书</w:t>
            </w:r>
          </w:p>
        </w:tc>
      </w:tr>
    </w:tbl>
    <w:p w14:paraId="27AC2382">
      <w:pPr>
        <w:jc w:val="left"/>
        <w:rPr>
          <w:color w:val="auto"/>
          <w:highlight w:val="none"/>
        </w:rPr>
      </w:pPr>
      <w:bookmarkStart w:id="586" w:name="_Toc529891900"/>
    </w:p>
    <w:p w14:paraId="01F37366">
      <w:pPr>
        <w:jc w:val="center"/>
        <w:rPr>
          <w:rFonts w:hint="eastAsia" w:ascii="宋体" w:hAnsi="宋体"/>
          <w:b/>
          <w:bCs/>
          <w:color w:val="auto"/>
          <w:kern w:val="0"/>
          <w:sz w:val="24"/>
          <w:szCs w:val="32"/>
          <w:highlight w:val="none"/>
        </w:rPr>
      </w:pPr>
      <w:r>
        <w:rPr>
          <w:rFonts w:hint="eastAsia" w:ascii="宋体" w:hAnsi="宋体"/>
          <w:b/>
          <w:bCs/>
          <w:color w:val="auto"/>
          <w:kern w:val="0"/>
          <w:sz w:val="24"/>
          <w:szCs w:val="32"/>
          <w:highlight w:val="none"/>
        </w:rPr>
        <w:t>详细评审</w:t>
      </w:r>
      <w:bookmarkEnd w:id="586"/>
    </w:p>
    <w:tbl>
      <w:tblPr>
        <w:tblStyle w:val="21"/>
        <w:tblW w:w="94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
        <w:gridCol w:w="1760"/>
        <w:gridCol w:w="6808"/>
      </w:tblGrid>
      <w:tr w14:paraId="62DF1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512F2E79">
            <w:pPr>
              <w:spacing w:line="360" w:lineRule="auto"/>
              <w:jc w:val="center"/>
              <w:rPr>
                <w:rFonts w:hint="eastAsia" w:ascii="宋体" w:hAnsi="宋体"/>
                <w:b/>
                <w:color w:val="auto"/>
                <w:highlight w:val="none"/>
              </w:rPr>
            </w:pPr>
            <w:r>
              <w:rPr>
                <w:rFonts w:hint="eastAsia" w:ascii="宋体" w:hAnsi="宋体"/>
                <w:b/>
                <w:color w:val="auto"/>
                <w:highlight w:val="none"/>
              </w:rPr>
              <w:t>条款号</w:t>
            </w:r>
          </w:p>
        </w:tc>
        <w:tc>
          <w:tcPr>
            <w:tcW w:w="1760" w:type="dxa"/>
            <w:tcBorders>
              <w:top w:val="single" w:color="auto" w:sz="4" w:space="0"/>
              <w:left w:val="single" w:color="auto" w:sz="4" w:space="0"/>
              <w:bottom w:val="single" w:color="auto" w:sz="4" w:space="0"/>
              <w:right w:val="single" w:color="auto" w:sz="4" w:space="0"/>
            </w:tcBorders>
            <w:vAlign w:val="center"/>
          </w:tcPr>
          <w:p w14:paraId="52064D39">
            <w:pPr>
              <w:spacing w:line="360" w:lineRule="auto"/>
              <w:jc w:val="center"/>
              <w:rPr>
                <w:rFonts w:hint="eastAsia" w:ascii="宋体" w:hAnsi="宋体"/>
                <w:b/>
                <w:color w:val="auto"/>
                <w:highlight w:val="none"/>
              </w:rPr>
            </w:pPr>
            <w:r>
              <w:rPr>
                <w:rFonts w:hint="eastAsia" w:ascii="宋体" w:hAnsi="宋体"/>
                <w:b/>
                <w:color w:val="auto"/>
                <w:highlight w:val="none"/>
              </w:rPr>
              <w:t>条款内容</w:t>
            </w:r>
          </w:p>
        </w:tc>
        <w:tc>
          <w:tcPr>
            <w:tcW w:w="6808" w:type="dxa"/>
            <w:tcBorders>
              <w:top w:val="single" w:color="auto" w:sz="4" w:space="0"/>
              <w:left w:val="single" w:color="auto" w:sz="4" w:space="0"/>
              <w:bottom w:val="single" w:color="auto" w:sz="4" w:space="0"/>
              <w:right w:val="single" w:color="auto" w:sz="4" w:space="0"/>
            </w:tcBorders>
            <w:vAlign w:val="center"/>
          </w:tcPr>
          <w:p w14:paraId="7FD4B284">
            <w:pPr>
              <w:spacing w:line="360" w:lineRule="auto"/>
              <w:jc w:val="center"/>
              <w:rPr>
                <w:rFonts w:hint="eastAsia" w:ascii="宋体" w:hAnsi="宋体"/>
                <w:b/>
                <w:color w:val="auto"/>
                <w:highlight w:val="none"/>
              </w:rPr>
            </w:pPr>
            <w:r>
              <w:rPr>
                <w:rFonts w:hint="eastAsia" w:ascii="宋体" w:hAnsi="宋体"/>
                <w:b/>
                <w:color w:val="auto"/>
                <w:highlight w:val="none"/>
              </w:rPr>
              <w:t>编列内容</w:t>
            </w:r>
          </w:p>
        </w:tc>
      </w:tr>
      <w:tr w14:paraId="79499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9" w:hRule="atLeast"/>
          <w:jc w:val="center"/>
        </w:trPr>
        <w:tc>
          <w:tcPr>
            <w:tcW w:w="904" w:type="dxa"/>
            <w:tcBorders>
              <w:top w:val="nil"/>
              <w:left w:val="single" w:color="auto" w:sz="4" w:space="0"/>
              <w:bottom w:val="single" w:color="auto" w:sz="4" w:space="0"/>
              <w:right w:val="single" w:color="auto" w:sz="4" w:space="0"/>
            </w:tcBorders>
            <w:vAlign w:val="center"/>
          </w:tcPr>
          <w:p w14:paraId="0C38B37A">
            <w:pPr>
              <w:spacing w:line="360" w:lineRule="auto"/>
              <w:jc w:val="center"/>
              <w:rPr>
                <w:rFonts w:hint="eastAsia" w:ascii="宋体" w:hAnsi="宋体"/>
                <w:color w:val="auto"/>
                <w:highlight w:val="none"/>
              </w:rPr>
            </w:pPr>
            <w:r>
              <w:rPr>
                <w:rFonts w:ascii="宋体" w:hAnsi="宋体"/>
                <w:color w:val="auto"/>
                <w:highlight w:val="none"/>
              </w:rPr>
              <w:t>2.2.1</w:t>
            </w:r>
          </w:p>
        </w:tc>
        <w:tc>
          <w:tcPr>
            <w:tcW w:w="1760" w:type="dxa"/>
            <w:tcBorders>
              <w:top w:val="single" w:color="auto" w:sz="4" w:space="0"/>
              <w:left w:val="single" w:color="auto" w:sz="4" w:space="0"/>
              <w:bottom w:val="single" w:color="auto" w:sz="4" w:space="0"/>
              <w:right w:val="single" w:color="auto" w:sz="4" w:space="0"/>
            </w:tcBorders>
            <w:vAlign w:val="center"/>
          </w:tcPr>
          <w:p w14:paraId="0BEF3E16">
            <w:pPr>
              <w:spacing w:line="360" w:lineRule="auto"/>
              <w:jc w:val="center"/>
              <w:rPr>
                <w:rFonts w:hint="eastAsia" w:ascii="宋体" w:hAnsi="宋体"/>
                <w:color w:val="auto"/>
                <w:highlight w:val="none"/>
              </w:rPr>
            </w:pPr>
            <w:r>
              <w:rPr>
                <w:rFonts w:hint="eastAsia" w:ascii="宋体" w:hAnsi="宋体"/>
                <w:color w:val="auto"/>
                <w:highlight w:val="none"/>
              </w:rPr>
              <w:t>分值构成</w:t>
            </w:r>
          </w:p>
          <w:p w14:paraId="679A199A">
            <w:pPr>
              <w:spacing w:line="360" w:lineRule="auto"/>
              <w:jc w:val="center"/>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总分</w:t>
            </w:r>
            <w:r>
              <w:rPr>
                <w:rFonts w:ascii="宋体" w:hAnsi="宋体"/>
                <w:color w:val="auto"/>
                <w:highlight w:val="none"/>
              </w:rPr>
              <w:t>100</w:t>
            </w:r>
            <w:r>
              <w:rPr>
                <w:rFonts w:hint="eastAsia" w:ascii="宋体" w:hAnsi="宋体"/>
                <w:color w:val="auto"/>
                <w:highlight w:val="none"/>
              </w:rPr>
              <w:t>分</w:t>
            </w:r>
            <w:r>
              <w:rPr>
                <w:rFonts w:ascii="宋体" w:hAnsi="宋体"/>
                <w:color w:val="auto"/>
                <w:highlight w:val="none"/>
              </w:rPr>
              <w:t>)</w:t>
            </w:r>
          </w:p>
        </w:tc>
        <w:tc>
          <w:tcPr>
            <w:tcW w:w="6808" w:type="dxa"/>
            <w:tcBorders>
              <w:top w:val="single" w:color="auto" w:sz="4" w:space="0"/>
              <w:left w:val="single" w:color="auto" w:sz="4" w:space="0"/>
              <w:bottom w:val="single" w:color="auto" w:sz="4" w:space="0"/>
              <w:right w:val="single" w:color="auto" w:sz="4" w:space="0"/>
            </w:tcBorders>
            <w:vAlign w:val="center"/>
          </w:tcPr>
          <w:p w14:paraId="2897B217">
            <w:pPr>
              <w:spacing w:line="360" w:lineRule="auto"/>
              <w:rPr>
                <w:rFonts w:hint="eastAsia" w:ascii="宋体" w:hAnsi="宋体"/>
                <w:color w:val="auto"/>
                <w:highlight w:val="none"/>
              </w:rPr>
            </w:pPr>
            <w:r>
              <w:rPr>
                <w:rFonts w:hint="eastAsia" w:ascii="宋体" w:hAnsi="宋体"/>
                <w:color w:val="auto"/>
                <w:highlight w:val="none"/>
              </w:rPr>
              <w:t>综合评分法采用百分制，根据第三章</w:t>
            </w:r>
            <w:r>
              <w:rPr>
                <w:rFonts w:ascii="宋体" w:hAnsi="宋体"/>
                <w:color w:val="auto"/>
                <w:highlight w:val="none"/>
              </w:rPr>
              <w:t>3.2.3</w:t>
            </w:r>
            <w:r>
              <w:rPr>
                <w:rFonts w:hint="eastAsia" w:ascii="宋体" w:hAnsi="宋体"/>
                <w:color w:val="auto"/>
                <w:highlight w:val="none"/>
              </w:rPr>
              <w:t>款规定，</w:t>
            </w:r>
            <w:r>
              <w:rPr>
                <w:rFonts w:hint="eastAsia" w:ascii="宋体" w:hAnsi="宋体" w:cs="宋体"/>
                <w:color w:val="auto"/>
                <w:szCs w:val="21"/>
                <w:highlight w:val="none"/>
              </w:rPr>
              <w:t>投标人总得分</w:t>
            </w:r>
            <w:r>
              <w:rPr>
                <w:rFonts w:ascii="宋体" w:hAnsi="宋体" w:cs="宋体"/>
                <w:color w:val="auto"/>
                <w:szCs w:val="21"/>
                <w:highlight w:val="none"/>
              </w:rPr>
              <w:t>=</w:t>
            </w:r>
            <w:r>
              <w:rPr>
                <w:rFonts w:hint="eastAsia" w:ascii="宋体" w:hAnsi="宋体"/>
                <w:color w:val="auto"/>
                <w:highlight w:val="none"/>
              </w:rPr>
              <w:t>商务部分得分（</w:t>
            </w:r>
            <w:r>
              <w:rPr>
                <w:rFonts w:ascii="宋体" w:hAnsi="宋体"/>
                <w:color w:val="auto"/>
                <w:highlight w:val="none"/>
              </w:rPr>
              <w:t>A</w:t>
            </w:r>
            <w:r>
              <w:rPr>
                <w:rFonts w:hint="eastAsia" w:ascii="宋体" w:hAnsi="宋体"/>
                <w:color w:val="auto"/>
                <w:highlight w:val="none"/>
              </w:rPr>
              <w:t xml:space="preserve">） </w:t>
            </w:r>
            <w:r>
              <w:rPr>
                <w:rFonts w:ascii="宋体" w:hAnsi="宋体"/>
                <w:color w:val="auto"/>
                <w:highlight w:val="none"/>
              </w:rPr>
              <w:t>+</w:t>
            </w:r>
            <w:r>
              <w:rPr>
                <w:rFonts w:hint="eastAsia" w:ascii="宋体" w:hAnsi="宋体"/>
                <w:color w:val="auto"/>
                <w:highlight w:val="none"/>
              </w:rPr>
              <w:t xml:space="preserve"> </w:t>
            </w:r>
            <w:r>
              <w:rPr>
                <w:rFonts w:hint="eastAsia" w:ascii="宋体" w:hAnsi="宋体"/>
                <w:color w:val="auto"/>
                <w:szCs w:val="21"/>
                <w:highlight w:val="none"/>
              </w:rPr>
              <w:t>技术部分</w:t>
            </w:r>
            <w:r>
              <w:rPr>
                <w:rFonts w:hint="eastAsia" w:ascii="宋体" w:hAnsi="宋体"/>
                <w:color w:val="auto"/>
                <w:highlight w:val="none"/>
              </w:rPr>
              <w:t>得分（</w:t>
            </w:r>
            <w:r>
              <w:rPr>
                <w:rFonts w:ascii="宋体" w:hAnsi="宋体"/>
                <w:color w:val="auto"/>
                <w:highlight w:val="none"/>
              </w:rPr>
              <w:t>B</w:t>
            </w:r>
            <w:r>
              <w:rPr>
                <w:rFonts w:hint="eastAsia" w:ascii="宋体" w:hAnsi="宋体"/>
                <w:color w:val="auto"/>
                <w:highlight w:val="none"/>
              </w:rPr>
              <w:t>）</w:t>
            </w:r>
            <w:r>
              <w:rPr>
                <w:rFonts w:ascii="宋体" w:hAnsi="宋体"/>
                <w:color w:val="auto"/>
                <w:highlight w:val="none"/>
              </w:rPr>
              <w:t xml:space="preserve"> + </w:t>
            </w:r>
            <w:r>
              <w:rPr>
                <w:rFonts w:hint="eastAsia" w:ascii="宋体" w:hAnsi="宋体"/>
                <w:color w:val="auto"/>
                <w:highlight w:val="none"/>
              </w:rPr>
              <w:t>投标报价部分得分（</w:t>
            </w:r>
            <w:r>
              <w:rPr>
                <w:rFonts w:ascii="宋体" w:hAnsi="宋体"/>
                <w:color w:val="auto"/>
                <w:highlight w:val="none"/>
              </w:rPr>
              <w:t>C</w:t>
            </w:r>
            <w:r>
              <w:rPr>
                <w:rFonts w:hint="eastAsia" w:ascii="宋体" w:hAnsi="宋体"/>
                <w:color w:val="auto"/>
                <w:highlight w:val="none"/>
              </w:rPr>
              <w:t>）</w:t>
            </w:r>
          </w:p>
          <w:p w14:paraId="4266CDCD">
            <w:pPr>
              <w:snapToGrid w:val="0"/>
              <w:spacing w:line="360" w:lineRule="auto"/>
              <w:jc w:val="left"/>
              <w:rPr>
                <w:rFonts w:hint="eastAsia" w:ascii="宋体" w:hAnsi="宋体"/>
                <w:b/>
                <w:color w:val="auto"/>
                <w:highlight w:val="none"/>
              </w:rPr>
            </w:pPr>
            <w:r>
              <w:rPr>
                <w:rFonts w:hint="eastAsia" w:ascii="宋体" w:hAnsi="宋体"/>
                <w:b/>
                <w:color w:val="auto"/>
                <w:highlight w:val="none"/>
              </w:rPr>
              <w:t>其中：</w:t>
            </w:r>
          </w:p>
          <w:p w14:paraId="61854F43">
            <w:pPr>
              <w:snapToGrid w:val="0"/>
              <w:spacing w:line="360" w:lineRule="auto"/>
              <w:rPr>
                <w:rFonts w:hint="eastAsia" w:ascii="宋体" w:hAnsi="宋体"/>
                <w:color w:val="auto"/>
                <w:highlight w:val="none"/>
              </w:rPr>
            </w:pPr>
            <w:r>
              <w:rPr>
                <w:rFonts w:hint="eastAsia" w:ascii="宋体" w:hAnsi="宋体"/>
                <w:b/>
                <w:color w:val="auto"/>
                <w:highlight w:val="none"/>
              </w:rPr>
              <w:t>商务部分（</w:t>
            </w:r>
            <w:r>
              <w:rPr>
                <w:rFonts w:ascii="宋体" w:hAnsi="宋体"/>
                <w:b/>
                <w:color w:val="auto"/>
                <w:highlight w:val="none"/>
              </w:rPr>
              <w:t>A</w:t>
            </w:r>
            <w:r>
              <w:rPr>
                <w:rFonts w:hint="eastAsia" w:ascii="宋体" w:hAnsi="宋体"/>
                <w:b/>
                <w:color w:val="auto"/>
                <w:highlight w:val="none"/>
              </w:rPr>
              <w:t>）</w:t>
            </w:r>
            <w:r>
              <w:rPr>
                <w:rFonts w:hint="eastAsia" w:ascii="宋体" w:hAnsi="宋体"/>
                <w:color w:val="auto"/>
                <w:highlight w:val="none"/>
              </w:rPr>
              <w:t>：</w:t>
            </w:r>
            <w:r>
              <w:rPr>
                <w:rFonts w:hint="eastAsia" w:ascii="宋体" w:hAnsi="宋体"/>
                <w:color w:val="auto"/>
                <w:highlight w:val="none"/>
                <w:u w:val="single"/>
              </w:rPr>
              <w:t>25分；</w:t>
            </w:r>
          </w:p>
          <w:p w14:paraId="0A82DE88">
            <w:pPr>
              <w:snapToGrid w:val="0"/>
              <w:spacing w:line="360" w:lineRule="auto"/>
              <w:rPr>
                <w:rFonts w:hint="eastAsia" w:ascii="宋体" w:hAnsi="宋体"/>
                <w:color w:val="auto"/>
                <w:highlight w:val="none"/>
              </w:rPr>
            </w:pPr>
            <w:r>
              <w:rPr>
                <w:rFonts w:hint="eastAsia" w:ascii="宋体" w:hAnsi="宋体"/>
                <w:b/>
                <w:color w:val="auto"/>
                <w:szCs w:val="21"/>
                <w:highlight w:val="none"/>
              </w:rPr>
              <w:t>技术</w:t>
            </w:r>
            <w:r>
              <w:rPr>
                <w:rFonts w:hint="eastAsia" w:ascii="宋体" w:hAnsi="宋体"/>
                <w:b/>
                <w:color w:val="auto"/>
                <w:highlight w:val="none"/>
              </w:rPr>
              <w:t>部分（</w:t>
            </w:r>
            <w:r>
              <w:rPr>
                <w:rFonts w:ascii="宋体" w:hAnsi="宋体"/>
                <w:b/>
                <w:color w:val="auto"/>
                <w:highlight w:val="none"/>
              </w:rPr>
              <w:t>B</w:t>
            </w:r>
            <w:r>
              <w:rPr>
                <w:rFonts w:hint="eastAsia" w:ascii="宋体" w:hAnsi="宋体"/>
                <w:b/>
                <w:color w:val="auto"/>
                <w:highlight w:val="none"/>
              </w:rPr>
              <w:t>）</w:t>
            </w:r>
            <w:r>
              <w:rPr>
                <w:rFonts w:hint="eastAsia" w:ascii="宋体" w:hAnsi="宋体"/>
                <w:color w:val="auto"/>
                <w:highlight w:val="none"/>
                <w:u w:val="single"/>
              </w:rPr>
              <w:t>：55分；</w:t>
            </w:r>
          </w:p>
          <w:p w14:paraId="535F62C5">
            <w:pPr>
              <w:snapToGrid w:val="0"/>
              <w:spacing w:line="360" w:lineRule="auto"/>
              <w:rPr>
                <w:rFonts w:hint="eastAsia" w:ascii="宋体" w:hAnsi="宋体"/>
                <w:color w:val="auto"/>
                <w:highlight w:val="none"/>
              </w:rPr>
            </w:pPr>
            <w:r>
              <w:rPr>
                <w:rFonts w:hint="eastAsia" w:ascii="宋体" w:hAnsi="宋体"/>
                <w:b/>
                <w:color w:val="auto"/>
                <w:highlight w:val="none"/>
              </w:rPr>
              <w:t>投标报价部分</w:t>
            </w:r>
            <w:r>
              <w:rPr>
                <w:rFonts w:hint="eastAsia" w:ascii="宋体" w:hAnsi="宋体"/>
                <w:color w:val="auto"/>
                <w:highlight w:val="none"/>
              </w:rPr>
              <w:t>（</w:t>
            </w:r>
            <w:r>
              <w:rPr>
                <w:rFonts w:ascii="宋体" w:hAnsi="宋体"/>
                <w:color w:val="auto"/>
                <w:highlight w:val="none"/>
              </w:rPr>
              <w:t>C</w:t>
            </w:r>
            <w:r>
              <w:rPr>
                <w:rFonts w:hint="eastAsia" w:ascii="宋体" w:hAnsi="宋体"/>
                <w:color w:val="auto"/>
                <w:highlight w:val="none"/>
              </w:rPr>
              <w:t>）：</w:t>
            </w:r>
            <w:r>
              <w:rPr>
                <w:rFonts w:hint="eastAsia" w:ascii="宋体" w:hAnsi="宋体"/>
                <w:color w:val="auto"/>
                <w:highlight w:val="none"/>
                <w:u w:val="single"/>
              </w:rPr>
              <w:t>20分。</w:t>
            </w:r>
          </w:p>
        </w:tc>
      </w:tr>
      <w:tr w14:paraId="6E2D4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5DCD8BCA">
            <w:pPr>
              <w:spacing w:line="360" w:lineRule="auto"/>
              <w:jc w:val="center"/>
              <w:rPr>
                <w:rFonts w:hint="eastAsia" w:ascii="宋体" w:hAnsi="宋体"/>
                <w:color w:val="auto"/>
                <w:highlight w:val="none"/>
              </w:rPr>
            </w:pPr>
            <w:r>
              <w:rPr>
                <w:rFonts w:ascii="宋体" w:hAnsi="宋体"/>
                <w:color w:val="auto"/>
                <w:highlight w:val="none"/>
              </w:rPr>
              <w:t>2.2.2</w:t>
            </w:r>
          </w:p>
        </w:tc>
        <w:tc>
          <w:tcPr>
            <w:tcW w:w="1760" w:type="dxa"/>
            <w:tcBorders>
              <w:top w:val="single" w:color="auto" w:sz="4" w:space="0"/>
              <w:left w:val="single" w:color="auto" w:sz="4" w:space="0"/>
              <w:bottom w:val="single" w:color="auto" w:sz="4" w:space="0"/>
              <w:right w:val="single" w:color="auto" w:sz="4" w:space="0"/>
            </w:tcBorders>
            <w:vAlign w:val="center"/>
          </w:tcPr>
          <w:p w14:paraId="688998CC">
            <w:pPr>
              <w:spacing w:line="360" w:lineRule="auto"/>
              <w:jc w:val="center"/>
              <w:rPr>
                <w:rFonts w:hint="eastAsia" w:ascii="宋体" w:hAnsi="宋体"/>
                <w:color w:val="auto"/>
                <w:highlight w:val="none"/>
              </w:rPr>
            </w:pPr>
            <w:r>
              <w:rPr>
                <w:rFonts w:hint="eastAsia" w:ascii="宋体" w:hAnsi="宋体"/>
                <w:color w:val="auto"/>
                <w:highlight w:val="none"/>
              </w:rPr>
              <w:t>评标基准价计算方法</w:t>
            </w:r>
          </w:p>
        </w:tc>
        <w:tc>
          <w:tcPr>
            <w:tcW w:w="6808" w:type="dxa"/>
            <w:tcBorders>
              <w:top w:val="single" w:color="auto" w:sz="4" w:space="0"/>
              <w:left w:val="single" w:color="auto" w:sz="4" w:space="0"/>
              <w:bottom w:val="single" w:color="auto" w:sz="4" w:space="0"/>
              <w:right w:val="single" w:color="auto" w:sz="4" w:space="0"/>
            </w:tcBorders>
            <w:vAlign w:val="center"/>
          </w:tcPr>
          <w:p w14:paraId="236E8A4D">
            <w:pPr>
              <w:spacing w:line="360" w:lineRule="auto"/>
              <w:rPr>
                <w:rFonts w:hint="eastAsia" w:ascii="宋体" w:hAnsi="宋体"/>
                <w:color w:val="auto"/>
                <w:highlight w:val="none"/>
              </w:rPr>
            </w:pPr>
            <w:r>
              <w:rPr>
                <w:rFonts w:hint="eastAsia" w:ascii="宋体" w:hAnsi="宋体"/>
                <w:color w:val="auto"/>
                <w:highlight w:val="none"/>
              </w:rPr>
              <w:t>当通过初步评审的有效投标人大于5名时，去掉一个最高价和一个最低价，取余下有效投标人的投标价的算术平均值下浮X作为评标基准价；</w:t>
            </w:r>
          </w:p>
          <w:p w14:paraId="0ABB7B1A">
            <w:pPr>
              <w:spacing w:line="360" w:lineRule="auto"/>
              <w:rPr>
                <w:rFonts w:hint="eastAsia" w:ascii="宋体" w:hAnsi="宋体"/>
                <w:color w:val="auto"/>
                <w:highlight w:val="none"/>
              </w:rPr>
            </w:pPr>
            <w:r>
              <w:rPr>
                <w:rFonts w:hint="eastAsia" w:ascii="宋体" w:hAnsi="宋体"/>
                <w:color w:val="auto"/>
                <w:highlight w:val="none"/>
              </w:rPr>
              <w:t>当通过初步评审的有效投标人小于或等于5名时，取所有入围的有效投标人投标价的算术平均值下浮X作为评标基准价。</w:t>
            </w:r>
          </w:p>
          <w:p w14:paraId="389AAE6F">
            <w:pPr>
              <w:spacing w:line="360" w:lineRule="auto"/>
              <w:rPr>
                <w:rFonts w:hint="eastAsia" w:ascii="宋体" w:hAnsi="宋体"/>
                <w:strike/>
                <w:color w:val="auto"/>
                <w:highlight w:val="none"/>
              </w:rPr>
            </w:pPr>
            <w:r>
              <w:rPr>
                <w:rFonts w:hint="eastAsia" w:ascii="宋体" w:hAnsi="宋体"/>
                <w:color w:val="auto"/>
                <w:highlight w:val="none"/>
              </w:rPr>
              <w:t>其中X是在开启价格标前，首先由招标人从1％、3％、5％的评标参考价候选下浮点数中现场随机抽取确定该项目计算评标基准价的下浮率X，并对有效投标人的价格标投标文件进行公开开标。</w:t>
            </w:r>
          </w:p>
        </w:tc>
      </w:tr>
      <w:tr w14:paraId="2CBCB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6B98EBD2">
            <w:pPr>
              <w:spacing w:line="360" w:lineRule="auto"/>
              <w:jc w:val="center"/>
              <w:rPr>
                <w:rFonts w:hint="eastAsia" w:ascii="宋体" w:hAnsi="宋体"/>
                <w:color w:val="auto"/>
                <w:highlight w:val="none"/>
              </w:rPr>
            </w:pPr>
            <w:r>
              <w:rPr>
                <w:rFonts w:ascii="宋体" w:hAnsi="宋体"/>
                <w:color w:val="auto"/>
                <w:highlight w:val="none"/>
              </w:rPr>
              <w:t>2.2.3</w:t>
            </w:r>
          </w:p>
        </w:tc>
        <w:tc>
          <w:tcPr>
            <w:tcW w:w="1760" w:type="dxa"/>
            <w:tcBorders>
              <w:top w:val="single" w:color="auto" w:sz="4" w:space="0"/>
              <w:left w:val="single" w:color="auto" w:sz="4" w:space="0"/>
              <w:bottom w:val="single" w:color="auto" w:sz="4" w:space="0"/>
              <w:right w:val="single" w:color="auto" w:sz="4" w:space="0"/>
            </w:tcBorders>
            <w:vAlign w:val="center"/>
          </w:tcPr>
          <w:p w14:paraId="1D3239D9">
            <w:pPr>
              <w:spacing w:line="360" w:lineRule="auto"/>
              <w:jc w:val="center"/>
              <w:rPr>
                <w:rFonts w:hint="eastAsia" w:ascii="宋体" w:hAnsi="宋体"/>
                <w:color w:val="auto"/>
                <w:highlight w:val="none"/>
              </w:rPr>
            </w:pPr>
            <w:r>
              <w:rPr>
                <w:rFonts w:hint="eastAsia" w:ascii="宋体" w:hAnsi="宋体"/>
                <w:color w:val="auto"/>
                <w:highlight w:val="none"/>
              </w:rPr>
              <w:t>投标报价的偏差率计算公式</w:t>
            </w:r>
          </w:p>
        </w:tc>
        <w:tc>
          <w:tcPr>
            <w:tcW w:w="6808" w:type="dxa"/>
            <w:tcBorders>
              <w:top w:val="single" w:color="auto" w:sz="4" w:space="0"/>
              <w:left w:val="single" w:color="auto" w:sz="4" w:space="0"/>
              <w:bottom w:val="single" w:color="auto" w:sz="4" w:space="0"/>
              <w:right w:val="single" w:color="auto" w:sz="4" w:space="0"/>
            </w:tcBorders>
            <w:vAlign w:val="center"/>
          </w:tcPr>
          <w:p w14:paraId="1C06BAC0">
            <w:pPr>
              <w:spacing w:line="360" w:lineRule="auto"/>
              <w:rPr>
                <w:rFonts w:hint="eastAsia" w:ascii="宋体" w:hAnsi="宋体"/>
                <w:color w:val="auto"/>
                <w:highlight w:val="none"/>
              </w:rPr>
            </w:pPr>
            <w:r>
              <w:rPr>
                <w:rFonts w:hint="eastAsia" w:ascii="宋体" w:hAnsi="宋体"/>
                <w:color w:val="auto"/>
                <w:highlight w:val="none"/>
              </w:rPr>
              <w:t>偏差率＝</w:t>
            </w:r>
            <w:r>
              <w:rPr>
                <w:rFonts w:ascii="宋体" w:hAnsi="宋体"/>
                <w:color w:val="auto"/>
                <w:highlight w:val="none"/>
              </w:rPr>
              <w:t>100% *</w:t>
            </w:r>
            <w:r>
              <w:rPr>
                <w:rFonts w:hint="eastAsia" w:ascii="宋体" w:hAnsi="宋体"/>
                <w:color w:val="auto"/>
                <w:highlight w:val="none"/>
              </w:rPr>
              <w:t>（评标价－评标基准价）</w:t>
            </w:r>
            <w:r>
              <w:rPr>
                <w:rFonts w:hint="eastAsia" w:ascii="宋体" w:hAnsi="宋体"/>
                <w:color w:val="auto"/>
                <w:sz w:val="24"/>
                <w:highlight w:val="none"/>
              </w:rPr>
              <w:t>÷</w:t>
            </w:r>
            <w:r>
              <w:rPr>
                <w:rFonts w:hint="eastAsia" w:ascii="宋体" w:hAnsi="宋体"/>
                <w:color w:val="auto"/>
                <w:highlight w:val="none"/>
              </w:rPr>
              <w:t>评标基准价</w:t>
            </w:r>
          </w:p>
          <w:p w14:paraId="3219C364">
            <w:pPr>
              <w:spacing w:line="360" w:lineRule="auto"/>
              <w:rPr>
                <w:rFonts w:hint="eastAsia" w:ascii="宋体" w:hAnsi="宋体"/>
                <w:color w:val="auto"/>
                <w:highlight w:val="none"/>
              </w:rPr>
            </w:pPr>
            <w:r>
              <w:rPr>
                <w:rFonts w:hint="eastAsia" w:ascii="宋体" w:hAnsi="宋体"/>
                <w:color w:val="auto"/>
                <w:highlight w:val="none"/>
              </w:rPr>
              <w:t>（偏差率四舍五入保留2位小数，</w:t>
            </w:r>
            <w:r>
              <w:rPr>
                <w:rFonts w:hint="eastAsia" w:ascii="宋体" w:hAnsi="宋体"/>
                <w:color w:val="auto"/>
                <w:szCs w:val="21"/>
                <w:highlight w:val="none"/>
              </w:rPr>
              <w:t>报价偏差率不足1%的，按直线内插法计算投标报价得分</w:t>
            </w:r>
            <w:r>
              <w:rPr>
                <w:rFonts w:hint="eastAsia" w:ascii="宋体" w:hAnsi="宋体"/>
                <w:color w:val="auto"/>
                <w:highlight w:val="none"/>
              </w:rPr>
              <w:t>）</w:t>
            </w:r>
          </w:p>
          <w:p w14:paraId="69526FE3">
            <w:pPr>
              <w:spacing w:line="360" w:lineRule="auto"/>
              <w:rPr>
                <w:rFonts w:hint="eastAsia" w:ascii="宋体" w:hAnsi="宋体"/>
                <w:color w:val="auto"/>
                <w:highlight w:val="none"/>
              </w:rPr>
            </w:pPr>
            <w:r>
              <w:rPr>
                <w:rFonts w:hint="eastAsia" w:ascii="宋体" w:hAnsi="宋体"/>
                <w:color w:val="auto"/>
                <w:highlight w:val="none"/>
              </w:rPr>
              <w:t>“投标报价”为投标人投标函中的大写金额。</w:t>
            </w:r>
          </w:p>
          <w:p w14:paraId="120DB212">
            <w:pPr>
              <w:spacing w:line="360" w:lineRule="auto"/>
              <w:rPr>
                <w:rFonts w:hint="eastAsia" w:ascii="宋体" w:hAnsi="宋体"/>
                <w:color w:val="auto"/>
                <w:highlight w:val="none"/>
              </w:rPr>
            </w:pPr>
            <w:r>
              <w:rPr>
                <w:rFonts w:hint="eastAsia" w:ascii="宋体" w:hAnsi="宋体"/>
                <w:color w:val="auto"/>
                <w:highlight w:val="none"/>
              </w:rPr>
              <w:t>“评标价”为经修正后的投标报价（如有）。</w:t>
            </w:r>
          </w:p>
        </w:tc>
      </w:tr>
      <w:tr w14:paraId="3E811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656D8FA7">
            <w:pPr>
              <w:spacing w:line="360" w:lineRule="auto"/>
              <w:jc w:val="center"/>
              <w:rPr>
                <w:rFonts w:hint="eastAsia" w:ascii="宋体" w:hAnsi="宋体"/>
                <w:color w:val="auto"/>
                <w:highlight w:val="none"/>
              </w:rPr>
            </w:pPr>
            <w:r>
              <w:rPr>
                <w:rFonts w:hint="eastAsia" w:ascii="宋体" w:hAnsi="宋体"/>
                <w:color w:val="auto"/>
                <w:highlight w:val="none"/>
              </w:rPr>
              <w:t>2.2.4</w:t>
            </w:r>
          </w:p>
        </w:tc>
        <w:tc>
          <w:tcPr>
            <w:tcW w:w="1760" w:type="dxa"/>
            <w:tcBorders>
              <w:top w:val="single" w:color="auto" w:sz="4" w:space="0"/>
              <w:left w:val="single" w:color="auto" w:sz="4" w:space="0"/>
              <w:bottom w:val="single" w:color="auto" w:sz="4" w:space="0"/>
              <w:right w:val="single" w:color="auto" w:sz="4" w:space="0"/>
            </w:tcBorders>
            <w:vAlign w:val="center"/>
          </w:tcPr>
          <w:p w14:paraId="4AB09F41">
            <w:pPr>
              <w:spacing w:line="360" w:lineRule="auto"/>
              <w:jc w:val="center"/>
              <w:rPr>
                <w:rFonts w:hint="eastAsia" w:ascii="宋体" w:hAnsi="宋体"/>
                <w:color w:val="auto"/>
                <w:highlight w:val="none"/>
              </w:rPr>
            </w:pPr>
            <w:r>
              <w:rPr>
                <w:rFonts w:hint="eastAsia" w:ascii="宋体" w:hAnsi="宋体"/>
                <w:color w:val="auto"/>
                <w:highlight w:val="none"/>
              </w:rPr>
              <w:t>报价得分计算公式（20分）</w:t>
            </w:r>
          </w:p>
        </w:tc>
        <w:tc>
          <w:tcPr>
            <w:tcW w:w="6808" w:type="dxa"/>
            <w:tcBorders>
              <w:top w:val="single" w:color="auto" w:sz="4" w:space="0"/>
              <w:left w:val="single" w:color="auto" w:sz="4" w:space="0"/>
              <w:bottom w:val="single" w:color="auto" w:sz="4" w:space="0"/>
              <w:right w:val="single" w:color="auto" w:sz="4" w:space="0"/>
            </w:tcBorders>
            <w:vAlign w:val="center"/>
          </w:tcPr>
          <w:p w14:paraId="4C29030C">
            <w:pPr>
              <w:spacing w:line="360" w:lineRule="auto"/>
              <w:rPr>
                <w:rFonts w:hint="eastAsia" w:ascii="宋体" w:hAnsi="宋体"/>
                <w:color w:val="auto"/>
                <w:highlight w:val="none"/>
              </w:rPr>
            </w:pPr>
            <w:r>
              <w:rPr>
                <w:rFonts w:hint="eastAsia" w:ascii="宋体" w:hAnsi="宋体"/>
                <w:color w:val="auto"/>
                <w:highlight w:val="none"/>
              </w:rPr>
              <w:t>当有效投标报价等于评标基准价时得满分；当有效投标报价与评标基准价差值与评标基准价的比值每上偏1%扣0.</w:t>
            </w:r>
            <w:r>
              <w:rPr>
                <w:rFonts w:hint="eastAsia" w:ascii="宋体" w:hAnsi="宋体"/>
                <w:color w:val="auto"/>
                <w:highlight w:val="none"/>
                <w:lang w:val="en-US" w:eastAsia="zh-CN"/>
              </w:rPr>
              <w:t>2</w:t>
            </w:r>
            <w:r>
              <w:rPr>
                <w:rFonts w:hint="eastAsia" w:ascii="宋体" w:hAnsi="宋体"/>
                <w:color w:val="auto"/>
                <w:highlight w:val="none"/>
              </w:rPr>
              <w:t>分、每下偏1%扣0.1分，最多扣20分。</w:t>
            </w:r>
          </w:p>
        </w:tc>
      </w:tr>
    </w:tbl>
    <w:p w14:paraId="4EAFC61B">
      <w:pPr>
        <w:rPr>
          <w:rFonts w:hint="eastAsia" w:ascii="宋体" w:hAnsi="宋体"/>
          <w:color w:val="auto"/>
          <w:highlight w:val="none"/>
        </w:rPr>
      </w:pPr>
    </w:p>
    <w:p w14:paraId="3AC6C7F2">
      <w:pPr>
        <w:pStyle w:val="11"/>
        <w:rPr>
          <w:rFonts w:hint="eastAsia" w:ascii="宋体" w:hAnsi="宋体" w:cs="Tahoma"/>
          <w:color w:val="auto"/>
          <w:szCs w:val="21"/>
          <w:highlight w:val="none"/>
        </w:rPr>
        <w:sectPr>
          <w:pgSz w:w="11907" w:h="16840"/>
          <w:pgMar w:top="1134" w:right="1134" w:bottom="567" w:left="1134" w:header="567" w:footer="591" w:gutter="0"/>
          <w:cols w:space="720" w:num="1"/>
        </w:sectPr>
      </w:pPr>
    </w:p>
    <w:p w14:paraId="1B5AE5D4">
      <w:pPr>
        <w:rPr>
          <w:b/>
          <w:bCs/>
          <w:color w:val="auto"/>
          <w:sz w:val="24"/>
          <w:highlight w:val="none"/>
        </w:rPr>
      </w:pPr>
      <w:bookmarkStart w:id="587" w:name="_Toc13918"/>
      <w:bookmarkStart w:id="588" w:name="_Toc16319"/>
      <w:bookmarkStart w:id="589" w:name="_Toc19852"/>
      <w:bookmarkStart w:id="590" w:name="_Toc24120"/>
      <w:bookmarkStart w:id="591" w:name="_Toc12883"/>
      <w:bookmarkStart w:id="592" w:name="_Toc12857"/>
      <w:bookmarkStart w:id="593" w:name="_Toc15764"/>
      <w:bookmarkStart w:id="594" w:name="_Toc10883"/>
      <w:bookmarkStart w:id="595" w:name="_Toc1232"/>
      <w:bookmarkStart w:id="596" w:name="_Toc8744"/>
      <w:bookmarkStart w:id="597" w:name="_Toc16561"/>
      <w:bookmarkStart w:id="598" w:name="_Toc4448"/>
      <w:bookmarkStart w:id="599" w:name="_Toc26128"/>
      <w:bookmarkStart w:id="600" w:name="_Toc7236"/>
      <w:bookmarkStart w:id="601" w:name="_Toc18961"/>
      <w:bookmarkStart w:id="602" w:name="_Toc8464"/>
      <w:bookmarkStart w:id="603" w:name="_Toc281"/>
      <w:bookmarkStart w:id="604" w:name="_Toc17173"/>
      <w:bookmarkStart w:id="605" w:name="_Toc30330"/>
      <w:bookmarkStart w:id="606" w:name="_Toc18656"/>
      <w:bookmarkStart w:id="607" w:name="_Toc28185"/>
      <w:r>
        <w:rPr>
          <w:rFonts w:hint="eastAsia"/>
          <w:b/>
          <w:bCs/>
          <w:color w:val="auto"/>
          <w:sz w:val="24"/>
          <w:highlight w:val="none"/>
        </w:rPr>
        <w:t>附表一：详细评审：商务部分详细评审评分标准</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31091F8B">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商务部分详细评审评分标准（25分）</w:t>
      </w:r>
    </w:p>
    <w:tbl>
      <w:tblPr>
        <w:tblStyle w:val="21"/>
        <w:tblW w:w="4999" w:type="pct"/>
        <w:tblInd w:w="0" w:type="dxa"/>
        <w:tblLayout w:type="autofit"/>
        <w:tblCellMar>
          <w:top w:w="0" w:type="dxa"/>
          <w:left w:w="108" w:type="dxa"/>
          <w:bottom w:w="0" w:type="dxa"/>
          <w:right w:w="108" w:type="dxa"/>
        </w:tblCellMar>
      </w:tblPr>
      <w:tblGrid>
        <w:gridCol w:w="740"/>
        <w:gridCol w:w="1812"/>
        <w:gridCol w:w="12"/>
        <w:gridCol w:w="694"/>
        <w:gridCol w:w="12093"/>
      </w:tblGrid>
      <w:tr w14:paraId="7CE2D30A">
        <w:tblPrEx>
          <w:tblCellMar>
            <w:top w:w="0" w:type="dxa"/>
            <w:left w:w="108" w:type="dxa"/>
            <w:bottom w:w="0" w:type="dxa"/>
            <w:right w:w="108" w:type="dxa"/>
          </w:tblCellMar>
        </w:tblPrEx>
        <w:trPr>
          <w:trHeight w:val="314" w:hRule="atLeast"/>
        </w:trPr>
        <w:tc>
          <w:tcPr>
            <w:tcW w:w="241" w:type="pct"/>
            <w:tcBorders>
              <w:top w:val="single" w:color="000000" w:sz="4" w:space="0"/>
              <w:left w:val="single" w:color="000000" w:sz="4" w:space="0"/>
              <w:bottom w:val="single" w:color="000000" w:sz="4" w:space="0"/>
              <w:right w:val="single" w:color="000000" w:sz="4" w:space="0"/>
            </w:tcBorders>
            <w:vAlign w:val="center"/>
          </w:tcPr>
          <w:p w14:paraId="2FF337DC">
            <w:pPr>
              <w:widowControl/>
              <w:spacing w:line="360"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590" w:type="pct"/>
            <w:tcBorders>
              <w:top w:val="single" w:color="000000" w:sz="4" w:space="0"/>
              <w:left w:val="single" w:color="000000" w:sz="4" w:space="0"/>
              <w:bottom w:val="single" w:color="000000" w:sz="4" w:space="0"/>
              <w:right w:val="single" w:color="000000" w:sz="4" w:space="0"/>
            </w:tcBorders>
            <w:vAlign w:val="center"/>
          </w:tcPr>
          <w:p w14:paraId="24693B17">
            <w:pPr>
              <w:widowControl/>
              <w:spacing w:line="360"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评审项目和内容</w:t>
            </w:r>
          </w:p>
        </w:tc>
        <w:tc>
          <w:tcPr>
            <w:tcW w:w="230" w:type="pct"/>
            <w:gridSpan w:val="2"/>
            <w:tcBorders>
              <w:top w:val="single" w:color="000000" w:sz="4" w:space="0"/>
              <w:left w:val="single" w:color="000000" w:sz="4" w:space="0"/>
              <w:bottom w:val="single" w:color="000000" w:sz="4" w:space="0"/>
              <w:right w:val="single" w:color="000000" w:sz="4" w:space="0"/>
            </w:tcBorders>
            <w:vAlign w:val="center"/>
          </w:tcPr>
          <w:p w14:paraId="4A2DA11A">
            <w:pPr>
              <w:widowControl/>
              <w:spacing w:line="360"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分值</w:t>
            </w:r>
          </w:p>
        </w:tc>
        <w:tc>
          <w:tcPr>
            <w:tcW w:w="3937" w:type="pct"/>
            <w:tcBorders>
              <w:top w:val="single" w:color="000000" w:sz="4" w:space="0"/>
              <w:left w:val="single" w:color="000000" w:sz="4" w:space="0"/>
              <w:bottom w:val="single" w:color="000000" w:sz="4" w:space="0"/>
              <w:right w:val="single" w:color="000000" w:sz="4" w:space="0"/>
            </w:tcBorders>
            <w:noWrap/>
            <w:vAlign w:val="center"/>
          </w:tcPr>
          <w:p w14:paraId="700A2ED5">
            <w:pPr>
              <w:widowControl/>
              <w:spacing w:line="360"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评审标准</w:t>
            </w:r>
          </w:p>
        </w:tc>
      </w:tr>
      <w:tr w14:paraId="3321238F">
        <w:tblPrEx>
          <w:tblCellMar>
            <w:top w:w="0" w:type="dxa"/>
            <w:left w:w="108" w:type="dxa"/>
            <w:bottom w:w="0" w:type="dxa"/>
            <w:right w:w="108" w:type="dxa"/>
          </w:tblCellMar>
        </w:tblPrEx>
        <w:trPr>
          <w:trHeight w:val="1520" w:hRule="atLeast"/>
        </w:trPr>
        <w:tc>
          <w:tcPr>
            <w:tcW w:w="241" w:type="pct"/>
            <w:tcBorders>
              <w:top w:val="single" w:color="000000" w:sz="4" w:space="0"/>
              <w:left w:val="single" w:color="000000" w:sz="4" w:space="0"/>
              <w:bottom w:val="single" w:color="000000" w:sz="4" w:space="0"/>
              <w:right w:val="single" w:color="000000" w:sz="4" w:space="0"/>
            </w:tcBorders>
            <w:vAlign w:val="center"/>
          </w:tcPr>
          <w:p w14:paraId="58F047D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90" w:type="pct"/>
            <w:tcBorders>
              <w:top w:val="single" w:color="000000" w:sz="4" w:space="0"/>
              <w:left w:val="single" w:color="000000" w:sz="4" w:space="0"/>
              <w:bottom w:val="single" w:color="000000" w:sz="4" w:space="0"/>
              <w:right w:val="single" w:color="000000" w:sz="4" w:space="0"/>
            </w:tcBorders>
            <w:vAlign w:val="center"/>
          </w:tcPr>
          <w:p w14:paraId="3B16532A">
            <w:pPr>
              <w:widowControl/>
              <w:spacing w:before="100" w:beforeAutospacing="1" w:after="100" w:afterAutospacing="1"/>
              <w:jc w:val="center"/>
              <w:rPr>
                <w:rFonts w:hint="eastAsia" w:ascii="宋体" w:hAnsi="宋体" w:cs="宋体"/>
                <w:color w:val="auto"/>
                <w:szCs w:val="21"/>
                <w:highlight w:val="none"/>
              </w:rPr>
            </w:pPr>
            <w:r>
              <w:rPr>
                <w:color w:val="auto"/>
                <w:szCs w:val="21"/>
                <w:highlight w:val="none"/>
              </w:rPr>
              <w:t>投标人管理能力</w:t>
            </w:r>
          </w:p>
        </w:tc>
        <w:tc>
          <w:tcPr>
            <w:tcW w:w="230" w:type="pct"/>
            <w:gridSpan w:val="2"/>
            <w:tcBorders>
              <w:top w:val="single" w:color="000000" w:sz="4" w:space="0"/>
              <w:left w:val="single" w:color="000000" w:sz="4" w:space="0"/>
              <w:bottom w:val="single" w:color="000000" w:sz="4" w:space="0"/>
              <w:right w:val="single" w:color="000000" w:sz="4" w:space="0"/>
            </w:tcBorders>
            <w:vAlign w:val="center"/>
          </w:tcPr>
          <w:p w14:paraId="63B8C5A4">
            <w:pPr>
              <w:widowControl/>
              <w:spacing w:before="100" w:beforeAutospacing="1" w:after="100" w:afterAutospacing="1"/>
              <w:jc w:val="center"/>
              <w:rPr>
                <w:color w:val="auto"/>
                <w:highlight w:val="none"/>
              </w:rPr>
            </w:pPr>
            <w:r>
              <w:rPr>
                <w:rFonts w:hint="eastAsia"/>
                <w:color w:val="auto"/>
                <w:szCs w:val="21"/>
                <w:highlight w:val="none"/>
              </w:rPr>
              <w:t>6</w:t>
            </w:r>
          </w:p>
        </w:tc>
        <w:tc>
          <w:tcPr>
            <w:tcW w:w="3937" w:type="pct"/>
            <w:tcBorders>
              <w:top w:val="single" w:color="000000" w:sz="4" w:space="0"/>
              <w:left w:val="single" w:color="000000" w:sz="4" w:space="0"/>
              <w:bottom w:val="single" w:color="000000" w:sz="4" w:space="0"/>
              <w:right w:val="single" w:color="000000" w:sz="4" w:space="0"/>
            </w:tcBorders>
            <w:vAlign w:val="center"/>
          </w:tcPr>
          <w:p w14:paraId="5E803E46">
            <w:pPr>
              <w:pStyle w:val="18"/>
              <w:numPr>
                <w:ilvl w:val="255"/>
                <w:numId w:val="0"/>
              </w:numPr>
              <w:spacing w:before="0" w:beforeAutospacing="0" w:after="0" w:afterAutospacing="0" w:line="240" w:lineRule="auto"/>
              <w:jc w:val="both"/>
              <w:rPr>
                <w:rFonts w:hint="eastAsia" w:ascii="Times New Roman" w:hAnsi="Times New Roman" w:cs="Times New Roman"/>
                <w:color w:val="auto"/>
                <w:kern w:val="2"/>
                <w:sz w:val="21"/>
                <w:szCs w:val="21"/>
                <w:highlight w:val="none"/>
              </w:rPr>
            </w:pPr>
            <w:r>
              <w:rPr>
                <w:rFonts w:hint="eastAsia" w:ascii="Times New Roman" w:hAnsi="Times New Roman" w:cs="Times New Roman"/>
                <w:color w:val="auto"/>
                <w:kern w:val="2"/>
                <w:sz w:val="21"/>
                <w:szCs w:val="21"/>
                <w:highlight w:val="none"/>
              </w:rPr>
              <w:t>投标人具备有效期内ISO质量管理体系认证、职业健康安全管理体系认证、环境管理体系认证证书的，且认证资质范围包括民用无人驾驶航空器运营管理服务</w:t>
            </w:r>
            <w:r>
              <w:rPr>
                <w:rFonts w:hint="eastAsia" w:ascii="Times New Roman" w:hAnsi="Times New Roman" w:cs="Times New Roman"/>
                <w:color w:val="auto"/>
                <w:kern w:val="2"/>
                <w:sz w:val="21"/>
                <w:szCs w:val="21"/>
                <w:highlight w:val="none"/>
                <w:lang w:val="en-US" w:eastAsia="zh-CN"/>
              </w:rPr>
              <w:t>或轨道交通巡查或安全相关管理信息系统</w:t>
            </w:r>
            <w:r>
              <w:rPr>
                <w:rFonts w:hint="eastAsia" w:ascii="Times New Roman" w:hAnsi="Times New Roman" w:cs="Times New Roman"/>
                <w:color w:val="auto"/>
                <w:kern w:val="2"/>
                <w:sz w:val="21"/>
                <w:szCs w:val="21"/>
                <w:highlight w:val="none"/>
              </w:rPr>
              <w:t>的</w:t>
            </w:r>
            <w:r>
              <w:rPr>
                <w:rFonts w:hint="eastAsia" w:ascii="Times New Roman" w:hAnsi="Times New Roman" w:cs="Times New Roman"/>
                <w:color w:val="auto"/>
                <w:kern w:val="2"/>
                <w:sz w:val="21"/>
                <w:szCs w:val="21"/>
                <w:highlight w:val="none"/>
                <w:lang w:eastAsia="zh-CN"/>
              </w:rPr>
              <w:t>，</w:t>
            </w:r>
            <w:r>
              <w:rPr>
                <w:rFonts w:hint="eastAsia" w:ascii="Times New Roman" w:hAnsi="Times New Roman" w:cs="Times New Roman"/>
                <w:color w:val="auto"/>
                <w:kern w:val="2"/>
                <w:sz w:val="21"/>
                <w:szCs w:val="21"/>
                <w:highlight w:val="none"/>
              </w:rPr>
              <w:t>每个得2分，最高得6分；</w:t>
            </w:r>
          </w:p>
          <w:p w14:paraId="1D66AD44">
            <w:pPr>
              <w:pStyle w:val="18"/>
              <w:numPr>
                <w:ilvl w:val="255"/>
                <w:numId w:val="0"/>
              </w:numPr>
              <w:spacing w:before="0" w:beforeAutospacing="0" w:after="0" w:afterAutospacing="0" w:line="240" w:lineRule="auto"/>
              <w:jc w:val="both"/>
              <w:rPr>
                <w:rFonts w:ascii="Times New Roman" w:hAnsi="Times New Roman" w:cs="Times New Roman"/>
                <w:color w:val="auto"/>
                <w:kern w:val="2"/>
                <w:sz w:val="21"/>
                <w:szCs w:val="21"/>
                <w:highlight w:val="none"/>
              </w:rPr>
            </w:pPr>
            <w:r>
              <w:rPr>
                <w:rFonts w:hint="eastAsia" w:ascii="Times New Roman" w:hAnsi="Times New Roman" w:cs="Times New Roman"/>
                <w:color w:val="auto"/>
                <w:kern w:val="2"/>
                <w:sz w:val="21"/>
                <w:szCs w:val="21"/>
                <w:highlight w:val="none"/>
              </w:rPr>
              <w:t>注：认证证书须在有效期内，需提供认证证书复印件和网页查询截图（全国认证认可信息公共服务平台：http://cx.cnca.cn/CertECloud/index/index/page）并加盖投标人公章，否则不得分；若为联合体参与本项目投标，由联合体任意一方或多方提供的有效材料复印件可作为评审依据；同一类型认证证书不重复计分。</w:t>
            </w:r>
          </w:p>
        </w:tc>
      </w:tr>
      <w:tr w14:paraId="1BCDEF2B">
        <w:tblPrEx>
          <w:tblCellMar>
            <w:top w:w="0" w:type="dxa"/>
            <w:left w:w="108" w:type="dxa"/>
            <w:bottom w:w="0" w:type="dxa"/>
            <w:right w:w="108" w:type="dxa"/>
          </w:tblCellMar>
        </w:tblPrEx>
        <w:trPr>
          <w:trHeight w:val="651" w:hRule="atLeast"/>
        </w:trPr>
        <w:tc>
          <w:tcPr>
            <w:tcW w:w="241" w:type="pct"/>
            <w:tcBorders>
              <w:top w:val="single" w:color="000000" w:sz="4" w:space="0"/>
              <w:left w:val="single" w:color="000000" w:sz="4" w:space="0"/>
              <w:bottom w:val="single" w:color="000000" w:sz="4" w:space="0"/>
              <w:right w:val="single" w:color="000000" w:sz="4" w:space="0"/>
            </w:tcBorders>
            <w:vAlign w:val="center"/>
          </w:tcPr>
          <w:p w14:paraId="42B7F9F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590" w:type="pct"/>
            <w:tcBorders>
              <w:top w:val="single" w:color="000000" w:sz="4" w:space="0"/>
              <w:left w:val="single" w:color="000000" w:sz="4" w:space="0"/>
              <w:bottom w:val="single" w:color="000000" w:sz="4" w:space="0"/>
              <w:right w:val="single" w:color="000000" w:sz="4" w:space="0"/>
            </w:tcBorders>
            <w:vAlign w:val="center"/>
          </w:tcPr>
          <w:p w14:paraId="26E729EE">
            <w:pPr>
              <w:widowControl/>
              <w:spacing w:before="100" w:beforeAutospacing="1" w:after="100" w:afterAutospacing="1"/>
              <w:jc w:val="center"/>
              <w:rPr>
                <w:rFonts w:hint="eastAsia" w:ascii="宋体" w:hAnsi="宋体" w:cs="宋体"/>
                <w:color w:val="auto"/>
                <w:szCs w:val="21"/>
                <w:highlight w:val="none"/>
              </w:rPr>
            </w:pPr>
            <w:r>
              <w:rPr>
                <w:color w:val="auto"/>
                <w:szCs w:val="21"/>
                <w:highlight w:val="none"/>
              </w:rPr>
              <w:t>投标人知识产权</w:t>
            </w:r>
          </w:p>
        </w:tc>
        <w:tc>
          <w:tcPr>
            <w:tcW w:w="230" w:type="pct"/>
            <w:gridSpan w:val="2"/>
            <w:tcBorders>
              <w:top w:val="single" w:color="000000" w:sz="4" w:space="0"/>
              <w:left w:val="single" w:color="000000" w:sz="4" w:space="0"/>
              <w:bottom w:val="single" w:color="000000" w:sz="4" w:space="0"/>
              <w:right w:val="single" w:color="000000" w:sz="4" w:space="0"/>
            </w:tcBorders>
            <w:vAlign w:val="center"/>
          </w:tcPr>
          <w:p w14:paraId="0F44980F">
            <w:pPr>
              <w:widowControl/>
              <w:spacing w:before="100" w:beforeAutospacing="1" w:after="100" w:afterAutospacing="1"/>
              <w:jc w:val="center"/>
              <w:rPr>
                <w:color w:val="auto"/>
                <w:highlight w:val="none"/>
              </w:rPr>
            </w:pPr>
            <w:r>
              <w:rPr>
                <w:color w:val="auto"/>
                <w:szCs w:val="21"/>
                <w:highlight w:val="none"/>
              </w:rPr>
              <w:t>8</w:t>
            </w:r>
          </w:p>
        </w:tc>
        <w:tc>
          <w:tcPr>
            <w:tcW w:w="3937" w:type="pct"/>
            <w:tcBorders>
              <w:top w:val="single" w:color="000000" w:sz="4" w:space="0"/>
              <w:left w:val="single" w:color="000000" w:sz="4" w:space="0"/>
              <w:bottom w:val="single" w:color="000000" w:sz="4" w:space="0"/>
              <w:right w:val="single" w:color="000000" w:sz="4" w:space="0"/>
            </w:tcBorders>
            <w:vAlign w:val="center"/>
          </w:tcPr>
          <w:p w14:paraId="60DCBC0B">
            <w:pPr>
              <w:pStyle w:val="18"/>
              <w:spacing w:before="0" w:beforeAutospacing="0" w:after="0" w:afterAutospacing="0" w:line="360" w:lineRule="auto"/>
              <w:jc w:val="both"/>
              <w:rPr>
                <w:rFonts w:ascii="Times New Roman" w:hAnsi="Times New Roman" w:cs="Times New Roman"/>
                <w:color w:val="auto"/>
                <w:kern w:val="2"/>
                <w:sz w:val="21"/>
                <w:szCs w:val="21"/>
                <w:highlight w:val="none"/>
              </w:rPr>
            </w:pPr>
            <w:r>
              <w:rPr>
                <w:rFonts w:ascii="Times New Roman" w:hAnsi="Times New Roman" w:cs="Times New Roman"/>
                <w:color w:val="auto"/>
                <w:kern w:val="2"/>
                <w:sz w:val="21"/>
                <w:szCs w:val="21"/>
                <w:highlight w:val="none"/>
              </w:rPr>
              <w:t>投标人具有低空应用相关软件或航空器平台软件</w:t>
            </w:r>
            <w:r>
              <w:rPr>
                <w:rFonts w:hint="eastAsia" w:ascii="Times New Roman" w:hAnsi="Times New Roman" w:cs="Times New Roman"/>
                <w:color w:val="auto"/>
                <w:kern w:val="2"/>
                <w:sz w:val="21"/>
                <w:szCs w:val="21"/>
                <w:highlight w:val="none"/>
                <w:lang w:val="en-US" w:eastAsia="zh-CN"/>
              </w:rPr>
              <w:t>或轨道交通巡查或安全相关软件</w:t>
            </w:r>
            <w:r>
              <w:rPr>
                <w:rFonts w:ascii="Times New Roman" w:hAnsi="Times New Roman" w:cs="Times New Roman"/>
                <w:color w:val="auto"/>
                <w:kern w:val="2"/>
                <w:sz w:val="21"/>
                <w:szCs w:val="21"/>
                <w:highlight w:val="none"/>
              </w:rPr>
              <w:t>且取得软件著作权证书的，每个得2分，最高得8分。</w:t>
            </w:r>
          </w:p>
          <w:p w14:paraId="4BC05BF5">
            <w:pPr>
              <w:pStyle w:val="18"/>
              <w:spacing w:before="0" w:beforeAutospacing="0" w:after="0" w:afterAutospacing="0" w:line="360" w:lineRule="auto"/>
              <w:jc w:val="both"/>
              <w:rPr>
                <w:rFonts w:ascii="Times New Roman" w:hAnsi="Times New Roman" w:cs="Times New Roman"/>
                <w:color w:val="auto"/>
                <w:kern w:val="2"/>
                <w:sz w:val="21"/>
                <w:szCs w:val="21"/>
                <w:highlight w:val="none"/>
              </w:rPr>
            </w:pPr>
            <w:r>
              <w:rPr>
                <w:rFonts w:hint="eastAsia" w:ascii="Times New Roman" w:hAnsi="Times New Roman" w:cs="Times New Roman"/>
                <w:color w:val="auto"/>
                <w:kern w:val="2"/>
                <w:sz w:val="21"/>
                <w:szCs w:val="21"/>
                <w:highlight w:val="none"/>
              </w:rPr>
              <w:t>注：需提供证书</w:t>
            </w:r>
            <w:r>
              <w:rPr>
                <w:rFonts w:ascii="Times New Roman" w:hAnsi="Times New Roman" w:cs="Times New Roman"/>
                <w:color w:val="auto"/>
                <w:kern w:val="2"/>
                <w:sz w:val="21"/>
                <w:szCs w:val="21"/>
                <w:highlight w:val="none"/>
              </w:rPr>
              <w:t>复印件</w:t>
            </w:r>
            <w:r>
              <w:rPr>
                <w:rFonts w:ascii="Times New Roman" w:hAnsi="Times New Roman" w:cs="Times New Roman"/>
                <w:color w:val="auto"/>
                <w:sz w:val="21"/>
                <w:szCs w:val="21"/>
                <w:highlight w:val="none"/>
              </w:rPr>
              <w:t>并加盖投标人公章</w:t>
            </w:r>
            <w:r>
              <w:rPr>
                <w:rFonts w:hint="eastAsia" w:ascii="Times New Roman" w:hAnsi="Times New Roman" w:cs="Times New Roman"/>
                <w:color w:val="auto"/>
                <w:sz w:val="21"/>
                <w:szCs w:val="21"/>
                <w:highlight w:val="none"/>
              </w:rPr>
              <w:t>，否则不得分</w:t>
            </w:r>
            <w:r>
              <w:rPr>
                <w:rFonts w:ascii="Times New Roman" w:hAnsi="Times New Roman" w:cs="Times New Roman"/>
                <w:color w:val="auto"/>
                <w:sz w:val="21"/>
                <w:szCs w:val="21"/>
                <w:highlight w:val="none"/>
              </w:rPr>
              <w:t>。</w:t>
            </w:r>
          </w:p>
        </w:tc>
      </w:tr>
      <w:tr w14:paraId="10AF7CF1">
        <w:tblPrEx>
          <w:tblCellMar>
            <w:top w:w="0" w:type="dxa"/>
            <w:left w:w="108" w:type="dxa"/>
            <w:bottom w:w="0" w:type="dxa"/>
            <w:right w:w="108" w:type="dxa"/>
          </w:tblCellMar>
        </w:tblPrEx>
        <w:trPr>
          <w:trHeight w:val="3641" w:hRule="atLeast"/>
        </w:trPr>
        <w:tc>
          <w:tcPr>
            <w:tcW w:w="241" w:type="pct"/>
            <w:tcBorders>
              <w:top w:val="single" w:color="000000" w:sz="4" w:space="0"/>
              <w:left w:val="single" w:color="000000" w:sz="4" w:space="0"/>
              <w:bottom w:val="single" w:color="000000" w:sz="4" w:space="0"/>
              <w:right w:val="single" w:color="000000" w:sz="4" w:space="0"/>
            </w:tcBorders>
            <w:vAlign w:val="center"/>
          </w:tcPr>
          <w:p w14:paraId="4D8F679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590" w:type="pct"/>
            <w:tcBorders>
              <w:top w:val="single" w:color="000000" w:sz="4" w:space="0"/>
              <w:left w:val="single" w:color="000000" w:sz="4" w:space="0"/>
              <w:bottom w:val="single" w:color="000000" w:sz="4" w:space="0"/>
              <w:right w:val="single" w:color="000000" w:sz="4" w:space="0"/>
            </w:tcBorders>
            <w:vAlign w:val="center"/>
          </w:tcPr>
          <w:p w14:paraId="0D7AA1EB">
            <w:pPr>
              <w:widowControl/>
              <w:spacing w:before="100" w:beforeAutospacing="1" w:after="100" w:afterAutospacing="1"/>
              <w:jc w:val="center"/>
              <w:rPr>
                <w:rFonts w:hint="eastAsia" w:ascii="宋体" w:hAnsi="宋体" w:cs="宋体"/>
                <w:color w:val="auto"/>
                <w:szCs w:val="21"/>
                <w:highlight w:val="none"/>
              </w:rPr>
            </w:pPr>
            <w:r>
              <w:rPr>
                <w:color w:val="auto"/>
                <w:szCs w:val="21"/>
                <w:highlight w:val="none"/>
              </w:rPr>
              <w:t>投标人业绩</w:t>
            </w:r>
          </w:p>
        </w:tc>
        <w:tc>
          <w:tcPr>
            <w:tcW w:w="230" w:type="pct"/>
            <w:gridSpan w:val="2"/>
            <w:tcBorders>
              <w:top w:val="single" w:color="000000" w:sz="4" w:space="0"/>
              <w:left w:val="single" w:color="000000" w:sz="4" w:space="0"/>
              <w:bottom w:val="single" w:color="000000" w:sz="4" w:space="0"/>
              <w:right w:val="single" w:color="000000" w:sz="4" w:space="0"/>
            </w:tcBorders>
            <w:vAlign w:val="center"/>
          </w:tcPr>
          <w:p w14:paraId="1030F763">
            <w:pPr>
              <w:widowControl/>
              <w:spacing w:before="100" w:beforeAutospacing="1" w:after="100" w:afterAutospacing="1"/>
              <w:jc w:val="center"/>
              <w:rPr>
                <w:color w:val="auto"/>
                <w:highlight w:val="none"/>
              </w:rPr>
            </w:pPr>
            <w:r>
              <w:rPr>
                <w:color w:val="auto"/>
                <w:szCs w:val="21"/>
                <w:highlight w:val="none"/>
              </w:rPr>
              <w:t>1</w:t>
            </w:r>
            <w:r>
              <w:rPr>
                <w:rFonts w:hint="eastAsia"/>
                <w:color w:val="auto"/>
                <w:szCs w:val="21"/>
                <w:highlight w:val="none"/>
              </w:rPr>
              <w:t>0</w:t>
            </w:r>
          </w:p>
        </w:tc>
        <w:tc>
          <w:tcPr>
            <w:tcW w:w="3937" w:type="pct"/>
            <w:tcBorders>
              <w:top w:val="single" w:color="000000" w:sz="4" w:space="0"/>
              <w:left w:val="single" w:color="000000" w:sz="4" w:space="0"/>
              <w:bottom w:val="single" w:color="000000" w:sz="4" w:space="0"/>
              <w:right w:val="single" w:color="000000" w:sz="4" w:space="0"/>
            </w:tcBorders>
            <w:vAlign w:val="center"/>
          </w:tcPr>
          <w:p w14:paraId="1B1BD22E">
            <w:pPr>
              <w:pStyle w:val="27"/>
              <w:spacing w:line="360" w:lineRule="auto"/>
              <w:ind w:firstLine="0" w:firstLineChars="0"/>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.投标人</w:t>
            </w:r>
            <w:r>
              <w:rPr>
                <w:rFonts w:hint="eastAsia" w:ascii="Times New Roman" w:hAnsi="Times New Roman"/>
                <w:color w:val="auto"/>
                <w:szCs w:val="21"/>
                <w:highlight w:val="none"/>
              </w:rPr>
              <w:t>具备</w:t>
            </w:r>
            <w:r>
              <w:rPr>
                <w:rFonts w:ascii="Times New Roman" w:hAnsi="Times New Roman"/>
                <w:color w:val="auto"/>
                <w:szCs w:val="21"/>
                <w:highlight w:val="none"/>
              </w:rPr>
              <w:t>2022年1月1日以来（以证明材料</w:t>
            </w:r>
            <w:r>
              <w:rPr>
                <w:rFonts w:hint="eastAsia" w:ascii="Times New Roman" w:hAnsi="Times New Roman"/>
                <w:color w:val="auto"/>
                <w:szCs w:val="21"/>
                <w:highlight w:val="none"/>
              </w:rPr>
              <w:t>的</w:t>
            </w:r>
            <w:r>
              <w:rPr>
                <w:rFonts w:ascii="Times New Roman" w:hAnsi="Times New Roman"/>
                <w:color w:val="auto"/>
                <w:szCs w:val="21"/>
                <w:highlight w:val="none"/>
              </w:rPr>
              <w:t>时间为准）承担过（或正在承担）交通类无人机智能巡查项目的</w:t>
            </w:r>
            <w:r>
              <w:rPr>
                <w:rFonts w:hint="eastAsia" w:ascii="Times New Roman" w:hAnsi="Times New Roman"/>
                <w:color w:val="auto"/>
                <w:szCs w:val="21"/>
                <w:highlight w:val="none"/>
              </w:rPr>
              <w:t>业绩</w:t>
            </w:r>
            <w:r>
              <w:rPr>
                <w:rFonts w:ascii="Times New Roman" w:hAnsi="Times New Roman"/>
                <w:color w:val="auto"/>
                <w:szCs w:val="21"/>
                <w:highlight w:val="none"/>
              </w:rPr>
              <w:t>，每个得</w:t>
            </w:r>
            <w:r>
              <w:rPr>
                <w:rFonts w:hint="eastAsia" w:ascii="Times New Roman" w:hAnsi="Times New Roman"/>
                <w:color w:val="auto"/>
                <w:szCs w:val="21"/>
                <w:highlight w:val="none"/>
              </w:rPr>
              <w:t>2.5</w:t>
            </w:r>
            <w:r>
              <w:rPr>
                <w:rFonts w:ascii="Times New Roman" w:hAnsi="Times New Roman"/>
                <w:color w:val="auto"/>
                <w:szCs w:val="21"/>
                <w:highlight w:val="none"/>
              </w:rPr>
              <w:t>分，最高得</w:t>
            </w:r>
            <w:r>
              <w:rPr>
                <w:rFonts w:hint="eastAsia" w:ascii="Times New Roman" w:hAnsi="Times New Roman"/>
                <w:color w:val="auto"/>
                <w:szCs w:val="21"/>
                <w:highlight w:val="none"/>
              </w:rPr>
              <w:t>10</w:t>
            </w:r>
            <w:r>
              <w:rPr>
                <w:rFonts w:ascii="Times New Roman" w:hAnsi="Times New Roman"/>
                <w:color w:val="auto"/>
                <w:szCs w:val="21"/>
                <w:highlight w:val="none"/>
              </w:rPr>
              <w:t>分。</w:t>
            </w:r>
          </w:p>
          <w:p w14:paraId="344AE4D4">
            <w:pPr>
              <w:spacing w:line="360" w:lineRule="auto"/>
              <w:rPr>
                <w:color w:val="auto"/>
                <w:szCs w:val="21"/>
                <w:highlight w:val="none"/>
              </w:rPr>
            </w:pPr>
            <w:r>
              <w:rPr>
                <w:rFonts w:hint="eastAsia"/>
                <w:color w:val="auto"/>
                <w:szCs w:val="21"/>
                <w:highlight w:val="none"/>
              </w:rPr>
              <w:t>2</w:t>
            </w:r>
            <w:r>
              <w:rPr>
                <w:color w:val="auto"/>
                <w:szCs w:val="21"/>
                <w:highlight w:val="none"/>
              </w:rPr>
              <w:t>.投标人</w:t>
            </w:r>
            <w:r>
              <w:rPr>
                <w:rFonts w:hint="eastAsia"/>
                <w:color w:val="auto"/>
                <w:szCs w:val="21"/>
                <w:highlight w:val="none"/>
              </w:rPr>
              <w:t>具备</w:t>
            </w:r>
            <w:r>
              <w:rPr>
                <w:color w:val="auto"/>
                <w:szCs w:val="21"/>
                <w:highlight w:val="none"/>
              </w:rPr>
              <w:t>2022年1月1日以来（以证明材料</w:t>
            </w:r>
            <w:r>
              <w:rPr>
                <w:rFonts w:hint="eastAsia"/>
                <w:color w:val="auto"/>
                <w:szCs w:val="21"/>
                <w:highlight w:val="none"/>
              </w:rPr>
              <w:t>的</w:t>
            </w:r>
            <w:r>
              <w:rPr>
                <w:color w:val="auto"/>
                <w:szCs w:val="21"/>
                <w:highlight w:val="none"/>
              </w:rPr>
              <w:t>时间为准）承担过（或正在承担）合同金额</w:t>
            </w:r>
            <w:r>
              <w:rPr>
                <w:rFonts w:hint="eastAsia"/>
                <w:color w:val="auto"/>
                <w:szCs w:val="21"/>
                <w:highlight w:val="none"/>
                <w:lang w:val="en-US" w:eastAsia="zh-CN"/>
              </w:rPr>
              <w:t>150</w:t>
            </w:r>
            <w:r>
              <w:rPr>
                <w:color w:val="auto"/>
                <w:szCs w:val="21"/>
                <w:highlight w:val="none"/>
              </w:rPr>
              <w:t>万</w:t>
            </w:r>
            <w:r>
              <w:rPr>
                <w:rFonts w:hint="eastAsia"/>
                <w:color w:val="auto"/>
                <w:highlight w:val="none"/>
              </w:rPr>
              <w:t>元</w:t>
            </w:r>
            <w:r>
              <w:rPr>
                <w:color w:val="auto"/>
                <w:szCs w:val="21"/>
                <w:highlight w:val="none"/>
              </w:rPr>
              <w:t>（含）及以上的无人机智能巡查项目的</w:t>
            </w:r>
            <w:r>
              <w:rPr>
                <w:rFonts w:hint="eastAsia"/>
                <w:color w:val="auto"/>
                <w:szCs w:val="21"/>
                <w:highlight w:val="none"/>
              </w:rPr>
              <w:t>业绩</w:t>
            </w:r>
            <w:r>
              <w:rPr>
                <w:color w:val="auto"/>
                <w:szCs w:val="21"/>
                <w:highlight w:val="none"/>
              </w:rPr>
              <w:t>，每个得</w:t>
            </w:r>
            <w:r>
              <w:rPr>
                <w:rFonts w:hint="eastAsia"/>
                <w:color w:val="auto"/>
                <w:szCs w:val="21"/>
                <w:highlight w:val="none"/>
              </w:rPr>
              <w:t>2.5</w:t>
            </w:r>
            <w:r>
              <w:rPr>
                <w:color w:val="auto"/>
                <w:szCs w:val="21"/>
                <w:highlight w:val="none"/>
              </w:rPr>
              <w:t>分，最高得</w:t>
            </w:r>
            <w:r>
              <w:rPr>
                <w:rFonts w:hint="eastAsia"/>
                <w:color w:val="auto"/>
                <w:szCs w:val="21"/>
                <w:highlight w:val="none"/>
              </w:rPr>
              <w:t>10</w:t>
            </w:r>
            <w:r>
              <w:rPr>
                <w:color w:val="auto"/>
                <w:szCs w:val="21"/>
                <w:highlight w:val="none"/>
              </w:rPr>
              <w:t>分。</w:t>
            </w:r>
          </w:p>
          <w:p w14:paraId="1A0275F2">
            <w:pPr>
              <w:spacing w:line="360" w:lineRule="auto"/>
              <w:rPr>
                <w:color w:val="auto"/>
                <w:highlight w:val="none"/>
              </w:rPr>
            </w:pPr>
            <w:r>
              <w:rPr>
                <w:color w:val="auto"/>
                <w:szCs w:val="21"/>
                <w:highlight w:val="none"/>
              </w:rPr>
              <w:t>注：①投标人提供的同一业绩</w:t>
            </w:r>
            <w:r>
              <w:rPr>
                <w:rFonts w:hint="eastAsia"/>
                <w:color w:val="auto"/>
                <w:szCs w:val="21"/>
                <w:highlight w:val="none"/>
              </w:rPr>
              <w:t>按最高得分计1次，同一业绩</w:t>
            </w:r>
            <w:r>
              <w:rPr>
                <w:color w:val="auto"/>
                <w:szCs w:val="21"/>
                <w:highlight w:val="none"/>
              </w:rPr>
              <w:t>不重复计分</w:t>
            </w:r>
            <w:r>
              <w:rPr>
                <w:rFonts w:hint="eastAsia"/>
                <w:color w:val="auto"/>
                <w:szCs w:val="21"/>
                <w:highlight w:val="none"/>
              </w:rPr>
              <w:t>，</w:t>
            </w:r>
            <w:r>
              <w:rPr>
                <w:color w:val="auto"/>
                <w:szCs w:val="21"/>
                <w:highlight w:val="none"/>
              </w:rPr>
              <w:t>本项合计最高得1</w:t>
            </w:r>
            <w:r>
              <w:rPr>
                <w:rFonts w:hint="eastAsia"/>
                <w:color w:val="auto"/>
                <w:szCs w:val="21"/>
                <w:highlight w:val="none"/>
              </w:rPr>
              <w:t>0</w:t>
            </w:r>
            <w:r>
              <w:rPr>
                <w:color w:val="auto"/>
                <w:szCs w:val="21"/>
                <w:highlight w:val="none"/>
              </w:rPr>
              <w:t>分。</w:t>
            </w:r>
          </w:p>
          <w:p w14:paraId="51275D82">
            <w:pPr>
              <w:pStyle w:val="27"/>
              <w:spacing w:line="360" w:lineRule="auto"/>
              <w:ind w:firstLine="0" w:firstLineChars="0"/>
              <w:rPr>
                <w:rFonts w:hint="eastAsia" w:ascii="Times New Roman" w:hAnsi="Times New Roman" w:eastAsia="宋体"/>
                <w:color w:val="auto"/>
                <w:szCs w:val="21"/>
                <w:highlight w:val="none"/>
                <w:lang w:eastAsia="zh-CN"/>
              </w:rPr>
            </w:pPr>
            <w:r>
              <w:rPr>
                <w:rFonts w:ascii="Times New Roman" w:hAnsi="Times New Roman"/>
                <w:color w:val="auto"/>
                <w:szCs w:val="21"/>
                <w:highlight w:val="none"/>
              </w:rPr>
              <w:t>②</w:t>
            </w:r>
            <w:r>
              <w:rPr>
                <w:rFonts w:hint="eastAsia" w:ascii="Times New Roman" w:hAnsi="Times New Roman"/>
                <w:color w:val="auto"/>
                <w:szCs w:val="21"/>
                <w:highlight w:val="none"/>
              </w:rPr>
              <w:t>证明材料</w:t>
            </w:r>
            <w:r>
              <w:rPr>
                <w:rFonts w:ascii="Times New Roman" w:hAnsi="Times New Roman"/>
                <w:color w:val="auto"/>
                <w:szCs w:val="21"/>
                <w:highlight w:val="none"/>
              </w:rPr>
              <w:t>需提供以下</w:t>
            </w:r>
            <w:r>
              <w:rPr>
                <w:rFonts w:hint="eastAsia" w:ascii="Times New Roman" w:hAnsi="Times New Roman"/>
                <w:color w:val="auto"/>
                <w:szCs w:val="21"/>
                <w:highlight w:val="none"/>
              </w:rPr>
              <w:t>任一</w:t>
            </w:r>
            <w:r>
              <w:rPr>
                <w:rFonts w:ascii="Times New Roman" w:hAnsi="Times New Roman"/>
                <w:color w:val="auto"/>
                <w:szCs w:val="21"/>
                <w:highlight w:val="none"/>
              </w:rPr>
              <w:t>材料：与</w:t>
            </w:r>
            <w:r>
              <w:rPr>
                <w:rFonts w:hint="eastAsia" w:ascii="Times New Roman" w:hAnsi="Times New Roman"/>
                <w:color w:val="auto"/>
                <w:szCs w:val="21"/>
                <w:highlight w:val="none"/>
              </w:rPr>
              <w:t>委托人</w:t>
            </w:r>
            <w:r>
              <w:rPr>
                <w:rFonts w:ascii="Times New Roman" w:hAnsi="Times New Roman"/>
                <w:color w:val="auto"/>
                <w:szCs w:val="21"/>
                <w:highlight w:val="none"/>
              </w:rPr>
              <w:t>签订的合同复印件或</w:t>
            </w:r>
            <w:r>
              <w:rPr>
                <w:rFonts w:hint="eastAsia" w:ascii="Times New Roman" w:hAnsi="Times New Roman"/>
                <w:color w:val="auto"/>
                <w:szCs w:val="21"/>
                <w:highlight w:val="none"/>
              </w:rPr>
              <w:t>委托人</w:t>
            </w:r>
            <w:r>
              <w:rPr>
                <w:rFonts w:ascii="Times New Roman" w:hAnsi="Times New Roman"/>
                <w:color w:val="auto"/>
                <w:szCs w:val="21"/>
                <w:highlight w:val="none"/>
              </w:rPr>
              <w:t>开具的应用证明</w:t>
            </w:r>
            <w:r>
              <w:rPr>
                <w:rFonts w:hint="eastAsia" w:ascii="Times New Roman" w:hAnsi="Times New Roman"/>
                <w:color w:val="auto"/>
                <w:szCs w:val="21"/>
                <w:highlight w:val="none"/>
              </w:rPr>
              <w:t>等材料</w:t>
            </w:r>
            <w:r>
              <w:rPr>
                <w:rFonts w:ascii="Times New Roman" w:hAnsi="Times New Roman"/>
                <w:color w:val="auto"/>
                <w:szCs w:val="21"/>
                <w:highlight w:val="none"/>
              </w:rPr>
              <w:t>复印件</w:t>
            </w:r>
            <w:r>
              <w:rPr>
                <w:rFonts w:hint="eastAsia" w:ascii="Times New Roman" w:hAnsi="Times New Roman"/>
                <w:color w:val="auto"/>
                <w:szCs w:val="21"/>
                <w:highlight w:val="none"/>
              </w:rPr>
              <w:t>并</w:t>
            </w:r>
            <w:r>
              <w:rPr>
                <w:rFonts w:ascii="Times New Roman" w:hAnsi="Times New Roman"/>
                <w:color w:val="auto"/>
                <w:szCs w:val="21"/>
                <w:highlight w:val="none"/>
              </w:rPr>
              <w:t>加盖投标人公章，若为联合体参与本项目投标，由联合体任意一方或多方提供的有效材料复印件可作为评审依据</w:t>
            </w:r>
            <w:r>
              <w:rPr>
                <w:rFonts w:hint="eastAsia" w:ascii="Times New Roman" w:hAnsi="Times New Roman"/>
                <w:color w:val="auto"/>
                <w:szCs w:val="21"/>
                <w:highlight w:val="none"/>
                <w:lang w:eastAsia="zh-CN"/>
              </w:rPr>
              <w:t>。</w:t>
            </w:r>
          </w:p>
          <w:p w14:paraId="0FE808E4">
            <w:pPr>
              <w:pStyle w:val="9"/>
              <w:spacing w:line="360" w:lineRule="auto"/>
              <w:ind w:firstLine="0" w:firstLineChars="0"/>
              <w:rPr>
                <w:rFonts w:hint="eastAsia" w:ascii="Times New Roman" w:hAnsi="Times New Roman"/>
                <w:color w:val="auto"/>
                <w:szCs w:val="21"/>
                <w:highlight w:val="none"/>
                <w:lang w:eastAsia="zh-CN"/>
              </w:rPr>
            </w:pPr>
            <w:r>
              <w:rPr>
                <w:rFonts w:hint="eastAsia" w:ascii="Times New Roman" w:hAnsi="Times New Roman"/>
                <w:color w:val="auto"/>
                <w:szCs w:val="21"/>
                <w:highlight w:val="none"/>
              </w:rPr>
              <w:t>③“证明材料的时间”是指：</w:t>
            </w:r>
            <w:r>
              <w:rPr>
                <w:rFonts w:hint="eastAsia"/>
                <w:color w:val="auto"/>
                <w:szCs w:val="21"/>
                <w:highlight w:val="none"/>
                <w:lang w:val="en-US" w:eastAsia="zh-CN"/>
              </w:rPr>
              <w:t>若</w:t>
            </w:r>
            <w:r>
              <w:rPr>
                <w:rFonts w:hint="eastAsia" w:ascii="Times New Roman" w:hAnsi="Times New Roman"/>
                <w:color w:val="auto"/>
                <w:szCs w:val="21"/>
                <w:highlight w:val="none"/>
              </w:rPr>
              <w:t>投标人提供的是合同复印件，以合同的签订时间为准；</w:t>
            </w:r>
            <w:r>
              <w:rPr>
                <w:rFonts w:hint="eastAsia"/>
                <w:color w:val="auto"/>
                <w:szCs w:val="21"/>
                <w:highlight w:val="none"/>
                <w:lang w:val="en-US" w:eastAsia="zh-CN"/>
              </w:rPr>
              <w:t>若</w:t>
            </w:r>
            <w:r>
              <w:rPr>
                <w:rFonts w:hint="eastAsia" w:ascii="Times New Roman" w:hAnsi="Times New Roman"/>
                <w:color w:val="auto"/>
                <w:szCs w:val="21"/>
                <w:highlight w:val="none"/>
              </w:rPr>
              <w:t>投标人提供的是应用证明等材料，</w:t>
            </w:r>
            <w:r>
              <w:rPr>
                <w:rFonts w:hint="eastAsia"/>
                <w:color w:val="auto"/>
                <w:szCs w:val="21"/>
                <w:highlight w:val="none"/>
                <w:lang w:val="en-US" w:eastAsia="zh-CN"/>
              </w:rPr>
              <w:t>如证明中的项目已完工，则以已完工时间为准，如证明中的项目未完工，则以开工时间为准</w:t>
            </w:r>
            <w:r>
              <w:rPr>
                <w:rFonts w:hint="eastAsia" w:ascii="Times New Roman" w:hAnsi="Times New Roman"/>
                <w:color w:val="auto"/>
                <w:szCs w:val="21"/>
                <w:highlight w:val="none"/>
              </w:rPr>
              <w:t>；证明材料</w:t>
            </w:r>
            <w:r>
              <w:rPr>
                <w:rFonts w:ascii="Times New Roman" w:hAnsi="Times New Roman"/>
                <w:color w:val="auto"/>
                <w:szCs w:val="21"/>
                <w:highlight w:val="none"/>
              </w:rPr>
              <w:t>内容不全或提供的资料</w:t>
            </w:r>
            <w:r>
              <w:rPr>
                <w:rFonts w:hint="eastAsia" w:ascii="Times New Roman" w:hAnsi="Times New Roman"/>
                <w:color w:val="auto"/>
                <w:szCs w:val="21"/>
                <w:highlight w:val="none"/>
              </w:rPr>
              <w:t>和本项目业绩要求不符的，不予得分</w:t>
            </w:r>
            <w:r>
              <w:rPr>
                <w:rFonts w:hint="eastAsia" w:ascii="Times New Roman" w:hAnsi="Times New Roman"/>
                <w:color w:val="auto"/>
                <w:szCs w:val="21"/>
                <w:highlight w:val="none"/>
                <w:lang w:eastAsia="zh-CN"/>
              </w:rPr>
              <w:t>。</w:t>
            </w:r>
          </w:p>
          <w:p w14:paraId="5F77C4A9">
            <w:pPr>
              <w:pStyle w:val="27"/>
              <w:spacing w:line="360" w:lineRule="auto"/>
              <w:ind w:firstLine="0" w:firstLineChars="0"/>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rPr>
              <w:t>④委托人开具的应用证明</w:t>
            </w:r>
            <w:r>
              <w:rPr>
                <w:rFonts w:hint="eastAsia" w:ascii="Times New Roman" w:hAnsi="Times New Roman"/>
                <w:color w:val="auto"/>
                <w:szCs w:val="21"/>
                <w:highlight w:val="none"/>
                <w:lang w:val="en-US" w:eastAsia="zh-CN"/>
              </w:rPr>
              <w:t>包括但不限于以下内容：项目名称、委托人名称、委托时间（应用实施时间）或项目完工时间、具体的应用范围或内容等。</w:t>
            </w:r>
          </w:p>
          <w:p w14:paraId="77A8F538">
            <w:pPr>
              <w:pStyle w:val="27"/>
              <w:spacing w:line="360" w:lineRule="auto"/>
              <w:ind w:firstLine="0" w:firstLineChars="0"/>
              <w:rPr>
                <w:rFonts w:ascii="Times New Roman" w:hAnsi="Times New Roman"/>
                <w:color w:val="auto"/>
                <w:highlight w:val="none"/>
              </w:rPr>
            </w:pPr>
            <w:r>
              <w:rPr>
                <w:rFonts w:hint="eastAsia" w:ascii="Times New Roman" w:hAnsi="Times New Roman"/>
                <w:color w:val="auto"/>
                <w:szCs w:val="21"/>
                <w:highlight w:val="none"/>
              </w:rPr>
              <w:fldChar w:fldCharType="begin"/>
            </w:r>
            <w:r>
              <w:rPr>
                <w:rFonts w:hint="eastAsia" w:ascii="Times New Roman" w:hAnsi="Times New Roman"/>
                <w:color w:val="auto"/>
                <w:szCs w:val="21"/>
                <w:highlight w:val="none"/>
              </w:rPr>
              <w:instrText xml:space="preserve"> = 5 \* GB3 \* MERGEFORMAT </w:instrText>
            </w:r>
            <w:r>
              <w:rPr>
                <w:rFonts w:hint="eastAsia" w:ascii="Times New Roman" w:hAnsi="Times New Roman"/>
                <w:color w:val="auto"/>
                <w:szCs w:val="21"/>
                <w:highlight w:val="none"/>
              </w:rPr>
              <w:fldChar w:fldCharType="separate"/>
            </w:r>
            <w:r>
              <w:rPr>
                <w:rFonts w:hint="eastAsia" w:ascii="Times New Roman" w:hAnsi="Times New Roman"/>
                <w:color w:val="auto"/>
                <w:szCs w:val="21"/>
                <w:highlight w:val="none"/>
              </w:rPr>
              <w:t>⑤</w:t>
            </w:r>
            <w:r>
              <w:rPr>
                <w:rFonts w:hint="eastAsia" w:ascii="Times New Roman" w:hAnsi="Times New Roman"/>
                <w:color w:val="auto"/>
                <w:szCs w:val="21"/>
                <w:highlight w:val="none"/>
              </w:rPr>
              <w:fldChar w:fldCharType="end"/>
            </w:r>
            <w:r>
              <w:rPr>
                <w:rFonts w:hint="eastAsia" w:ascii="Times New Roman" w:hAnsi="Times New Roman"/>
                <w:color w:val="auto"/>
                <w:szCs w:val="21"/>
                <w:highlight w:val="none"/>
              </w:rPr>
              <w:t>证</w:t>
            </w:r>
            <w:r>
              <w:rPr>
                <w:rFonts w:hint="eastAsia" w:ascii="宋体" w:hAnsi="宋体"/>
                <w:color w:val="auto"/>
                <w:szCs w:val="21"/>
                <w:highlight w:val="none"/>
              </w:rPr>
              <w:t>明材料应能体现满足以上要求的内容</w:t>
            </w:r>
            <w:r>
              <w:rPr>
                <w:rFonts w:hint="eastAsia" w:ascii="Times New Roman" w:hAnsi="Times New Roman"/>
                <w:color w:val="auto"/>
                <w:szCs w:val="21"/>
                <w:highlight w:val="none"/>
                <w:lang w:val="en-US" w:eastAsia="zh-CN"/>
              </w:rPr>
              <w:t>，否则不得分</w:t>
            </w:r>
            <w:r>
              <w:rPr>
                <w:rFonts w:hint="eastAsia" w:ascii="Times New Roman" w:hAnsi="Times New Roman"/>
                <w:color w:val="auto"/>
                <w:szCs w:val="21"/>
                <w:highlight w:val="none"/>
              </w:rPr>
              <w:t>。</w:t>
            </w:r>
          </w:p>
        </w:tc>
      </w:tr>
      <w:tr w14:paraId="5DB5B572">
        <w:tblPrEx>
          <w:tblCellMar>
            <w:top w:w="0" w:type="dxa"/>
            <w:left w:w="108" w:type="dxa"/>
            <w:bottom w:w="0" w:type="dxa"/>
            <w:right w:w="108" w:type="dxa"/>
          </w:tblCellMar>
        </w:tblPrEx>
        <w:trPr>
          <w:trHeight w:val="135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6DC4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13762">
            <w:pPr>
              <w:widowControl/>
              <w:spacing w:before="100" w:beforeAutospacing="1" w:after="100" w:afterAutospacing="1"/>
              <w:jc w:val="center"/>
              <w:rPr>
                <w:rFonts w:hint="eastAsia" w:ascii="宋体" w:hAnsi="宋体" w:cs="宋体"/>
                <w:color w:val="auto"/>
                <w:szCs w:val="21"/>
                <w:highlight w:val="none"/>
              </w:rPr>
            </w:pPr>
            <w:r>
              <w:rPr>
                <w:rFonts w:hint="eastAsia"/>
                <w:color w:val="auto"/>
                <w:szCs w:val="21"/>
                <w:highlight w:val="none"/>
              </w:rPr>
              <w:t>服务</w:t>
            </w:r>
            <w:r>
              <w:rPr>
                <w:color w:val="auto"/>
                <w:szCs w:val="21"/>
                <w:highlight w:val="none"/>
              </w:rPr>
              <w:t>评价</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AA5E4">
            <w:pPr>
              <w:widowControl/>
              <w:spacing w:before="100" w:beforeAutospacing="1" w:after="100" w:afterAutospacing="1"/>
              <w:jc w:val="center"/>
              <w:rPr>
                <w:color w:val="auto"/>
                <w:highlight w:val="none"/>
              </w:rPr>
            </w:pPr>
            <w:r>
              <w:rPr>
                <w:rFonts w:hint="eastAsia"/>
                <w:color w:val="auto"/>
                <w:szCs w:val="21"/>
                <w:highlight w:val="none"/>
              </w:rPr>
              <w:t>1</w:t>
            </w:r>
          </w:p>
        </w:tc>
        <w:tc>
          <w:tcPr>
            <w:tcW w:w="3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A6082">
            <w:pPr>
              <w:ind w:firstLine="0" w:firstLineChars="0"/>
              <w:rPr>
                <w:color w:val="auto"/>
                <w:szCs w:val="21"/>
                <w:highlight w:val="none"/>
              </w:rPr>
            </w:pPr>
            <w:r>
              <w:rPr>
                <w:color w:val="auto"/>
                <w:szCs w:val="21"/>
                <w:highlight w:val="none"/>
              </w:rPr>
              <w:t>对上述第</w:t>
            </w:r>
            <w:r>
              <w:rPr>
                <w:rFonts w:hint="eastAsia"/>
                <w:color w:val="auto"/>
                <w:szCs w:val="21"/>
                <w:highlight w:val="none"/>
              </w:rPr>
              <w:t>3</w:t>
            </w:r>
            <w:r>
              <w:rPr>
                <w:color w:val="auto"/>
                <w:szCs w:val="21"/>
                <w:highlight w:val="none"/>
              </w:rPr>
              <w:t>点</w:t>
            </w:r>
            <w:r>
              <w:rPr>
                <w:rFonts w:hint="eastAsia"/>
                <w:color w:val="auto"/>
                <w:highlight w:val="none"/>
              </w:rPr>
              <w:t>“投标人</w:t>
            </w:r>
            <w:r>
              <w:rPr>
                <w:color w:val="auto"/>
                <w:szCs w:val="21"/>
                <w:highlight w:val="none"/>
              </w:rPr>
              <w:t>业绩</w:t>
            </w:r>
            <w:r>
              <w:rPr>
                <w:rFonts w:hint="eastAsia"/>
                <w:color w:val="auto"/>
                <w:szCs w:val="21"/>
                <w:highlight w:val="none"/>
              </w:rPr>
              <w:t>”</w:t>
            </w:r>
            <w:r>
              <w:rPr>
                <w:color w:val="auto"/>
                <w:szCs w:val="21"/>
                <w:highlight w:val="none"/>
              </w:rPr>
              <w:t>得到</w:t>
            </w:r>
            <w:r>
              <w:rPr>
                <w:rFonts w:hint="eastAsia"/>
                <w:color w:val="auto"/>
                <w:szCs w:val="21"/>
                <w:highlight w:val="none"/>
              </w:rPr>
              <w:t>委托人</w:t>
            </w:r>
            <w:r>
              <w:rPr>
                <w:color w:val="auto"/>
                <w:szCs w:val="21"/>
                <w:highlight w:val="none"/>
              </w:rPr>
              <w:t>的服务评价进行评分：</w:t>
            </w:r>
          </w:p>
          <w:p w14:paraId="657D2620">
            <w:pPr>
              <w:ind w:firstLine="0" w:firstLineChars="0"/>
              <w:rPr>
                <w:color w:val="auto"/>
                <w:szCs w:val="21"/>
                <w:highlight w:val="none"/>
              </w:rPr>
            </w:pPr>
            <w:r>
              <w:rPr>
                <w:color w:val="auto"/>
                <w:szCs w:val="21"/>
                <w:highlight w:val="none"/>
              </w:rPr>
              <w:t>每提供一份</w:t>
            </w:r>
            <w:r>
              <w:rPr>
                <w:rFonts w:hint="eastAsia"/>
                <w:color w:val="auto"/>
                <w:szCs w:val="21"/>
                <w:highlight w:val="none"/>
              </w:rPr>
              <w:t>业绩服务评价</w:t>
            </w:r>
            <w:r>
              <w:rPr>
                <w:color w:val="auto"/>
                <w:szCs w:val="21"/>
                <w:highlight w:val="none"/>
              </w:rPr>
              <w:t>结论为优秀或良好的得</w:t>
            </w:r>
            <w:r>
              <w:rPr>
                <w:rFonts w:hint="eastAsia"/>
                <w:color w:val="auto"/>
                <w:szCs w:val="21"/>
                <w:highlight w:val="none"/>
              </w:rPr>
              <w:t>1</w:t>
            </w:r>
            <w:r>
              <w:rPr>
                <w:color w:val="auto"/>
                <w:szCs w:val="21"/>
                <w:highlight w:val="none"/>
              </w:rPr>
              <w:t>分，本项最多得</w:t>
            </w:r>
            <w:r>
              <w:rPr>
                <w:rFonts w:hint="eastAsia"/>
                <w:color w:val="auto"/>
                <w:szCs w:val="21"/>
                <w:highlight w:val="none"/>
              </w:rPr>
              <w:t>1</w:t>
            </w:r>
            <w:r>
              <w:rPr>
                <w:color w:val="auto"/>
                <w:szCs w:val="21"/>
                <w:highlight w:val="none"/>
              </w:rPr>
              <w:t>分。</w:t>
            </w:r>
          </w:p>
          <w:p w14:paraId="54EFE287">
            <w:pPr>
              <w:ind w:firstLine="0" w:firstLineChars="0"/>
              <w:rPr>
                <w:color w:val="auto"/>
                <w:highlight w:val="none"/>
              </w:rPr>
            </w:pPr>
            <w:r>
              <w:rPr>
                <w:color w:val="auto"/>
                <w:szCs w:val="21"/>
                <w:highlight w:val="none"/>
              </w:rPr>
              <w:t>注：</w:t>
            </w:r>
            <w:r>
              <w:rPr>
                <w:rFonts w:hint="eastAsia"/>
                <w:color w:val="auto"/>
                <w:szCs w:val="21"/>
                <w:highlight w:val="none"/>
              </w:rPr>
              <w:t>委托人</w:t>
            </w:r>
            <w:r>
              <w:rPr>
                <w:color w:val="auto"/>
                <w:szCs w:val="21"/>
                <w:highlight w:val="none"/>
              </w:rPr>
              <w:t>的服务评价证明材料须盖有</w:t>
            </w:r>
            <w:r>
              <w:rPr>
                <w:rFonts w:hint="eastAsia"/>
                <w:color w:val="auto"/>
                <w:szCs w:val="21"/>
                <w:highlight w:val="none"/>
              </w:rPr>
              <w:t>委托人</w:t>
            </w:r>
            <w:r>
              <w:rPr>
                <w:color w:val="auto"/>
                <w:szCs w:val="21"/>
                <w:highlight w:val="none"/>
              </w:rPr>
              <w:t>公章或</w:t>
            </w:r>
            <w:r>
              <w:rPr>
                <w:rFonts w:hint="eastAsia"/>
                <w:color w:val="auto"/>
                <w:szCs w:val="21"/>
                <w:highlight w:val="none"/>
              </w:rPr>
              <w:t>委托人</w:t>
            </w:r>
            <w:r>
              <w:rPr>
                <w:color w:val="auto"/>
                <w:szCs w:val="21"/>
                <w:highlight w:val="none"/>
              </w:rPr>
              <w:t>相关使用部门印章</w:t>
            </w:r>
            <w:r>
              <w:rPr>
                <w:rFonts w:hint="eastAsia"/>
                <w:color w:val="auto"/>
                <w:szCs w:val="21"/>
                <w:highlight w:val="none"/>
              </w:rPr>
              <w:t>，</w:t>
            </w:r>
            <w:r>
              <w:rPr>
                <w:color w:val="auto"/>
                <w:szCs w:val="21"/>
                <w:highlight w:val="none"/>
              </w:rPr>
              <w:t>投标人需提供</w:t>
            </w:r>
            <w:r>
              <w:rPr>
                <w:rFonts w:hint="eastAsia"/>
                <w:color w:val="auto"/>
                <w:szCs w:val="21"/>
                <w:highlight w:val="none"/>
              </w:rPr>
              <w:t>业绩服务</w:t>
            </w:r>
            <w:r>
              <w:rPr>
                <w:color w:val="auto"/>
                <w:szCs w:val="21"/>
                <w:highlight w:val="none"/>
              </w:rPr>
              <w:t>评价复印件并加盖投标人公章作为证明材料</w:t>
            </w:r>
            <w:r>
              <w:rPr>
                <w:rFonts w:hint="eastAsia"/>
                <w:color w:val="auto"/>
                <w:szCs w:val="21"/>
                <w:highlight w:val="none"/>
              </w:rPr>
              <w:t>，否则不得分；若为联合体参与本项目投标，由联合体任意一方或多方提供的有效材料复印件可作为评审依据。</w:t>
            </w:r>
          </w:p>
        </w:tc>
      </w:tr>
    </w:tbl>
    <w:p w14:paraId="611B087B">
      <w:pPr>
        <w:spacing w:line="360" w:lineRule="auto"/>
        <w:ind w:firstLine="630" w:firstLineChars="300"/>
        <w:rPr>
          <w:rFonts w:hint="eastAsia" w:ascii="宋体" w:hAnsi="宋体"/>
          <w:color w:val="auto"/>
          <w:szCs w:val="21"/>
          <w:highlight w:val="none"/>
        </w:rPr>
        <w:sectPr>
          <w:pgSz w:w="16838" w:h="11905" w:orient="landscape"/>
          <w:pgMar w:top="1134" w:right="850" w:bottom="1417" w:left="850" w:header="567" w:footer="590" w:gutter="0"/>
          <w:cols w:space="720" w:num="1"/>
        </w:sectPr>
      </w:pPr>
    </w:p>
    <w:p w14:paraId="32117824">
      <w:pPr>
        <w:pStyle w:val="7"/>
        <w:rPr>
          <w:color w:val="auto"/>
          <w:highlight w:val="none"/>
        </w:rPr>
      </w:pPr>
    </w:p>
    <w:p w14:paraId="672A278C">
      <w:pPr>
        <w:rPr>
          <w:b/>
          <w:bCs/>
          <w:color w:val="auto"/>
          <w:sz w:val="24"/>
          <w:highlight w:val="none"/>
        </w:rPr>
      </w:pPr>
      <w:bookmarkStart w:id="608" w:name="_Toc9362"/>
      <w:bookmarkStart w:id="609" w:name="_Toc5001"/>
      <w:bookmarkStart w:id="610" w:name="_Toc940"/>
      <w:bookmarkStart w:id="611" w:name="_Toc9334"/>
      <w:bookmarkStart w:id="612" w:name="_Toc18184"/>
      <w:bookmarkStart w:id="613" w:name="_Toc11857"/>
      <w:bookmarkStart w:id="614" w:name="_Toc15389"/>
      <w:bookmarkStart w:id="615" w:name="_Toc8305"/>
      <w:r>
        <w:rPr>
          <w:rFonts w:hint="eastAsia"/>
          <w:b/>
          <w:bCs/>
          <w:color w:val="auto"/>
          <w:sz w:val="24"/>
          <w:highlight w:val="none"/>
        </w:rPr>
        <w:t>附表二：详细评审：技术部分详细评审评分标准</w:t>
      </w:r>
      <w:bookmarkEnd w:id="608"/>
      <w:bookmarkEnd w:id="609"/>
      <w:bookmarkEnd w:id="610"/>
      <w:bookmarkEnd w:id="611"/>
      <w:bookmarkEnd w:id="612"/>
      <w:bookmarkEnd w:id="613"/>
      <w:bookmarkEnd w:id="614"/>
      <w:bookmarkEnd w:id="615"/>
    </w:p>
    <w:p w14:paraId="3C5ABFA0">
      <w:pPr>
        <w:pStyle w:val="11"/>
        <w:jc w:val="center"/>
        <w:rPr>
          <w:rFonts w:hint="eastAsia" w:ascii="宋体" w:hAnsi="宋体"/>
          <w:b/>
          <w:color w:val="auto"/>
          <w:highlight w:val="none"/>
        </w:rPr>
      </w:pPr>
      <w:r>
        <w:rPr>
          <w:rFonts w:hint="eastAsia" w:ascii="宋体" w:hAnsi="宋体"/>
          <w:b/>
          <w:color w:val="auto"/>
          <w:highlight w:val="none"/>
        </w:rPr>
        <w:t>技术</w:t>
      </w:r>
      <w:r>
        <w:rPr>
          <w:rFonts w:hint="eastAsia"/>
          <w:b/>
          <w:color w:val="auto"/>
          <w:highlight w:val="none"/>
        </w:rPr>
        <w:t>部分</w:t>
      </w:r>
      <w:r>
        <w:rPr>
          <w:rFonts w:hint="eastAsia" w:ascii="宋体" w:hAnsi="宋体"/>
          <w:b/>
          <w:color w:val="auto"/>
          <w:highlight w:val="none"/>
        </w:rPr>
        <w:t>详细评审评分标准（55分）</w:t>
      </w:r>
    </w:p>
    <w:tbl>
      <w:tblPr>
        <w:tblStyle w:val="21"/>
        <w:tblW w:w="4999" w:type="pct"/>
        <w:tblInd w:w="0" w:type="dxa"/>
        <w:tblLayout w:type="autofit"/>
        <w:tblCellMar>
          <w:top w:w="0" w:type="dxa"/>
          <w:left w:w="108" w:type="dxa"/>
          <w:bottom w:w="0" w:type="dxa"/>
          <w:right w:w="108" w:type="dxa"/>
        </w:tblCellMar>
      </w:tblPr>
      <w:tblGrid>
        <w:gridCol w:w="845"/>
        <w:gridCol w:w="2687"/>
        <w:gridCol w:w="894"/>
        <w:gridCol w:w="10925"/>
      </w:tblGrid>
      <w:tr w14:paraId="28332A98">
        <w:tblPrEx>
          <w:tblCellMar>
            <w:top w:w="0" w:type="dxa"/>
            <w:left w:w="108" w:type="dxa"/>
            <w:bottom w:w="0" w:type="dxa"/>
            <w:right w:w="108" w:type="dxa"/>
          </w:tblCellMar>
        </w:tblPrEx>
        <w:trPr>
          <w:trHeight w:val="4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D0981">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FB0DD">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评审项目和内容</w:t>
            </w:r>
          </w:p>
        </w:tc>
        <w:tc>
          <w:tcPr>
            <w:tcW w:w="291" w:type="pct"/>
            <w:tcBorders>
              <w:top w:val="single" w:color="000000" w:sz="4" w:space="0"/>
              <w:left w:val="single" w:color="000000" w:sz="4" w:space="0"/>
              <w:bottom w:val="single" w:color="000000" w:sz="4" w:space="0"/>
              <w:right w:val="single" w:color="000000" w:sz="4" w:space="0"/>
            </w:tcBorders>
            <w:shd w:val="clear" w:color="auto" w:fill="EDEDED"/>
            <w:noWrap/>
            <w:vAlign w:val="center"/>
          </w:tcPr>
          <w:p w14:paraId="32B07BCA">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分值</w:t>
            </w:r>
          </w:p>
        </w:tc>
        <w:tc>
          <w:tcPr>
            <w:tcW w:w="3557" w:type="pct"/>
            <w:tcBorders>
              <w:top w:val="single" w:color="000000" w:sz="4" w:space="0"/>
              <w:left w:val="single" w:color="000000" w:sz="4" w:space="0"/>
              <w:bottom w:val="single" w:color="000000" w:sz="4" w:space="0"/>
              <w:right w:val="single" w:color="000000" w:sz="4" w:space="0"/>
            </w:tcBorders>
            <w:vAlign w:val="center"/>
          </w:tcPr>
          <w:p w14:paraId="24BF290C">
            <w:pPr>
              <w:widowControl/>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评审标准</w:t>
            </w:r>
          </w:p>
        </w:tc>
      </w:tr>
      <w:tr w14:paraId="52C5F5CA">
        <w:tblPrEx>
          <w:tblCellMar>
            <w:top w:w="0" w:type="dxa"/>
            <w:left w:w="108" w:type="dxa"/>
            <w:bottom w:w="0" w:type="dxa"/>
            <w:right w:w="108" w:type="dxa"/>
          </w:tblCellMar>
        </w:tblPrEx>
        <w:trPr>
          <w:trHeight w:val="4839"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69DC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83656">
            <w:pPr>
              <w:widowControl/>
              <w:jc w:val="center"/>
              <w:textAlignment w:val="center"/>
              <w:rPr>
                <w:rFonts w:hint="eastAsia" w:ascii="宋体" w:hAnsi="宋体" w:cs="宋体"/>
                <w:color w:val="auto"/>
                <w:szCs w:val="21"/>
                <w:highlight w:val="none"/>
              </w:rPr>
            </w:pPr>
            <w:r>
              <w:rPr>
                <w:rFonts w:hint="eastAsia" w:ascii="宋体" w:hAnsi="宋体"/>
                <w:color w:val="auto"/>
                <w:szCs w:val="21"/>
                <w:highlight w:val="none"/>
              </w:rPr>
              <w:t>拟派项目负责人</w:t>
            </w:r>
          </w:p>
        </w:tc>
        <w:tc>
          <w:tcPr>
            <w:tcW w:w="291" w:type="pct"/>
            <w:tcBorders>
              <w:top w:val="single" w:color="000000" w:sz="4" w:space="0"/>
              <w:left w:val="single" w:color="000000" w:sz="4" w:space="0"/>
              <w:bottom w:val="single" w:color="000000" w:sz="4" w:space="0"/>
              <w:right w:val="single" w:color="000000" w:sz="4" w:space="0"/>
            </w:tcBorders>
            <w:shd w:val="clear" w:color="auto" w:fill="EDEDED"/>
            <w:noWrap/>
            <w:vAlign w:val="center"/>
          </w:tcPr>
          <w:p w14:paraId="15FE3D04">
            <w:pPr>
              <w:widowControl/>
              <w:jc w:val="center"/>
              <w:textAlignment w:val="center"/>
              <w:rPr>
                <w:rFonts w:hint="eastAsia" w:ascii="等线" w:hAnsi="等线" w:eastAsia="等线" w:cs="等线"/>
                <w:color w:val="auto"/>
                <w:kern w:val="0"/>
                <w:szCs w:val="21"/>
                <w:highlight w:val="none"/>
                <w:lang w:eastAsia="zh-CN" w:bidi="ar"/>
              </w:rPr>
            </w:pPr>
            <w:r>
              <w:rPr>
                <w:rFonts w:hint="eastAsia" w:ascii="等线" w:hAnsi="等线" w:eastAsia="等线" w:cs="等线"/>
                <w:color w:val="auto"/>
                <w:kern w:val="0"/>
                <w:szCs w:val="21"/>
                <w:highlight w:val="none"/>
                <w:lang w:val="en-US" w:eastAsia="zh-CN" w:bidi="ar"/>
              </w:rPr>
              <w:t>4</w:t>
            </w:r>
          </w:p>
        </w:tc>
        <w:tc>
          <w:tcPr>
            <w:tcW w:w="3557" w:type="pct"/>
            <w:tcBorders>
              <w:top w:val="single" w:color="000000" w:sz="4" w:space="0"/>
              <w:left w:val="single" w:color="000000" w:sz="4" w:space="0"/>
              <w:bottom w:val="single" w:color="000000" w:sz="4" w:space="0"/>
              <w:right w:val="single" w:color="000000" w:sz="4" w:space="0"/>
            </w:tcBorders>
            <w:vAlign w:val="center"/>
          </w:tcPr>
          <w:p w14:paraId="04AA01B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
                <w:bCs/>
                <w:color w:val="auto"/>
                <w:szCs w:val="21"/>
                <w:highlight w:val="none"/>
              </w:rPr>
            </w:pPr>
            <w:r>
              <w:rPr>
                <w:rFonts w:hint="eastAsia" w:ascii="宋体" w:hAnsi="宋体"/>
                <w:color w:val="auto"/>
                <w:szCs w:val="21"/>
                <w:highlight w:val="none"/>
                <w:lang w:val="en-US" w:eastAsia="zh-CN"/>
              </w:rPr>
              <w:t>对投标人拟投入本项目的</w:t>
            </w:r>
            <w:r>
              <w:rPr>
                <w:rFonts w:hint="eastAsia" w:ascii="宋体" w:hAnsi="宋体"/>
                <w:color w:val="auto"/>
                <w:szCs w:val="21"/>
                <w:highlight w:val="none"/>
              </w:rPr>
              <w:t>项目负责人</w:t>
            </w:r>
            <w:r>
              <w:rPr>
                <w:rFonts w:hint="eastAsia" w:ascii="宋体" w:hAnsi="宋体"/>
                <w:color w:val="auto"/>
                <w:szCs w:val="21"/>
                <w:highlight w:val="none"/>
                <w:lang w:val="en-US" w:eastAsia="zh-CN"/>
              </w:rPr>
              <w:t>进行评分：</w:t>
            </w:r>
          </w:p>
          <w:p w14:paraId="61BC32F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olor w:val="auto"/>
                <w:szCs w:val="21"/>
                <w:highlight w:val="none"/>
              </w:rPr>
            </w:pPr>
            <w:r>
              <w:rPr>
                <w:rFonts w:hint="eastAsia" w:ascii="宋体" w:hAnsi="宋体"/>
                <w:b/>
                <w:bCs/>
                <w:color w:val="auto"/>
                <w:szCs w:val="21"/>
                <w:highlight w:val="none"/>
              </w:rPr>
              <w:t>一、项目负责人资历（</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分）</w:t>
            </w:r>
            <w:r>
              <w:rPr>
                <w:rFonts w:hint="eastAsia" w:ascii="宋体" w:hAnsi="宋体"/>
                <w:b/>
                <w:bCs/>
                <w:color w:val="auto"/>
                <w:szCs w:val="21"/>
                <w:highlight w:val="none"/>
                <w:lang w:val="en-US" w:eastAsia="zh-CN"/>
              </w:rPr>
              <w:t>:</w:t>
            </w:r>
          </w:p>
          <w:p w14:paraId="4473CCF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
                <w:bCs/>
                <w:color w:val="auto"/>
                <w:szCs w:val="21"/>
                <w:highlight w:val="none"/>
              </w:rPr>
            </w:pPr>
            <w:r>
              <w:rPr>
                <w:rFonts w:hint="eastAsia" w:ascii="宋体" w:hAnsi="宋体"/>
                <w:color w:val="auto"/>
                <w:szCs w:val="21"/>
                <w:highlight w:val="none"/>
              </w:rPr>
              <w:t>1.项目负责人持有轨道交通或通信专业或自动化或系统集成项目管理的高级工程师职称</w:t>
            </w:r>
            <w:r>
              <w:rPr>
                <w:rFonts w:hint="eastAsia" w:ascii="宋体" w:hAnsi="宋体"/>
                <w:color w:val="auto"/>
                <w:szCs w:val="21"/>
                <w:highlight w:val="none"/>
                <w:lang w:val="en-US" w:eastAsia="zh-CN"/>
              </w:rPr>
              <w:t>或以上</w:t>
            </w:r>
            <w:r>
              <w:rPr>
                <w:rFonts w:hint="eastAsia" w:ascii="宋体" w:hAnsi="宋体"/>
                <w:color w:val="auto"/>
                <w:szCs w:val="21"/>
                <w:highlight w:val="none"/>
              </w:rPr>
              <w:t>的得</w:t>
            </w:r>
            <w:r>
              <w:rPr>
                <w:rFonts w:hint="eastAsia" w:ascii="宋体" w:hAnsi="宋体"/>
                <w:color w:val="auto"/>
                <w:szCs w:val="21"/>
                <w:highlight w:val="none"/>
                <w:lang w:val="en-US" w:eastAsia="zh-CN"/>
              </w:rPr>
              <w:t>2</w:t>
            </w:r>
            <w:r>
              <w:rPr>
                <w:rFonts w:hint="eastAsia" w:ascii="宋体" w:hAnsi="宋体"/>
                <w:color w:val="auto"/>
                <w:szCs w:val="21"/>
                <w:highlight w:val="none"/>
              </w:rPr>
              <w:t>分，本小项最高得</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14:paraId="6A1E493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olor w:val="auto"/>
                <w:szCs w:val="21"/>
                <w:highlight w:val="none"/>
              </w:rPr>
            </w:pPr>
            <w:r>
              <w:rPr>
                <w:rFonts w:hint="eastAsia" w:ascii="宋体" w:hAnsi="宋体"/>
                <w:color w:val="auto"/>
                <w:szCs w:val="21"/>
                <w:highlight w:val="none"/>
              </w:rPr>
              <w:t>注：①须提供项目负责人的身份证、劳动合同及最近三个月（不含开标当月）的社保缴纳证明、职称证书复印件并加盖投标人公章作为证明材料。</w:t>
            </w:r>
          </w:p>
          <w:p w14:paraId="107D363B">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highlight w:val="none"/>
              </w:rPr>
            </w:pPr>
            <w:r>
              <w:rPr>
                <w:rFonts w:hint="eastAsia" w:ascii="宋体" w:hAnsi="宋体"/>
                <w:color w:val="auto"/>
                <w:szCs w:val="21"/>
                <w:highlight w:val="none"/>
              </w:rPr>
              <w:t>②项目负责人职称</w:t>
            </w:r>
            <w:r>
              <w:rPr>
                <w:rFonts w:hint="eastAsia"/>
                <w:color w:val="auto"/>
                <w:szCs w:val="21"/>
                <w:highlight w:val="none"/>
              </w:rPr>
              <w:t>按最高得分计1次</w:t>
            </w:r>
            <w:r>
              <w:rPr>
                <w:rFonts w:hint="eastAsia" w:ascii="宋体" w:hAnsi="宋体"/>
                <w:color w:val="auto"/>
                <w:szCs w:val="21"/>
                <w:highlight w:val="none"/>
              </w:rPr>
              <w:t>，不重复计分。</w:t>
            </w:r>
          </w:p>
          <w:p w14:paraId="44861EC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
                <w:bCs/>
                <w:color w:val="auto"/>
                <w:szCs w:val="21"/>
                <w:highlight w:val="none"/>
              </w:rPr>
            </w:pPr>
            <w:r>
              <w:rPr>
                <w:rFonts w:hint="eastAsia" w:ascii="宋体" w:hAnsi="宋体"/>
                <w:b/>
                <w:bCs/>
                <w:color w:val="auto"/>
                <w:szCs w:val="21"/>
                <w:highlight w:val="none"/>
              </w:rPr>
              <w:t>二、项目负责人业绩（</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分）</w:t>
            </w:r>
            <w:r>
              <w:rPr>
                <w:rFonts w:hint="eastAsia" w:ascii="宋体" w:hAnsi="宋体"/>
                <w:b/>
                <w:bCs/>
                <w:color w:val="auto"/>
                <w:szCs w:val="21"/>
                <w:highlight w:val="none"/>
                <w:lang w:val="en-US" w:eastAsia="zh-CN"/>
              </w:rPr>
              <w:t>:</w:t>
            </w:r>
          </w:p>
          <w:p w14:paraId="13B1A3A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olor w:val="auto"/>
                <w:szCs w:val="21"/>
                <w:highlight w:val="none"/>
              </w:rPr>
            </w:pPr>
            <w:r>
              <w:rPr>
                <w:rFonts w:hint="eastAsia" w:ascii="宋体" w:hAnsi="宋体"/>
                <w:color w:val="auto"/>
                <w:szCs w:val="21"/>
                <w:highlight w:val="none"/>
              </w:rPr>
              <w:t>项目负责人具有中华人民共和国境内无人机智能巡检相关业绩每个得</w:t>
            </w:r>
            <w:r>
              <w:rPr>
                <w:rFonts w:hint="eastAsia" w:ascii="宋体" w:hAnsi="宋体"/>
                <w:color w:val="auto"/>
                <w:szCs w:val="21"/>
                <w:highlight w:val="none"/>
                <w:lang w:val="en-US" w:eastAsia="zh-CN"/>
              </w:rPr>
              <w:t>2</w:t>
            </w:r>
            <w:r>
              <w:rPr>
                <w:rFonts w:hint="eastAsia" w:ascii="宋体" w:hAnsi="宋体"/>
                <w:color w:val="auto"/>
                <w:szCs w:val="21"/>
                <w:highlight w:val="none"/>
              </w:rPr>
              <w:t>分，本小项最高得</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14:paraId="1ADD2B1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olor w:val="auto"/>
                <w:szCs w:val="21"/>
                <w:highlight w:val="none"/>
              </w:rPr>
            </w:pPr>
            <w:r>
              <w:rPr>
                <w:rFonts w:hint="eastAsia" w:ascii="宋体" w:hAnsi="宋体"/>
                <w:color w:val="auto"/>
                <w:szCs w:val="21"/>
                <w:highlight w:val="none"/>
              </w:rPr>
              <w:t>注：①项目负责人业绩是指在项目中担任项目负责人或项目执行经理或项目经理。</w:t>
            </w:r>
          </w:p>
          <w:p w14:paraId="1BE14943">
            <w:pPr>
              <w:keepNext w:val="0"/>
              <w:keepLines w:val="0"/>
              <w:pageBreakBefore w:val="0"/>
              <w:widowControl w:val="0"/>
              <w:numPr>
                <w:ilvl w:val="255"/>
                <w:numId w:val="0"/>
              </w:numPr>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rPr>
            </w:pPr>
            <w:r>
              <w:rPr>
                <w:rFonts w:hint="eastAsia" w:ascii="宋体" w:hAnsi="宋体"/>
                <w:color w:val="auto"/>
                <w:szCs w:val="21"/>
                <w:highlight w:val="none"/>
              </w:rPr>
              <w:t>②须提供合同协议书关键页或委托人证明文件</w:t>
            </w:r>
            <w:r>
              <w:rPr>
                <w:rFonts w:hint="eastAsia" w:ascii="宋体" w:hAnsi="宋体"/>
                <w:color w:val="auto"/>
                <w:szCs w:val="21"/>
                <w:highlight w:val="none"/>
                <w:lang w:val="en-US" w:eastAsia="zh-CN"/>
              </w:rPr>
              <w:t>的</w:t>
            </w:r>
            <w:r>
              <w:rPr>
                <w:rFonts w:hint="eastAsia" w:ascii="宋体" w:hAnsi="宋体"/>
                <w:color w:val="auto"/>
                <w:szCs w:val="21"/>
                <w:highlight w:val="none"/>
              </w:rPr>
              <w:t>复印件并加盖投标人公章作为证明材料，证明材料应能体现满足以上要求的内容，</w:t>
            </w:r>
            <w:r>
              <w:rPr>
                <w:rFonts w:hint="eastAsia"/>
                <w:color w:val="auto"/>
                <w:szCs w:val="21"/>
                <w:highlight w:val="none"/>
              </w:rPr>
              <w:t>否则不得分</w:t>
            </w:r>
            <w:r>
              <w:rPr>
                <w:rFonts w:hint="eastAsia" w:ascii="宋体" w:hAnsi="宋体"/>
                <w:color w:val="auto"/>
                <w:szCs w:val="21"/>
                <w:highlight w:val="none"/>
              </w:rPr>
              <w:t>。</w:t>
            </w:r>
          </w:p>
        </w:tc>
      </w:tr>
      <w:tr w14:paraId="0D5FCF33">
        <w:tblPrEx>
          <w:tblCellMar>
            <w:top w:w="0" w:type="dxa"/>
            <w:left w:w="108" w:type="dxa"/>
            <w:bottom w:w="0" w:type="dxa"/>
            <w:right w:w="108" w:type="dxa"/>
          </w:tblCellMar>
        </w:tblPrEx>
        <w:trPr>
          <w:trHeight w:val="1820" w:hRule="atLeast"/>
        </w:trPr>
        <w:tc>
          <w:tcPr>
            <w:tcW w:w="275" w:type="pct"/>
            <w:tcBorders>
              <w:top w:val="single" w:color="000000" w:sz="4" w:space="0"/>
              <w:left w:val="single" w:color="000000" w:sz="4" w:space="0"/>
              <w:right w:val="single" w:color="000000" w:sz="4" w:space="0"/>
            </w:tcBorders>
            <w:shd w:val="clear" w:color="auto" w:fill="auto"/>
            <w:vAlign w:val="center"/>
          </w:tcPr>
          <w:p w14:paraId="4BC78F21">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875" w:type="pct"/>
            <w:tcBorders>
              <w:top w:val="single" w:color="000000" w:sz="4" w:space="0"/>
              <w:left w:val="single" w:color="000000" w:sz="4" w:space="0"/>
              <w:right w:val="single" w:color="000000" w:sz="4" w:space="0"/>
            </w:tcBorders>
            <w:shd w:val="clear" w:color="auto" w:fill="auto"/>
            <w:vAlign w:val="center"/>
          </w:tcPr>
          <w:p w14:paraId="21FEDA8B">
            <w:pPr>
              <w:widowControl/>
              <w:jc w:val="center"/>
              <w:textAlignment w:val="center"/>
              <w:rPr>
                <w:rFonts w:hint="eastAsia" w:ascii="宋体" w:hAnsi="宋体"/>
                <w:color w:val="auto"/>
                <w:szCs w:val="21"/>
                <w:highlight w:val="none"/>
              </w:rPr>
            </w:pPr>
            <w:r>
              <w:rPr>
                <w:rFonts w:hint="eastAsia" w:ascii="宋体" w:hAnsi="宋体"/>
                <w:color w:val="auto"/>
                <w:szCs w:val="21"/>
                <w:highlight w:val="none"/>
              </w:rPr>
              <w:t>拟派项目技术负责人</w:t>
            </w:r>
          </w:p>
          <w:p w14:paraId="4BFBE659">
            <w:pPr>
              <w:widowControl/>
              <w:jc w:val="center"/>
              <w:textAlignment w:val="center"/>
              <w:rPr>
                <w:rFonts w:hint="eastAsia" w:ascii="宋体" w:hAnsi="宋体"/>
                <w:color w:val="auto"/>
                <w:szCs w:val="21"/>
                <w:highlight w:val="none"/>
              </w:rPr>
            </w:pPr>
          </w:p>
        </w:tc>
        <w:tc>
          <w:tcPr>
            <w:tcW w:w="291" w:type="pct"/>
            <w:tcBorders>
              <w:top w:val="single" w:color="000000" w:sz="4" w:space="0"/>
              <w:left w:val="single" w:color="000000" w:sz="4" w:space="0"/>
              <w:right w:val="single" w:color="000000" w:sz="4" w:space="0"/>
            </w:tcBorders>
            <w:shd w:val="clear" w:color="auto" w:fill="EDEDED"/>
            <w:noWrap/>
            <w:vAlign w:val="center"/>
          </w:tcPr>
          <w:p w14:paraId="2B80A91C">
            <w:pPr>
              <w:widowControl/>
              <w:jc w:val="center"/>
              <w:rPr>
                <w:rFonts w:hint="eastAsia" w:ascii="等线" w:hAnsi="等线" w:eastAsia="等线" w:cs="等线"/>
                <w:color w:val="auto"/>
                <w:szCs w:val="21"/>
                <w:highlight w:val="none"/>
                <w:lang w:eastAsia="zh-CN"/>
              </w:rPr>
            </w:pPr>
            <w:r>
              <w:rPr>
                <w:rFonts w:hint="eastAsia" w:ascii="等线" w:hAnsi="等线" w:eastAsia="等线" w:cs="等线"/>
                <w:color w:val="auto"/>
                <w:szCs w:val="21"/>
                <w:highlight w:val="none"/>
                <w:lang w:val="en-US" w:eastAsia="zh-CN"/>
              </w:rPr>
              <w:t>4</w:t>
            </w:r>
          </w:p>
        </w:tc>
        <w:tc>
          <w:tcPr>
            <w:tcW w:w="3557" w:type="pct"/>
            <w:tcBorders>
              <w:top w:val="single" w:color="000000" w:sz="4" w:space="0"/>
              <w:left w:val="single" w:color="000000" w:sz="4" w:space="0"/>
              <w:bottom w:val="single" w:color="000000" w:sz="4" w:space="0"/>
              <w:right w:val="single" w:color="000000" w:sz="4" w:space="0"/>
            </w:tcBorders>
            <w:vAlign w:val="center"/>
          </w:tcPr>
          <w:p w14:paraId="32096C7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olor w:val="auto"/>
                <w:szCs w:val="21"/>
                <w:highlight w:val="none"/>
              </w:rPr>
            </w:pPr>
            <w:r>
              <w:rPr>
                <w:rFonts w:hint="eastAsia" w:ascii="宋体" w:hAnsi="宋体"/>
                <w:color w:val="auto"/>
                <w:szCs w:val="21"/>
                <w:highlight w:val="none"/>
                <w:lang w:val="en-US" w:eastAsia="zh-CN"/>
              </w:rPr>
              <w:t>对投标人拟投入本项目的技术</w:t>
            </w:r>
            <w:r>
              <w:rPr>
                <w:rFonts w:hint="eastAsia" w:ascii="宋体" w:hAnsi="宋体"/>
                <w:color w:val="auto"/>
                <w:szCs w:val="21"/>
                <w:highlight w:val="none"/>
              </w:rPr>
              <w:t>负责人</w:t>
            </w:r>
            <w:r>
              <w:rPr>
                <w:rFonts w:hint="eastAsia" w:ascii="宋体" w:hAnsi="宋体"/>
                <w:color w:val="auto"/>
                <w:szCs w:val="21"/>
                <w:highlight w:val="none"/>
                <w:lang w:val="en-US" w:eastAsia="zh-CN"/>
              </w:rPr>
              <w:t>进行评分：</w:t>
            </w:r>
          </w:p>
          <w:p w14:paraId="235452C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olor w:val="auto"/>
                <w:szCs w:val="21"/>
                <w:highlight w:val="none"/>
              </w:rPr>
            </w:pPr>
            <w:r>
              <w:rPr>
                <w:rFonts w:hint="eastAsia" w:ascii="宋体" w:hAnsi="宋体"/>
                <w:b/>
                <w:bCs/>
                <w:color w:val="auto"/>
                <w:szCs w:val="21"/>
                <w:highlight w:val="none"/>
              </w:rPr>
              <w:t>一、</w:t>
            </w:r>
            <w:r>
              <w:rPr>
                <w:rFonts w:hint="eastAsia" w:ascii="宋体" w:hAnsi="宋体"/>
                <w:b/>
                <w:bCs/>
                <w:color w:val="auto"/>
                <w:szCs w:val="21"/>
                <w:highlight w:val="none"/>
                <w:lang w:val="en-US" w:eastAsia="zh-CN"/>
              </w:rPr>
              <w:t>技术负责人</w:t>
            </w:r>
            <w:r>
              <w:rPr>
                <w:rFonts w:hint="eastAsia" w:ascii="宋体" w:hAnsi="宋体"/>
                <w:b/>
                <w:bCs/>
                <w:color w:val="auto"/>
                <w:szCs w:val="21"/>
                <w:highlight w:val="none"/>
              </w:rPr>
              <w:t>资历（</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分）</w:t>
            </w:r>
            <w:r>
              <w:rPr>
                <w:rFonts w:hint="eastAsia" w:ascii="宋体" w:hAnsi="宋体"/>
                <w:b/>
                <w:bCs/>
                <w:color w:val="auto"/>
                <w:szCs w:val="21"/>
                <w:highlight w:val="none"/>
                <w:lang w:val="en-US" w:eastAsia="zh-CN"/>
              </w:rPr>
              <w:t>:</w:t>
            </w:r>
          </w:p>
          <w:p w14:paraId="7C954BDB">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highlight w:val="none"/>
              </w:rPr>
            </w:pPr>
            <w:r>
              <w:rPr>
                <w:rFonts w:hint="eastAsia" w:ascii="宋体" w:hAnsi="宋体"/>
                <w:color w:val="auto"/>
                <w:szCs w:val="21"/>
                <w:highlight w:val="none"/>
              </w:rPr>
              <w:t>技术负责人持有轨道交通或通信专业或自动化或系统集成项目管理的高级工程师职称</w:t>
            </w:r>
            <w:r>
              <w:rPr>
                <w:rFonts w:hint="eastAsia" w:ascii="宋体" w:hAnsi="宋体"/>
                <w:color w:val="auto"/>
                <w:szCs w:val="21"/>
                <w:highlight w:val="none"/>
                <w:lang w:val="en-US" w:eastAsia="zh-CN"/>
              </w:rPr>
              <w:t>或以上</w:t>
            </w:r>
            <w:r>
              <w:rPr>
                <w:rFonts w:hint="eastAsia" w:ascii="宋体" w:hAnsi="宋体"/>
                <w:color w:val="auto"/>
                <w:szCs w:val="21"/>
                <w:highlight w:val="none"/>
              </w:rPr>
              <w:t>的得</w:t>
            </w:r>
            <w:r>
              <w:rPr>
                <w:rFonts w:hint="eastAsia" w:ascii="宋体" w:hAnsi="宋体"/>
                <w:color w:val="auto"/>
                <w:szCs w:val="21"/>
                <w:highlight w:val="none"/>
                <w:lang w:val="en-US" w:eastAsia="zh-CN"/>
              </w:rPr>
              <w:t>2</w:t>
            </w:r>
            <w:r>
              <w:rPr>
                <w:rFonts w:hint="eastAsia" w:ascii="宋体" w:hAnsi="宋体"/>
                <w:color w:val="auto"/>
                <w:szCs w:val="21"/>
                <w:highlight w:val="none"/>
              </w:rPr>
              <w:t>分，本小项最高得</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14:paraId="7022400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olor w:val="auto"/>
                <w:szCs w:val="21"/>
                <w:highlight w:val="none"/>
              </w:rPr>
            </w:pPr>
            <w:r>
              <w:rPr>
                <w:rFonts w:hint="eastAsia" w:ascii="宋体" w:hAnsi="宋体"/>
                <w:color w:val="auto"/>
                <w:szCs w:val="21"/>
                <w:highlight w:val="none"/>
              </w:rPr>
              <w:t>注：①须提供技术负责人的身份证、劳动合同及最近三个月（不含开标当月）的社保缴纳证明、职称证书复印件并加盖投标人公章作为证明材料。</w:t>
            </w:r>
          </w:p>
          <w:p w14:paraId="4744FD0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olor w:val="auto"/>
                <w:szCs w:val="21"/>
                <w:highlight w:val="none"/>
              </w:rPr>
            </w:pPr>
            <w:r>
              <w:rPr>
                <w:rFonts w:hint="eastAsia" w:ascii="宋体" w:hAnsi="宋体"/>
                <w:color w:val="auto"/>
                <w:szCs w:val="21"/>
                <w:highlight w:val="none"/>
              </w:rPr>
              <w:t>②技术负责人职称</w:t>
            </w:r>
            <w:r>
              <w:rPr>
                <w:rFonts w:hint="eastAsia"/>
                <w:color w:val="auto"/>
                <w:szCs w:val="21"/>
                <w:highlight w:val="none"/>
              </w:rPr>
              <w:t>按最高得分计1次</w:t>
            </w:r>
            <w:r>
              <w:rPr>
                <w:rFonts w:hint="eastAsia" w:ascii="宋体" w:hAnsi="宋体"/>
                <w:color w:val="auto"/>
                <w:szCs w:val="21"/>
                <w:highlight w:val="none"/>
              </w:rPr>
              <w:t>，不重复计分。</w:t>
            </w:r>
          </w:p>
          <w:p w14:paraId="71DF54F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
                <w:bCs/>
                <w:color w:val="auto"/>
                <w:szCs w:val="21"/>
                <w:highlight w:val="none"/>
              </w:rPr>
            </w:pPr>
            <w:r>
              <w:rPr>
                <w:rFonts w:hint="eastAsia" w:ascii="宋体" w:hAnsi="宋体"/>
                <w:b/>
                <w:bCs/>
                <w:color w:val="auto"/>
                <w:szCs w:val="21"/>
                <w:highlight w:val="none"/>
              </w:rPr>
              <w:t>二、</w:t>
            </w:r>
            <w:r>
              <w:rPr>
                <w:rFonts w:hint="eastAsia" w:ascii="宋体" w:hAnsi="宋体"/>
                <w:b/>
                <w:bCs/>
                <w:color w:val="auto"/>
                <w:szCs w:val="21"/>
                <w:highlight w:val="none"/>
                <w:lang w:val="en-US" w:eastAsia="zh-CN"/>
              </w:rPr>
              <w:t>技术负责人</w:t>
            </w:r>
            <w:r>
              <w:rPr>
                <w:rFonts w:hint="eastAsia" w:ascii="宋体" w:hAnsi="宋体"/>
                <w:b/>
                <w:bCs/>
                <w:color w:val="auto"/>
                <w:szCs w:val="21"/>
                <w:highlight w:val="none"/>
              </w:rPr>
              <w:t>业绩（</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分）</w:t>
            </w:r>
            <w:r>
              <w:rPr>
                <w:rFonts w:hint="eastAsia" w:ascii="宋体" w:hAnsi="宋体"/>
                <w:b/>
                <w:bCs/>
                <w:color w:val="auto"/>
                <w:szCs w:val="21"/>
                <w:highlight w:val="none"/>
                <w:lang w:val="en-US" w:eastAsia="zh-CN"/>
              </w:rPr>
              <w:t>:</w:t>
            </w:r>
          </w:p>
          <w:p w14:paraId="515A941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olor w:val="auto"/>
                <w:szCs w:val="21"/>
                <w:highlight w:val="none"/>
              </w:rPr>
            </w:pPr>
            <w:r>
              <w:rPr>
                <w:rFonts w:hint="eastAsia" w:ascii="宋体" w:hAnsi="宋体"/>
                <w:color w:val="auto"/>
                <w:szCs w:val="21"/>
                <w:highlight w:val="none"/>
                <w:lang w:val="en-US" w:eastAsia="zh-CN"/>
              </w:rPr>
              <w:t>技术负责人</w:t>
            </w:r>
            <w:r>
              <w:rPr>
                <w:rFonts w:hint="eastAsia" w:ascii="宋体" w:hAnsi="宋体"/>
                <w:color w:val="auto"/>
                <w:szCs w:val="21"/>
                <w:highlight w:val="none"/>
              </w:rPr>
              <w:t>具有中华人民共和国境内无人机智能巡检相关业绩每个得</w:t>
            </w:r>
            <w:r>
              <w:rPr>
                <w:rFonts w:hint="eastAsia" w:ascii="宋体" w:hAnsi="宋体"/>
                <w:color w:val="auto"/>
                <w:szCs w:val="21"/>
                <w:highlight w:val="none"/>
                <w:lang w:val="en-US" w:eastAsia="zh-CN"/>
              </w:rPr>
              <w:t>2</w:t>
            </w:r>
            <w:r>
              <w:rPr>
                <w:rFonts w:hint="eastAsia" w:ascii="宋体" w:hAnsi="宋体"/>
                <w:color w:val="auto"/>
                <w:szCs w:val="21"/>
                <w:highlight w:val="none"/>
              </w:rPr>
              <w:t>分，本小项最高得</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14:paraId="4E2E00D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olor w:val="auto"/>
                <w:szCs w:val="21"/>
                <w:highlight w:val="none"/>
              </w:rPr>
            </w:pPr>
            <w:r>
              <w:rPr>
                <w:rFonts w:hint="eastAsia" w:ascii="宋体" w:hAnsi="宋体"/>
                <w:color w:val="auto"/>
                <w:szCs w:val="21"/>
                <w:highlight w:val="none"/>
              </w:rPr>
              <w:t>注：须提供合同协议书关键页或委托人证明文件</w:t>
            </w:r>
            <w:r>
              <w:rPr>
                <w:rFonts w:hint="eastAsia" w:ascii="宋体" w:hAnsi="宋体"/>
                <w:color w:val="auto"/>
                <w:szCs w:val="21"/>
                <w:highlight w:val="none"/>
                <w:lang w:val="en-US" w:eastAsia="zh-CN"/>
              </w:rPr>
              <w:t>的</w:t>
            </w:r>
            <w:r>
              <w:rPr>
                <w:rFonts w:hint="eastAsia" w:ascii="宋体" w:hAnsi="宋体"/>
                <w:color w:val="auto"/>
                <w:szCs w:val="21"/>
                <w:highlight w:val="none"/>
              </w:rPr>
              <w:t>复印件并加盖投标人公章作为证明材料，证明材料应能体现满足以上要求的内容，</w:t>
            </w:r>
            <w:r>
              <w:rPr>
                <w:rFonts w:hint="eastAsia"/>
                <w:color w:val="auto"/>
                <w:szCs w:val="21"/>
                <w:highlight w:val="none"/>
              </w:rPr>
              <w:t>否则不得分</w:t>
            </w:r>
            <w:r>
              <w:rPr>
                <w:rFonts w:hint="eastAsia" w:ascii="宋体" w:hAnsi="宋体"/>
                <w:color w:val="auto"/>
                <w:szCs w:val="21"/>
                <w:highlight w:val="none"/>
              </w:rPr>
              <w:t>。</w:t>
            </w:r>
          </w:p>
        </w:tc>
      </w:tr>
      <w:tr w14:paraId="0A6A36A3">
        <w:tblPrEx>
          <w:tblCellMar>
            <w:top w:w="0" w:type="dxa"/>
            <w:left w:w="108" w:type="dxa"/>
            <w:bottom w:w="0" w:type="dxa"/>
            <w:right w:w="108" w:type="dxa"/>
          </w:tblCellMar>
        </w:tblPrEx>
        <w:trPr>
          <w:trHeight w:val="501"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58D66">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875" w:type="pct"/>
            <w:tcBorders>
              <w:top w:val="single" w:color="auto" w:sz="4" w:space="0"/>
              <w:left w:val="single" w:color="000000" w:sz="4" w:space="0"/>
              <w:bottom w:val="single" w:color="000000" w:sz="4" w:space="0"/>
              <w:right w:val="single" w:color="000000" w:sz="4" w:space="0"/>
            </w:tcBorders>
            <w:shd w:val="clear" w:color="auto" w:fill="auto"/>
            <w:vAlign w:val="center"/>
          </w:tcPr>
          <w:p w14:paraId="1E60DCCB">
            <w:pPr>
              <w:widowControl/>
              <w:jc w:val="center"/>
              <w:textAlignment w:val="center"/>
              <w:rPr>
                <w:rFonts w:hint="eastAsia" w:ascii="宋体" w:hAnsi="宋体" w:cs="宋体"/>
                <w:color w:val="auto"/>
                <w:szCs w:val="21"/>
                <w:highlight w:val="none"/>
              </w:rPr>
            </w:pPr>
            <w:r>
              <w:rPr>
                <w:rFonts w:hint="eastAsia" w:ascii="宋体" w:hAnsi="宋体"/>
                <w:color w:val="auto"/>
                <w:szCs w:val="21"/>
                <w:highlight w:val="none"/>
              </w:rPr>
              <w:t>拟派项目专业技术技能人员配置</w:t>
            </w:r>
          </w:p>
        </w:tc>
        <w:tc>
          <w:tcPr>
            <w:tcW w:w="291" w:type="pct"/>
            <w:tcBorders>
              <w:top w:val="single" w:color="000000" w:sz="4" w:space="0"/>
              <w:left w:val="single" w:color="000000" w:sz="4" w:space="0"/>
              <w:bottom w:val="single" w:color="000000" w:sz="4" w:space="0"/>
              <w:right w:val="single" w:color="000000" w:sz="4" w:space="0"/>
            </w:tcBorders>
            <w:shd w:val="clear" w:color="auto" w:fill="EDEDED"/>
            <w:noWrap/>
            <w:vAlign w:val="center"/>
          </w:tcPr>
          <w:p w14:paraId="5B2D32B5">
            <w:pPr>
              <w:widowControl/>
              <w:jc w:val="center"/>
              <w:textAlignment w:val="center"/>
              <w:rPr>
                <w:rFonts w:hint="default" w:ascii="等线" w:hAnsi="等线" w:eastAsia="等线" w:cs="等线"/>
                <w:color w:val="auto"/>
                <w:szCs w:val="21"/>
                <w:highlight w:val="none"/>
                <w:lang w:val="en-US" w:eastAsia="zh-CN"/>
              </w:rPr>
            </w:pPr>
            <w:r>
              <w:rPr>
                <w:rFonts w:hint="eastAsia" w:ascii="等线" w:hAnsi="等线" w:eastAsia="等线" w:cs="等线"/>
                <w:color w:val="auto"/>
                <w:szCs w:val="21"/>
                <w:highlight w:val="none"/>
                <w:lang w:val="en-US" w:eastAsia="zh-CN"/>
              </w:rPr>
              <w:t>12</w:t>
            </w:r>
          </w:p>
        </w:tc>
        <w:tc>
          <w:tcPr>
            <w:tcW w:w="3557" w:type="pct"/>
            <w:tcBorders>
              <w:top w:val="single" w:color="000000" w:sz="4" w:space="0"/>
              <w:left w:val="single" w:color="000000" w:sz="4" w:space="0"/>
              <w:bottom w:val="single" w:color="000000" w:sz="4" w:space="0"/>
              <w:right w:val="single" w:color="000000" w:sz="4" w:space="0"/>
            </w:tcBorders>
            <w:vAlign w:val="center"/>
          </w:tcPr>
          <w:p w14:paraId="7F7B5831">
            <w:pPr>
              <w:spacing w:line="360" w:lineRule="auto"/>
              <w:rPr>
                <w:color w:val="auto"/>
                <w:highlight w:val="none"/>
              </w:rPr>
            </w:pPr>
            <w:r>
              <w:rPr>
                <w:rFonts w:hint="eastAsia" w:ascii="宋体" w:hAnsi="宋体"/>
                <w:color w:val="auto"/>
                <w:szCs w:val="21"/>
                <w:highlight w:val="none"/>
                <w:lang w:val="en-US" w:eastAsia="zh-CN"/>
              </w:rPr>
              <w:t>对投标人除</w:t>
            </w:r>
            <w:r>
              <w:rPr>
                <w:rFonts w:hint="eastAsia" w:ascii="宋体" w:hAnsi="宋体"/>
                <w:color w:val="auto"/>
                <w:szCs w:val="21"/>
                <w:highlight w:val="none"/>
              </w:rPr>
              <w:t>项目负责人、项目技术负责人</w:t>
            </w:r>
            <w:r>
              <w:rPr>
                <w:rFonts w:hint="eastAsia" w:ascii="宋体" w:hAnsi="宋体"/>
                <w:color w:val="auto"/>
                <w:szCs w:val="21"/>
                <w:highlight w:val="none"/>
                <w:lang w:val="en-US" w:eastAsia="zh-CN"/>
              </w:rPr>
              <w:t>以外拟投入本项目的人员进行评分：</w:t>
            </w:r>
          </w:p>
          <w:p w14:paraId="7F231E04">
            <w:pPr>
              <w:spacing w:line="360" w:lineRule="auto"/>
              <w:rPr>
                <w:rFonts w:hint="eastAsia" w:ascii="宋体" w:hAnsi="宋体"/>
                <w:color w:val="auto"/>
                <w:szCs w:val="21"/>
                <w:highlight w:val="none"/>
              </w:rPr>
            </w:pPr>
            <w:r>
              <w:rPr>
                <w:rFonts w:hint="eastAsia" w:ascii="宋体" w:hAnsi="宋体"/>
                <w:color w:val="auto"/>
                <w:szCs w:val="21"/>
                <w:highlight w:val="none"/>
              </w:rPr>
              <w:t>1.每提供一个通信专业或自动化或系统集成项目管理高级工程师或以上职称的技术人员，每个得2分</w:t>
            </w:r>
            <w:r>
              <w:rPr>
                <w:rFonts w:hint="eastAsia" w:ascii="宋体" w:hAnsi="宋体"/>
                <w:color w:val="auto"/>
                <w:szCs w:val="21"/>
                <w:highlight w:val="none"/>
                <w:lang w:eastAsia="zh-CN"/>
              </w:rPr>
              <w:t>，</w:t>
            </w:r>
            <w:r>
              <w:rPr>
                <w:rFonts w:hint="eastAsia" w:ascii="宋体" w:hAnsi="宋体"/>
                <w:color w:val="auto"/>
                <w:szCs w:val="21"/>
                <w:highlight w:val="none"/>
              </w:rPr>
              <w:t>最高得4分；每提供一个通信专业或自动化或系统集成项目管理中级工程师</w:t>
            </w:r>
            <w:r>
              <w:rPr>
                <w:rFonts w:hint="eastAsia" w:ascii="宋体" w:hAnsi="宋体"/>
                <w:color w:val="auto"/>
                <w:szCs w:val="21"/>
                <w:highlight w:val="none"/>
                <w:lang w:val="en-US" w:eastAsia="zh-CN"/>
              </w:rPr>
              <w:t>职称</w:t>
            </w:r>
            <w:r>
              <w:rPr>
                <w:rFonts w:hint="eastAsia" w:ascii="宋体" w:hAnsi="宋体"/>
                <w:color w:val="auto"/>
                <w:szCs w:val="21"/>
                <w:highlight w:val="none"/>
              </w:rPr>
              <w:t>的技术人员，每个得1分，最高得2分；本小项最高得4分。</w:t>
            </w:r>
          </w:p>
          <w:p w14:paraId="7E51B242">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.每提供一个具有CAAC小型无人机以上超视距操控员执照的人员，每个得</w:t>
            </w:r>
            <w:r>
              <w:rPr>
                <w:rFonts w:hint="eastAsia" w:ascii="宋体" w:hAnsi="宋体"/>
                <w:color w:val="auto"/>
                <w:szCs w:val="21"/>
                <w:highlight w:val="none"/>
                <w:lang w:val="en-US" w:eastAsia="zh-CN"/>
              </w:rPr>
              <w:t>2</w:t>
            </w:r>
            <w:r>
              <w:rPr>
                <w:rFonts w:hint="eastAsia" w:ascii="宋体" w:hAnsi="宋体"/>
                <w:color w:val="auto"/>
                <w:szCs w:val="21"/>
                <w:highlight w:val="none"/>
              </w:rPr>
              <w:t>分，本小项最高得</w:t>
            </w:r>
            <w:r>
              <w:rPr>
                <w:rFonts w:hint="eastAsia" w:ascii="宋体" w:hAnsi="宋体"/>
                <w:color w:val="auto"/>
                <w:szCs w:val="21"/>
                <w:highlight w:val="none"/>
                <w:lang w:val="en-US" w:eastAsia="zh-CN"/>
              </w:rPr>
              <w:t>8</w:t>
            </w:r>
            <w:r>
              <w:rPr>
                <w:rFonts w:hint="eastAsia" w:ascii="宋体" w:hAnsi="宋体"/>
                <w:color w:val="auto"/>
                <w:szCs w:val="21"/>
                <w:highlight w:val="none"/>
              </w:rPr>
              <w:t>分。</w:t>
            </w:r>
          </w:p>
          <w:p w14:paraId="7067A0A9">
            <w:pPr>
              <w:spacing w:line="360" w:lineRule="auto"/>
              <w:rPr>
                <w:rFonts w:hint="eastAsia" w:ascii="宋体" w:hAnsi="宋体"/>
                <w:color w:val="auto"/>
                <w:szCs w:val="21"/>
                <w:highlight w:val="none"/>
              </w:rPr>
            </w:pPr>
            <w:r>
              <w:rPr>
                <w:rFonts w:hint="eastAsia" w:ascii="宋体" w:hAnsi="宋体"/>
                <w:color w:val="auto"/>
                <w:szCs w:val="21"/>
                <w:highlight w:val="none"/>
              </w:rPr>
              <w:t>本项合计最高得</w:t>
            </w:r>
            <w:r>
              <w:rPr>
                <w:rFonts w:hint="eastAsia" w:ascii="宋体" w:hAnsi="宋体"/>
                <w:color w:val="auto"/>
                <w:szCs w:val="21"/>
                <w:highlight w:val="none"/>
                <w:lang w:val="en-US" w:eastAsia="zh-CN"/>
              </w:rPr>
              <w:t>12</w:t>
            </w:r>
            <w:r>
              <w:rPr>
                <w:rFonts w:hint="eastAsia" w:ascii="宋体" w:hAnsi="宋体"/>
                <w:color w:val="auto"/>
                <w:szCs w:val="21"/>
                <w:highlight w:val="none"/>
              </w:rPr>
              <w:t>分。</w:t>
            </w:r>
          </w:p>
          <w:p w14:paraId="16102F9D">
            <w:pPr>
              <w:spacing w:line="360" w:lineRule="auto"/>
              <w:rPr>
                <w:rFonts w:hint="eastAsia" w:ascii="宋体" w:hAnsi="宋体"/>
                <w:color w:val="auto"/>
                <w:szCs w:val="21"/>
                <w:highlight w:val="none"/>
              </w:rPr>
            </w:pPr>
            <w:r>
              <w:rPr>
                <w:rFonts w:hint="eastAsia" w:ascii="宋体" w:hAnsi="宋体"/>
                <w:color w:val="auto"/>
                <w:szCs w:val="21"/>
                <w:highlight w:val="none"/>
              </w:rPr>
              <w:t>注：①须提供以上人员的身份证、劳动合同及最近三个月（不含开标当月）的社保缴纳证明并加盖投标人公章、职称或技能证书复印件并加盖投标人公章作为证明材料。未将复印件编入投标文件或复印件内容不全的或提供的资料不符合要求，相应内容不予认可，不得分。</w:t>
            </w:r>
          </w:p>
          <w:p w14:paraId="1343237A">
            <w:pPr>
              <w:spacing w:line="360" w:lineRule="auto"/>
              <w:rPr>
                <w:rFonts w:hint="eastAsia" w:ascii="宋体" w:hAnsi="宋体" w:cs="宋体"/>
                <w:color w:val="auto"/>
                <w:kern w:val="0"/>
                <w:szCs w:val="21"/>
                <w:highlight w:val="none"/>
              </w:rPr>
            </w:pPr>
            <w:r>
              <w:rPr>
                <w:rFonts w:hint="eastAsia" w:ascii="宋体" w:hAnsi="宋体"/>
                <w:color w:val="auto"/>
                <w:szCs w:val="21"/>
                <w:highlight w:val="none"/>
              </w:rPr>
              <w:t>②同一人按最高得分计一次，不重复计分。</w:t>
            </w:r>
          </w:p>
        </w:tc>
      </w:tr>
      <w:tr w14:paraId="3951A5FA">
        <w:tblPrEx>
          <w:tblCellMar>
            <w:top w:w="0" w:type="dxa"/>
            <w:left w:w="108" w:type="dxa"/>
            <w:bottom w:w="0" w:type="dxa"/>
            <w:right w:w="108" w:type="dxa"/>
          </w:tblCellMar>
        </w:tblPrEx>
        <w:trPr>
          <w:trHeight w:val="1768"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32C44">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8E45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整体实施方案</w:t>
            </w:r>
          </w:p>
        </w:tc>
        <w:tc>
          <w:tcPr>
            <w:tcW w:w="291" w:type="pct"/>
            <w:tcBorders>
              <w:top w:val="single" w:color="000000" w:sz="4" w:space="0"/>
              <w:left w:val="single" w:color="000000" w:sz="4" w:space="0"/>
              <w:bottom w:val="single" w:color="000000" w:sz="4" w:space="0"/>
              <w:right w:val="single" w:color="000000" w:sz="4" w:space="0"/>
            </w:tcBorders>
            <w:shd w:val="clear" w:color="auto" w:fill="EDEDED"/>
            <w:noWrap/>
            <w:vAlign w:val="center"/>
          </w:tcPr>
          <w:p w14:paraId="5822A086">
            <w:pPr>
              <w:widowControl/>
              <w:jc w:val="center"/>
              <w:textAlignment w:val="center"/>
              <w:rPr>
                <w:rFonts w:hint="default" w:eastAsia="等线"/>
                <w:color w:val="auto"/>
                <w:szCs w:val="21"/>
                <w:highlight w:val="none"/>
                <w:lang w:val="en-US" w:eastAsia="zh-CN"/>
              </w:rPr>
            </w:pPr>
            <w:r>
              <w:rPr>
                <w:rFonts w:hint="eastAsia" w:ascii="等线" w:hAnsi="等线" w:eastAsia="等线" w:cs="等线"/>
                <w:color w:val="auto"/>
                <w:szCs w:val="21"/>
                <w:highlight w:val="none"/>
                <w:lang w:val="en-US" w:eastAsia="zh-CN"/>
              </w:rPr>
              <w:t>10</w:t>
            </w:r>
          </w:p>
        </w:tc>
        <w:tc>
          <w:tcPr>
            <w:tcW w:w="3557" w:type="pct"/>
            <w:tcBorders>
              <w:top w:val="single" w:color="000000" w:sz="4" w:space="0"/>
              <w:left w:val="single" w:color="000000" w:sz="4" w:space="0"/>
              <w:bottom w:val="single" w:color="000000" w:sz="4" w:space="0"/>
              <w:right w:val="single" w:color="000000" w:sz="4" w:space="0"/>
            </w:tcBorders>
            <w:vAlign w:val="center"/>
          </w:tcPr>
          <w:p w14:paraId="677DD167">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结合1号线保护区内地形地貌、建构筑物等现场实际情况，编制整体实施方案，方案总体架构清晰，对本项目的关键技术和难点满足招标文件要求；与既有轨道</w:t>
            </w:r>
            <w:r>
              <w:rPr>
                <w:rFonts w:hint="eastAsia" w:ascii="宋体" w:hAnsi="宋体" w:cs="宋体"/>
                <w:color w:val="auto"/>
                <w:szCs w:val="21"/>
                <w:highlight w:val="none"/>
                <w:lang w:val="en-US" w:eastAsia="zh-CN"/>
              </w:rPr>
              <w:t>交通</w:t>
            </w:r>
            <w:r>
              <w:rPr>
                <w:rFonts w:hint="eastAsia" w:ascii="宋体" w:hAnsi="宋体" w:cs="宋体"/>
                <w:color w:val="auto"/>
                <w:szCs w:val="21"/>
                <w:highlight w:val="none"/>
              </w:rPr>
              <w:t>各系统业务对接和集成方案具体，可操作性强，描述详细科学合理。</w:t>
            </w:r>
          </w:p>
          <w:p w14:paraId="68BC9EBA">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1.方案科学合理、针对性强得（</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458A089E">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2.内容较完备、措施可行得（</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]分，</w:t>
            </w:r>
          </w:p>
          <w:p w14:paraId="073D482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3.内容欠完备、措施基本可行得[0-</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]分。</w:t>
            </w:r>
          </w:p>
        </w:tc>
      </w:tr>
      <w:tr w14:paraId="28993651">
        <w:tblPrEx>
          <w:tblCellMar>
            <w:top w:w="0" w:type="dxa"/>
            <w:left w:w="108" w:type="dxa"/>
            <w:bottom w:w="0" w:type="dxa"/>
            <w:right w:w="108" w:type="dxa"/>
          </w:tblCellMar>
        </w:tblPrEx>
        <w:trPr>
          <w:trHeight w:val="97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9C858">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2DA96">
            <w:pPr>
              <w:widowControl/>
              <w:jc w:val="center"/>
              <w:textAlignment w:val="center"/>
              <w:rPr>
                <w:rFonts w:hint="eastAsia" w:ascii="宋体" w:hAnsi="宋体" w:cs="宋体"/>
                <w:color w:val="auto"/>
                <w:kern w:val="0"/>
                <w:szCs w:val="21"/>
                <w:highlight w:val="none"/>
              </w:rPr>
            </w:pPr>
            <w:r>
              <w:rPr>
                <w:rFonts w:hint="eastAsia" w:ascii="宋体" w:hAnsi="宋体"/>
                <w:color w:val="auto"/>
                <w:szCs w:val="21"/>
                <w:highlight w:val="none"/>
              </w:rPr>
              <w:t>施工安全措施</w:t>
            </w:r>
          </w:p>
        </w:tc>
        <w:tc>
          <w:tcPr>
            <w:tcW w:w="291" w:type="pct"/>
            <w:tcBorders>
              <w:top w:val="single" w:color="000000" w:sz="4" w:space="0"/>
              <w:left w:val="single" w:color="000000" w:sz="4" w:space="0"/>
              <w:bottom w:val="single" w:color="000000" w:sz="4" w:space="0"/>
              <w:right w:val="single" w:color="000000" w:sz="4" w:space="0"/>
            </w:tcBorders>
            <w:shd w:val="clear" w:color="auto" w:fill="EDEDED"/>
            <w:noWrap/>
            <w:vAlign w:val="center"/>
          </w:tcPr>
          <w:p w14:paraId="68449E0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7</w:t>
            </w:r>
          </w:p>
        </w:tc>
        <w:tc>
          <w:tcPr>
            <w:tcW w:w="3557" w:type="pct"/>
            <w:tcBorders>
              <w:top w:val="single" w:color="000000" w:sz="4" w:space="0"/>
              <w:left w:val="single" w:color="000000" w:sz="4" w:space="0"/>
              <w:bottom w:val="single" w:color="000000" w:sz="4" w:space="0"/>
              <w:right w:val="single" w:color="000000" w:sz="4" w:space="0"/>
            </w:tcBorders>
            <w:vAlign w:val="center"/>
          </w:tcPr>
          <w:p w14:paraId="384B0D10">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1.针对本项目的施工内容及实施过程，有详细、完善、具体的安全措施，完全符合施工安全要求得（4.9-7]分，</w:t>
            </w:r>
          </w:p>
          <w:p w14:paraId="69E328C0">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2.针对本项目的施工内容及实施过程的安全措施，较为符合施工安全要求得（2.8-4.9]分，</w:t>
            </w:r>
          </w:p>
          <w:p w14:paraId="78B1A3F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3.针对本项目的施工内容及实施过程的安全措施，基本符合施工安全要求得[0-2.8]分。</w:t>
            </w:r>
          </w:p>
        </w:tc>
      </w:tr>
      <w:tr w14:paraId="68FE093F">
        <w:tblPrEx>
          <w:tblCellMar>
            <w:top w:w="0" w:type="dxa"/>
            <w:left w:w="108" w:type="dxa"/>
            <w:bottom w:w="0" w:type="dxa"/>
            <w:right w:w="108" w:type="dxa"/>
          </w:tblCellMar>
        </w:tblPrEx>
        <w:trPr>
          <w:trHeight w:val="482"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FFA80">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4297B">
            <w:pPr>
              <w:widowControl/>
              <w:jc w:val="center"/>
              <w:textAlignment w:val="center"/>
              <w:rPr>
                <w:rFonts w:hint="eastAsia" w:ascii="宋体" w:hAnsi="宋体" w:cs="宋体"/>
                <w:color w:val="auto"/>
                <w:kern w:val="0"/>
                <w:szCs w:val="21"/>
                <w:highlight w:val="none"/>
              </w:rPr>
            </w:pPr>
            <w:r>
              <w:rPr>
                <w:rFonts w:hint="eastAsia" w:ascii="宋体" w:hAnsi="宋体"/>
                <w:color w:val="auto"/>
                <w:szCs w:val="21"/>
                <w:highlight w:val="none"/>
              </w:rPr>
              <w:t>项目负责人陈述与答辩</w:t>
            </w:r>
          </w:p>
        </w:tc>
        <w:tc>
          <w:tcPr>
            <w:tcW w:w="291" w:type="pct"/>
            <w:tcBorders>
              <w:top w:val="single" w:color="000000" w:sz="4" w:space="0"/>
              <w:left w:val="single" w:color="000000" w:sz="4" w:space="0"/>
              <w:bottom w:val="single" w:color="000000" w:sz="4" w:space="0"/>
              <w:right w:val="single" w:color="000000" w:sz="4" w:space="0"/>
            </w:tcBorders>
            <w:shd w:val="clear" w:color="auto" w:fill="EDEDED"/>
            <w:noWrap/>
            <w:vAlign w:val="center"/>
          </w:tcPr>
          <w:p w14:paraId="740483D8">
            <w:pPr>
              <w:widowControl/>
              <w:jc w:val="center"/>
              <w:textAlignment w:val="center"/>
              <w:rPr>
                <w:rFonts w:hint="default" w:ascii="等线" w:hAnsi="等线" w:eastAsia="等线" w:cs="等线"/>
                <w:color w:val="auto"/>
                <w:szCs w:val="21"/>
                <w:highlight w:val="none"/>
                <w:lang w:val="en-US" w:eastAsia="zh-CN"/>
              </w:rPr>
            </w:pPr>
            <w:r>
              <w:rPr>
                <w:rFonts w:hint="eastAsia" w:ascii="等线" w:hAnsi="等线" w:eastAsia="等线" w:cs="等线"/>
                <w:color w:val="auto"/>
                <w:szCs w:val="21"/>
                <w:highlight w:val="none"/>
                <w:lang w:val="en-US" w:eastAsia="zh-CN"/>
              </w:rPr>
              <w:t>10</w:t>
            </w:r>
          </w:p>
        </w:tc>
        <w:tc>
          <w:tcPr>
            <w:tcW w:w="3557" w:type="pct"/>
            <w:tcBorders>
              <w:top w:val="single" w:color="000000" w:sz="4" w:space="0"/>
              <w:left w:val="single" w:color="000000" w:sz="4" w:space="0"/>
              <w:bottom w:val="single" w:color="000000" w:sz="4" w:space="0"/>
              <w:right w:val="single" w:color="000000" w:sz="4" w:space="0"/>
            </w:tcBorders>
            <w:vAlign w:val="center"/>
          </w:tcPr>
          <w:p w14:paraId="5249568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项目负责人根据1号线情况，结合整体实施方案，现场讲解综合管理系统、无人机巡查系统和无人机管理服务平台相关功能，包括无人机远程指挥起飞和返航调度、无人机远程拍摄目标、AI 识别算法确认、异常情况工单派发处理等功能。评标委员会根据项目负责人对项目情况理解是否深刻、语句是否简洁、思路是否清晰，对专家提问的回答是否清晰、正确等情况，在0(不含0分)-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分中进行综合评分，未到场陈述的为0分。</w:t>
            </w:r>
          </w:p>
          <w:p w14:paraId="3D1D42F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注：答辩注意事项请查看表格下方备注信息。</w:t>
            </w:r>
          </w:p>
        </w:tc>
      </w:tr>
      <w:tr w14:paraId="75352FD6">
        <w:tblPrEx>
          <w:tblCellMar>
            <w:top w:w="0" w:type="dxa"/>
            <w:left w:w="108" w:type="dxa"/>
            <w:bottom w:w="0" w:type="dxa"/>
            <w:right w:w="108" w:type="dxa"/>
          </w:tblCellMar>
        </w:tblPrEx>
        <w:trPr>
          <w:trHeight w:val="1057"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ADFB6">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13A93">
            <w:pPr>
              <w:widowControl/>
              <w:jc w:val="center"/>
              <w:textAlignment w:val="center"/>
              <w:rPr>
                <w:rFonts w:hint="eastAsia" w:ascii="宋体" w:hAnsi="宋体" w:cs="宋体"/>
                <w:color w:val="auto"/>
                <w:kern w:val="0"/>
                <w:szCs w:val="21"/>
                <w:highlight w:val="none"/>
              </w:rPr>
            </w:pPr>
            <w:r>
              <w:rPr>
                <w:rFonts w:hint="eastAsia" w:ascii="宋体" w:hAnsi="宋体"/>
                <w:color w:val="auto"/>
                <w:szCs w:val="21"/>
                <w:highlight w:val="none"/>
              </w:rPr>
              <w:t>售后服务</w:t>
            </w:r>
          </w:p>
        </w:tc>
        <w:tc>
          <w:tcPr>
            <w:tcW w:w="291" w:type="pct"/>
            <w:tcBorders>
              <w:top w:val="single" w:color="000000" w:sz="4" w:space="0"/>
              <w:left w:val="single" w:color="000000" w:sz="4" w:space="0"/>
              <w:bottom w:val="single" w:color="000000" w:sz="4" w:space="0"/>
              <w:right w:val="single" w:color="000000" w:sz="4" w:space="0"/>
            </w:tcBorders>
            <w:shd w:val="clear" w:color="auto" w:fill="EDEDED"/>
            <w:noWrap/>
            <w:vAlign w:val="center"/>
          </w:tcPr>
          <w:p w14:paraId="0C36E1A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8</w:t>
            </w:r>
          </w:p>
        </w:tc>
        <w:tc>
          <w:tcPr>
            <w:tcW w:w="3557" w:type="pct"/>
            <w:tcBorders>
              <w:top w:val="single" w:color="000000" w:sz="4" w:space="0"/>
              <w:left w:val="single" w:color="000000" w:sz="4" w:space="0"/>
              <w:bottom w:val="single" w:color="000000" w:sz="4" w:space="0"/>
              <w:right w:val="single" w:color="000000" w:sz="4" w:space="0"/>
            </w:tcBorders>
            <w:vAlign w:val="center"/>
          </w:tcPr>
          <w:p w14:paraId="1AB261BE">
            <w:pPr>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1.有完善的质保期服务承诺、人员培训、响应效率、设备维保方案得（5.6-8]分，</w:t>
            </w:r>
          </w:p>
          <w:p w14:paraId="648E6613">
            <w:pPr>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2.有基本的质保期服务承诺、人员培训、响应效率、设备维保方案得（3.2-5.6]分，</w:t>
            </w:r>
          </w:p>
          <w:p w14:paraId="2EA4599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3.质保期服务承诺、人员培训、相应效率、设备维保的方案欠缺，或方案不可行得[0-3.2]分。</w:t>
            </w:r>
          </w:p>
        </w:tc>
      </w:tr>
    </w:tbl>
    <w:p w14:paraId="7B07BB96">
      <w:pPr>
        <w:pStyle w:val="7"/>
        <w:spacing w:line="360" w:lineRule="auto"/>
        <w:ind w:firstLine="422"/>
        <w:rPr>
          <w:rFonts w:hint="eastAsia" w:ascii="宋体" w:hAnsi="宋体" w:cs="宋体"/>
          <w:b/>
          <w:bCs/>
          <w:color w:val="auto"/>
          <w:highlight w:val="none"/>
        </w:rPr>
      </w:pPr>
      <w:r>
        <w:rPr>
          <w:rFonts w:hint="eastAsia" w:ascii="宋体" w:hAnsi="宋体" w:cs="宋体"/>
          <w:b/>
          <w:bCs/>
          <w:color w:val="auto"/>
          <w:highlight w:val="none"/>
        </w:rPr>
        <w:t>注：①项目负责人进场进行陈述及答辩时需出示本人身份证原件，陈述时间原则控制在 5 分钟之内，并针对评标委员会专家的提问进行答辩，陈述及答辩时间原则控制在 8分钟之内。</w:t>
      </w:r>
    </w:p>
    <w:p w14:paraId="6B38C7F5">
      <w:pPr>
        <w:rPr>
          <w:rFonts w:hint="eastAsia" w:ascii="宋体" w:hAnsi="宋体" w:cs="宋体"/>
          <w:b/>
          <w:bCs/>
          <w:color w:val="auto"/>
          <w:highlight w:val="none"/>
        </w:rPr>
      </w:pPr>
    </w:p>
    <w:p w14:paraId="538F07CE">
      <w:pPr>
        <w:spacing w:line="360" w:lineRule="auto"/>
        <w:ind w:firstLine="422" w:firstLineChars="200"/>
        <w:rPr>
          <w:rFonts w:hint="default" w:ascii="宋体" w:hAnsi="宋体" w:eastAsia="宋体" w:cs="宋体"/>
          <w:b/>
          <w:bCs/>
          <w:color w:val="auto"/>
          <w:highlight w:val="none"/>
          <w:lang w:val="en-US" w:eastAsia="zh-CN"/>
        </w:rPr>
        <w:sectPr>
          <w:pgSz w:w="16838" w:h="11905" w:orient="landscape"/>
          <w:pgMar w:top="1134" w:right="850" w:bottom="1134" w:left="850" w:header="567" w:footer="590" w:gutter="0"/>
          <w:cols w:space="720" w:num="1"/>
        </w:sectPr>
      </w:pPr>
      <w:r>
        <w:rPr>
          <w:rFonts w:hint="eastAsia" w:asciiTheme="minorEastAsia" w:hAnsiTheme="minorEastAsia" w:eastAsiaTheme="minorEastAsia" w:cstheme="minorEastAsia"/>
          <w:b/>
          <w:bCs/>
          <w:color w:val="auto"/>
          <w:kern w:val="2"/>
          <w:sz w:val="21"/>
          <w:szCs w:val="20"/>
          <w:highlight w:val="none"/>
          <w:lang w:val="en-US" w:eastAsia="zh-CN" w:bidi="ar-SA"/>
        </w:rPr>
        <w:t>②</w:t>
      </w:r>
      <w:r>
        <w:rPr>
          <w:rFonts w:hint="eastAsia" w:ascii="宋体" w:hAnsi="宋体" w:eastAsia="宋体" w:cs="宋体"/>
          <w:b/>
          <w:bCs/>
          <w:color w:val="auto"/>
          <w:kern w:val="2"/>
          <w:sz w:val="21"/>
          <w:szCs w:val="20"/>
          <w:highlight w:val="none"/>
          <w:lang w:val="en-US" w:eastAsia="zh-CN" w:bidi="ar-SA"/>
        </w:rPr>
        <w:t>温馨提醒：项目负责人陈述及答辩的时间在开标会当天进行通知，请各项目负责人根据实际情况考虑，在投标文件递交截止时间前按时参加开标会或</w:t>
      </w:r>
      <w:r>
        <w:rPr>
          <w:rFonts w:hint="eastAsia" w:ascii="宋体" w:hAnsi="宋体" w:cs="宋体"/>
          <w:b/>
          <w:bCs/>
          <w:color w:val="auto"/>
          <w:kern w:val="2"/>
          <w:sz w:val="21"/>
          <w:szCs w:val="20"/>
          <w:highlight w:val="none"/>
          <w:lang w:val="en-US" w:eastAsia="zh-CN" w:bidi="ar-SA"/>
        </w:rPr>
        <w:t>自</w:t>
      </w:r>
      <w:r>
        <w:rPr>
          <w:rFonts w:hint="eastAsia" w:ascii="宋体" w:hAnsi="宋体" w:eastAsia="宋体" w:cs="宋体"/>
          <w:b/>
          <w:bCs/>
          <w:color w:val="auto"/>
          <w:kern w:val="2"/>
          <w:sz w:val="21"/>
          <w:szCs w:val="20"/>
          <w:highlight w:val="none"/>
          <w:lang w:val="en-US" w:eastAsia="zh-CN" w:bidi="ar-SA"/>
        </w:rPr>
        <w:t>行将联系方式提供给招标代理（李工，联系电话：0769-22011815），逾期不另行通知，后果自负。</w:t>
      </w:r>
    </w:p>
    <w:p w14:paraId="3E5A9CBF">
      <w:pPr>
        <w:tabs>
          <w:tab w:val="left" w:pos="720"/>
        </w:tabs>
        <w:spacing w:line="360" w:lineRule="auto"/>
        <w:ind w:firstLine="420" w:firstLineChars="200"/>
        <w:rPr>
          <w:rFonts w:hint="eastAsia" w:ascii="宋体" w:hAnsi="宋体" w:cs="Tahoma"/>
          <w:color w:val="auto"/>
          <w:szCs w:val="21"/>
          <w:highlight w:val="none"/>
        </w:rPr>
      </w:pPr>
      <w:r>
        <w:rPr>
          <w:rFonts w:hint="eastAsia" w:ascii="宋体" w:hAnsi="宋体" w:cs="Tahoma"/>
          <w:color w:val="auto"/>
          <w:szCs w:val="21"/>
          <w:highlight w:val="none"/>
        </w:rPr>
        <w:t>评标办法前附表备注：</w:t>
      </w:r>
    </w:p>
    <w:p w14:paraId="4C18A554">
      <w:pPr>
        <w:tabs>
          <w:tab w:val="left" w:pos="720"/>
        </w:tabs>
        <w:spacing w:line="360" w:lineRule="auto"/>
        <w:ind w:firstLine="420" w:firstLineChars="200"/>
        <w:rPr>
          <w:rFonts w:hint="eastAsia" w:ascii="宋体" w:hAnsi="宋体" w:cs="Tahoma"/>
          <w:color w:val="auto"/>
          <w:szCs w:val="21"/>
          <w:highlight w:val="none"/>
        </w:rPr>
      </w:pPr>
      <w:r>
        <w:rPr>
          <w:rFonts w:ascii="宋体" w:hAnsi="宋体" w:cs="Tahoma"/>
          <w:color w:val="auto"/>
          <w:szCs w:val="21"/>
          <w:highlight w:val="none"/>
        </w:rPr>
        <w:t>1、</w:t>
      </w:r>
      <w:r>
        <w:rPr>
          <w:rFonts w:hint="eastAsia" w:ascii="宋体" w:hAnsi="宋体" w:cs="Tahoma"/>
          <w:color w:val="auto"/>
          <w:szCs w:val="21"/>
          <w:highlight w:val="none"/>
        </w:rPr>
        <w:t>评标办法正文与《评标办法前附表》描述存在不一致之处，以《评标办法前附表》为准。</w:t>
      </w:r>
    </w:p>
    <w:p w14:paraId="58402F91">
      <w:pPr>
        <w:tabs>
          <w:tab w:val="left" w:pos="720"/>
        </w:tabs>
        <w:spacing w:line="360" w:lineRule="auto"/>
        <w:ind w:firstLine="420" w:firstLineChars="200"/>
        <w:rPr>
          <w:rFonts w:hint="eastAsia" w:ascii="宋体" w:hAnsi="宋体" w:cs="Tahoma"/>
          <w:color w:val="auto"/>
          <w:szCs w:val="21"/>
          <w:highlight w:val="none"/>
        </w:rPr>
      </w:pPr>
      <w:r>
        <w:rPr>
          <w:rFonts w:hint="eastAsia" w:ascii="宋体" w:hAnsi="宋体" w:cs="Tahoma"/>
          <w:color w:val="auto"/>
          <w:szCs w:val="21"/>
          <w:highlight w:val="none"/>
        </w:rPr>
        <w:t>2、评分如出现小数点，则保留小数点后两位，第三位四舍五入。</w:t>
      </w:r>
    </w:p>
    <w:p w14:paraId="7E106261">
      <w:pPr>
        <w:tabs>
          <w:tab w:val="left" w:pos="420"/>
          <w:tab w:val="left" w:pos="720"/>
        </w:tabs>
        <w:spacing w:line="360" w:lineRule="auto"/>
        <w:ind w:firstLine="420" w:firstLineChars="200"/>
        <w:rPr>
          <w:color w:val="auto"/>
          <w:highlight w:val="none"/>
        </w:rPr>
      </w:pPr>
      <w:r>
        <w:rPr>
          <w:rFonts w:hint="eastAsia" w:ascii="宋体" w:hAnsi="宋体" w:cs="Tahoma"/>
          <w:color w:val="auto"/>
          <w:szCs w:val="21"/>
          <w:highlight w:val="none"/>
        </w:rPr>
        <w:t>3、同时通过商务部分及技术部分初步评审的投标人方可参加价格部分评审。</w:t>
      </w:r>
    </w:p>
    <w:p w14:paraId="69CA7866">
      <w:pPr>
        <w:tabs>
          <w:tab w:val="left" w:pos="420"/>
          <w:tab w:val="left" w:pos="720"/>
        </w:tabs>
        <w:spacing w:line="360" w:lineRule="auto"/>
        <w:ind w:firstLine="422" w:firstLineChars="200"/>
        <w:rPr>
          <w:b/>
          <w:bCs/>
          <w:color w:val="auto"/>
          <w:highlight w:val="none"/>
        </w:rPr>
      </w:pPr>
      <w:r>
        <w:rPr>
          <w:rFonts w:hint="eastAsia"/>
          <w:b/>
          <w:bCs/>
          <w:color w:val="auto"/>
          <w:highlight w:val="none"/>
        </w:rPr>
        <w:t>4、在评标打分期间，评标委员会成员需各自独立评审，未经评标委员会组长同意不得相互讨论或交换意见，如有违反，须承担相应法律责任。</w:t>
      </w:r>
    </w:p>
    <w:p w14:paraId="1576D74F">
      <w:pPr>
        <w:tabs>
          <w:tab w:val="left" w:pos="420"/>
          <w:tab w:val="left" w:pos="720"/>
        </w:tabs>
        <w:spacing w:line="360" w:lineRule="auto"/>
        <w:ind w:firstLine="420" w:firstLineChars="200"/>
        <w:rPr>
          <w:rFonts w:hint="eastAsia" w:ascii="宋体" w:hAnsi="宋体" w:cs="Tahoma"/>
          <w:color w:val="auto"/>
          <w:szCs w:val="21"/>
          <w:highlight w:val="none"/>
        </w:rPr>
      </w:pPr>
      <w:r>
        <w:rPr>
          <w:rFonts w:hint="eastAsia" w:ascii="宋体" w:hAnsi="宋体" w:cs="Tahoma"/>
          <w:color w:val="auto"/>
          <w:szCs w:val="21"/>
          <w:highlight w:val="none"/>
        </w:rPr>
        <w:t>5、</w:t>
      </w:r>
      <w:r>
        <w:rPr>
          <w:rFonts w:ascii="宋体" w:hAnsi="宋体" w:cs="Tahoma"/>
          <w:color w:val="auto"/>
          <w:szCs w:val="21"/>
          <w:highlight w:val="none"/>
        </w:rPr>
        <w:t>评标程序中关于详细评审的补充说明</w:t>
      </w:r>
    </w:p>
    <w:p w14:paraId="4B4D3BD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详细评审的评分因素（</w:t>
      </w:r>
      <w:r>
        <w:rPr>
          <w:rFonts w:hint="eastAsia" w:ascii="宋体" w:hAnsi="宋体"/>
          <w:color w:val="auto"/>
          <w:szCs w:val="21"/>
          <w:highlight w:val="none"/>
        </w:rPr>
        <w:t>技术部分</w:t>
      </w:r>
      <w:r>
        <w:rPr>
          <w:rFonts w:hint="eastAsia" w:ascii="宋体" w:hAnsi="宋体"/>
          <w:color w:val="auto"/>
          <w:highlight w:val="none"/>
        </w:rPr>
        <w:t>）得分依据“先定档、后评分”的原则，具体要求如下：</w:t>
      </w:r>
    </w:p>
    <w:p w14:paraId="4AC37F2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）每位评标专家应严格按照详细评审项目规定的【好、中、差】等级标准对有效投标文件进行定档评议。</w:t>
      </w:r>
    </w:p>
    <w:p w14:paraId="0EA0B5A5">
      <w:pPr>
        <w:tabs>
          <w:tab w:val="left" w:pos="720"/>
        </w:tabs>
        <w:spacing w:line="360" w:lineRule="auto"/>
        <w:ind w:firstLine="420" w:firstLineChars="200"/>
        <w:rPr>
          <w:rFonts w:hint="eastAsia" w:ascii="宋体" w:hAnsi="宋体" w:cs="Tahoma"/>
          <w:color w:val="auto"/>
          <w:szCs w:val="21"/>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w:t>
      </w:r>
      <w:r>
        <w:rPr>
          <w:rFonts w:hint="eastAsia" w:ascii="宋体" w:hAnsi="宋体" w:cs="Tahoma"/>
          <w:color w:val="auto"/>
          <w:szCs w:val="21"/>
          <w:highlight w:val="none"/>
        </w:rPr>
        <w:t>每位评标专家先递交各自的定档评议，定档分好、中、差三档，好为</w:t>
      </w:r>
      <w:r>
        <w:rPr>
          <w:rFonts w:ascii="宋体" w:hAnsi="宋体" w:cs="Tahoma"/>
          <w:color w:val="auto"/>
          <w:szCs w:val="21"/>
          <w:highlight w:val="none"/>
        </w:rPr>
        <w:t>3分、中为2分、差为1分；经汇总并计算其算术平均分，最终按下表得出各投标人的最终档次。</w:t>
      </w:r>
    </w:p>
    <w:tbl>
      <w:tblPr>
        <w:tblStyle w:val="21"/>
        <w:tblW w:w="0" w:type="auto"/>
        <w:jc w:val="center"/>
        <w:tblLayout w:type="fixed"/>
        <w:tblCellMar>
          <w:top w:w="0" w:type="dxa"/>
          <w:left w:w="28" w:type="dxa"/>
          <w:bottom w:w="0" w:type="dxa"/>
          <w:right w:w="28" w:type="dxa"/>
        </w:tblCellMar>
      </w:tblPr>
      <w:tblGrid>
        <w:gridCol w:w="2205"/>
        <w:gridCol w:w="2310"/>
        <w:gridCol w:w="2220"/>
      </w:tblGrid>
      <w:tr w14:paraId="368D5913">
        <w:tblPrEx>
          <w:tblCellMar>
            <w:top w:w="0" w:type="dxa"/>
            <w:left w:w="28" w:type="dxa"/>
            <w:bottom w:w="0" w:type="dxa"/>
            <w:right w:w="28" w:type="dxa"/>
          </w:tblCellMar>
        </w:tblPrEx>
        <w:trPr>
          <w:cantSplit/>
          <w:trHeight w:val="263" w:hRule="atLeast"/>
          <w:tblHeader/>
          <w:jc w:val="center"/>
        </w:trPr>
        <w:tc>
          <w:tcPr>
            <w:tcW w:w="2205" w:type="dxa"/>
            <w:tcBorders>
              <w:top w:val="single" w:color="auto" w:sz="4" w:space="0"/>
              <w:left w:val="single" w:color="auto" w:sz="4" w:space="0"/>
              <w:bottom w:val="single" w:color="auto" w:sz="4" w:space="0"/>
              <w:right w:val="single" w:color="auto" w:sz="4" w:space="0"/>
            </w:tcBorders>
            <w:vAlign w:val="center"/>
          </w:tcPr>
          <w:p w14:paraId="04738FD5">
            <w:pPr>
              <w:spacing w:line="360"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好</w:t>
            </w:r>
          </w:p>
        </w:tc>
        <w:tc>
          <w:tcPr>
            <w:tcW w:w="2310" w:type="dxa"/>
            <w:tcBorders>
              <w:top w:val="single" w:color="auto" w:sz="4" w:space="0"/>
              <w:left w:val="single" w:color="auto" w:sz="4" w:space="0"/>
              <w:bottom w:val="single" w:color="auto" w:sz="4" w:space="0"/>
              <w:right w:val="single" w:color="auto" w:sz="4" w:space="0"/>
            </w:tcBorders>
            <w:vAlign w:val="center"/>
          </w:tcPr>
          <w:p w14:paraId="182768E9">
            <w:pPr>
              <w:spacing w:line="360"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中</w:t>
            </w:r>
          </w:p>
        </w:tc>
        <w:tc>
          <w:tcPr>
            <w:tcW w:w="2220" w:type="dxa"/>
            <w:tcBorders>
              <w:top w:val="single" w:color="auto" w:sz="4" w:space="0"/>
              <w:left w:val="single" w:color="auto" w:sz="4" w:space="0"/>
              <w:bottom w:val="single" w:color="auto" w:sz="4" w:space="0"/>
              <w:right w:val="single" w:color="auto" w:sz="4" w:space="0"/>
            </w:tcBorders>
            <w:vAlign w:val="center"/>
          </w:tcPr>
          <w:p w14:paraId="6F833B97">
            <w:pPr>
              <w:spacing w:line="360"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差</w:t>
            </w:r>
          </w:p>
        </w:tc>
      </w:tr>
      <w:tr w14:paraId="10C54923">
        <w:tblPrEx>
          <w:tblCellMar>
            <w:top w:w="0" w:type="dxa"/>
            <w:left w:w="28" w:type="dxa"/>
            <w:bottom w:w="0" w:type="dxa"/>
            <w:right w:w="28" w:type="dxa"/>
          </w:tblCellMar>
        </w:tblPrEx>
        <w:trPr>
          <w:cantSplit/>
          <w:trHeight w:val="244" w:hRule="atLeast"/>
          <w:tblHeader/>
          <w:jc w:val="center"/>
        </w:trPr>
        <w:tc>
          <w:tcPr>
            <w:tcW w:w="2205" w:type="dxa"/>
            <w:tcBorders>
              <w:top w:val="single" w:color="auto" w:sz="4" w:space="0"/>
              <w:left w:val="single" w:color="auto" w:sz="4" w:space="0"/>
              <w:bottom w:val="single" w:color="auto" w:sz="4" w:space="0"/>
              <w:right w:val="single" w:color="auto" w:sz="4" w:space="0"/>
            </w:tcBorders>
            <w:vAlign w:val="center"/>
          </w:tcPr>
          <w:p w14:paraId="613F1AF8">
            <w:pPr>
              <w:spacing w:line="360" w:lineRule="auto"/>
              <w:ind w:firstLine="420" w:firstLineChars="200"/>
              <w:jc w:val="center"/>
              <w:rPr>
                <w:rFonts w:hint="eastAsia" w:ascii="宋体" w:hAnsi="宋体"/>
                <w:color w:val="auto"/>
                <w:szCs w:val="21"/>
                <w:highlight w:val="none"/>
              </w:rPr>
            </w:pPr>
            <w:r>
              <w:rPr>
                <w:rFonts w:ascii="宋体" w:hAnsi="宋体"/>
                <w:color w:val="auto"/>
                <w:szCs w:val="21"/>
                <w:highlight w:val="none"/>
              </w:rPr>
              <w:t>[3，2.5]</w:t>
            </w:r>
          </w:p>
        </w:tc>
        <w:tc>
          <w:tcPr>
            <w:tcW w:w="2310" w:type="dxa"/>
            <w:tcBorders>
              <w:top w:val="single" w:color="auto" w:sz="4" w:space="0"/>
              <w:left w:val="single" w:color="auto" w:sz="4" w:space="0"/>
              <w:bottom w:val="single" w:color="auto" w:sz="4" w:space="0"/>
              <w:right w:val="single" w:color="auto" w:sz="4" w:space="0"/>
            </w:tcBorders>
            <w:vAlign w:val="center"/>
          </w:tcPr>
          <w:p w14:paraId="720181E7">
            <w:pPr>
              <w:spacing w:line="360"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2.5，1.5）</w:t>
            </w:r>
          </w:p>
        </w:tc>
        <w:tc>
          <w:tcPr>
            <w:tcW w:w="2220" w:type="dxa"/>
            <w:tcBorders>
              <w:top w:val="single" w:color="auto" w:sz="4" w:space="0"/>
              <w:left w:val="single" w:color="auto" w:sz="4" w:space="0"/>
              <w:bottom w:val="single" w:color="auto" w:sz="4" w:space="0"/>
              <w:right w:val="single" w:color="auto" w:sz="4" w:space="0"/>
            </w:tcBorders>
            <w:vAlign w:val="center"/>
          </w:tcPr>
          <w:p w14:paraId="19697917">
            <w:pPr>
              <w:spacing w:line="360" w:lineRule="auto"/>
              <w:ind w:firstLine="420" w:firstLineChars="200"/>
              <w:jc w:val="center"/>
              <w:rPr>
                <w:rFonts w:hint="eastAsia" w:ascii="宋体" w:hAnsi="宋体"/>
                <w:color w:val="auto"/>
                <w:szCs w:val="21"/>
                <w:highlight w:val="none"/>
              </w:rPr>
            </w:pPr>
            <w:r>
              <w:rPr>
                <w:rFonts w:ascii="宋体" w:hAnsi="宋体"/>
                <w:color w:val="auto"/>
                <w:szCs w:val="21"/>
                <w:highlight w:val="none"/>
              </w:rPr>
              <w:t>[1.5，1 ]</w:t>
            </w:r>
          </w:p>
        </w:tc>
      </w:tr>
    </w:tbl>
    <w:p w14:paraId="3A387EDB">
      <w:pPr>
        <w:spacing w:before="240" w:beforeLines="100" w:line="360" w:lineRule="auto"/>
        <w:ind w:firstLine="420" w:firstLineChars="200"/>
        <w:jc w:val="left"/>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）各评标专家根据评定的最终档次进行各自打分，评分不符合最终档次的无效，须按最终档次重新打分。</w:t>
      </w:r>
    </w:p>
    <w:p w14:paraId="184F94A9">
      <w:pPr>
        <w:tabs>
          <w:tab w:val="left" w:pos="720"/>
        </w:tabs>
        <w:spacing w:line="360" w:lineRule="auto"/>
        <w:ind w:firstLine="420" w:firstLineChars="200"/>
        <w:rPr>
          <w:rFonts w:hint="eastAsia" w:ascii="宋体" w:hAnsi="宋体" w:cs="Tahoma"/>
          <w:color w:val="auto"/>
          <w:szCs w:val="21"/>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）最后按评标办法第</w:t>
      </w:r>
      <w:r>
        <w:rPr>
          <w:rFonts w:ascii="宋体" w:hAnsi="宋体"/>
          <w:color w:val="auto"/>
          <w:highlight w:val="none"/>
        </w:rPr>
        <w:t>3.2</w:t>
      </w:r>
      <w:r>
        <w:rPr>
          <w:rFonts w:hint="eastAsia" w:ascii="宋体" w:hAnsi="宋体"/>
          <w:color w:val="auto"/>
          <w:highlight w:val="none"/>
        </w:rPr>
        <w:t>条，对每一项评分因素去掉一个最高分和一个最低分后计取算术平均分，得出各项最终详细评审得分。</w:t>
      </w:r>
    </w:p>
    <w:p w14:paraId="776BD920">
      <w:pPr>
        <w:keepNext/>
        <w:keepLines/>
        <w:adjustRightInd w:val="0"/>
        <w:spacing w:before="240" w:after="120" w:line="360" w:lineRule="auto"/>
        <w:textAlignment w:val="baseline"/>
        <w:outlineLvl w:val="1"/>
        <w:rPr>
          <w:rFonts w:hint="eastAsia" w:ascii="宋体" w:hAnsi="宋体"/>
          <w:b/>
          <w:color w:val="auto"/>
          <w:kern w:val="0"/>
          <w:sz w:val="24"/>
          <w:szCs w:val="21"/>
          <w:highlight w:val="none"/>
        </w:rPr>
        <w:sectPr>
          <w:pgSz w:w="11905" w:h="16838"/>
          <w:pgMar w:top="1134" w:right="1134" w:bottom="567" w:left="1134" w:header="567" w:footer="590" w:gutter="0"/>
          <w:cols w:space="720" w:num="1"/>
        </w:sectPr>
      </w:pPr>
    </w:p>
    <w:p w14:paraId="6D18D68F">
      <w:pPr>
        <w:keepNext/>
        <w:keepLines/>
        <w:adjustRightInd w:val="0"/>
        <w:spacing w:before="240" w:after="120" w:line="360" w:lineRule="auto"/>
        <w:textAlignment w:val="baseline"/>
        <w:outlineLvl w:val="1"/>
        <w:rPr>
          <w:rFonts w:hint="eastAsia" w:ascii="宋体" w:hAnsi="宋体"/>
          <w:b/>
          <w:color w:val="auto"/>
          <w:kern w:val="0"/>
          <w:szCs w:val="21"/>
          <w:highlight w:val="none"/>
        </w:rPr>
      </w:pPr>
      <w:bookmarkStart w:id="616" w:name="_Toc27641"/>
      <w:bookmarkStart w:id="617" w:name="_Toc16914"/>
      <w:bookmarkStart w:id="618" w:name="_Toc12398"/>
      <w:bookmarkStart w:id="619" w:name="_Toc22426"/>
      <w:bookmarkStart w:id="620" w:name="_Toc17680"/>
      <w:bookmarkStart w:id="621" w:name="_Toc27932"/>
      <w:bookmarkStart w:id="622" w:name="_Toc20626"/>
      <w:bookmarkStart w:id="623" w:name="_Toc16692"/>
      <w:r>
        <w:rPr>
          <w:rFonts w:ascii="宋体" w:hAnsi="宋体"/>
          <w:b/>
          <w:color w:val="auto"/>
          <w:kern w:val="0"/>
          <w:sz w:val="24"/>
          <w:szCs w:val="21"/>
          <w:highlight w:val="none"/>
        </w:rPr>
        <w:t>1.</w:t>
      </w:r>
      <w:r>
        <w:rPr>
          <w:rFonts w:hint="eastAsia" w:ascii="宋体" w:hAnsi="宋体"/>
          <w:b/>
          <w:color w:val="auto"/>
          <w:kern w:val="0"/>
          <w:sz w:val="24"/>
          <w:szCs w:val="21"/>
          <w:highlight w:val="none"/>
        </w:rPr>
        <w:t>评标方法</w:t>
      </w:r>
      <w:bookmarkEnd w:id="616"/>
      <w:bookmarkEnd w:id="617"/>
      <w:bookmarkEnd w:id="618"/>
      <w:bookmarkEnd w:id="619"/>
      <w:bookmarkEnd w:id="620"/>
      <w:bookmarkEnd w:id="621"/>
      <w:bookmarkEnd w:id="622"/>
      <w:bookmarkEnd w:id="623"/>
    </w:p>
    <w:p w14:paraId="69491B28">
      <w:pPr>
        <w:spacing w:line="360" w:lineRule="auto"/>
        <w:ind w:firstLine="420" w:firstLineChars="200"/>
        <w:rPr>
          <w:rFonts w:hint="eastAsia" w:ascii="宋体" w:hAnsi="宋体"/>
          <w:color w:val="auto"/>
          <w:szCs w:val="21"/>
          <w:highlight w:val="none"/>
        </w:rPr>
      </w:pPr>
      <w:bookmarkStart w:id="624" w:name="_Hlk35611970"/>
      <w:r>
        <w:rPr>
          <w:rFonts w:hint="eastAsia" w:ascii="宋体" w:hAnsi="宋体"/>
          <w:color w:val="auto"/>
          <w:szCs w:val="21"/>
          <w:highlight w:val="none"/>
        </w:rPr>
        <w:t>本次评标采用综合评估法。评标委员会对满足招标文件实质性要求的投标文件，按照本章第</w:t>
      </w:r>
      <w:r>
        <w:rPr>
          <w:rFonts w:ascii="宋体" w:hAnsi="宋体"/>
          <w:color w:val="auto"/>
          <w:szCs w:val="21"/>
          <w:highlight w:val="none"/>
        </w:rPr>
        <w:t>2.2</w:t>
      </w:r>
      <w:r>
        <w:rPr>
          <w:rFonts w:hint="eastAsia" w:ascii="宋体" w:hAnsi="宋体"/>
          <w:color w:val="auto"/>
          <w:szCs w:val="21"/>
          <w:highlight w:val="none"/>
        </w:rPr>
        <w:t>款规定的评分标准进行打分，并按得分由高到低顺序推荐中标候选人。</w:t>
      </w:r>
      <w:r>
        <w:rPr>
          <w:rFonts w:hint="eastAsia" w:cs="宋体"/>
          <w:color w:val="auto"/>
          <w:sz w:val="22"/>
          <w:szCs w:val="22"/>
          <w:highlight w:val="none"/>
          <w:lang w:val="zh-CN"/>
        </w:rPr>
        <w:t>如果有两个或以上的投标人的综合得分相同，则在综合得分相同的投标人中按投标报价由低到高顺序排出次序。如果出现投标人的综合得分及投标报价均相同时，则按商务部分得分高低排序，商务部分得分高的排在前，商务部分得分低在排在后，若综合得分、投标报价、商务部分得分均相同，则用抽签的方式确定投标人的排名次序。如果推荐的第一中标候选人放弃中标资格，或因不可抗力无法签订合同，则招标人可按推荐的中标候选人排名顺序依次确定中标人，亦可决定组织重新招标</w:t>
      </w:r>
      <w:bookmarkEnd w:id="624"/>
      <w:r>
        <w:rPr>
          <w:rFonts w:hint="eastAsia" w:ascii="宋体" w:hAnsi="宋体"/>
          <w:color w:val="auto"/>
          <w:szCs w:val="21"/>
          <w:highlight w:val="none"/>
        </w:rPr>
        <w:t>。</w:t>
      </w:r>
    </w:p>
    <w:p w14:paraId="22049855">
      <w:pPr>
        <w:keepNext/>
        <w:keepLines/>
        <w:adjustRightInd w:val="0"/>
        <w:spacing w:before="240" w:after="120" w:line="360" w:lineRule="auto"/>
        <w:textAlignment w:val="baseline"/>
        <w:outlineLvl w:val="1"/>
        <w:rPr>
          <w:rFonts w:hint="eastAsia" w:ascii="宋体" w:hAnsi="宋体"/>
          <w:b/>
          <w:color w:val="auto"/>
          <w:kern w:val="0"/>
          <w:sz w:val="24"/>
          <w:szCs w:val="21"/>
          <w:highlight w:val="none"/>
        </w:rPr>
      </w:pPr>
      <w:bookmarkStart w:id="625" w:name="_Toc21616"/>
      <w:bookmarkStart w:id="626" w:name="_Toc9474"/>
      <w:bookmarkStart w:id="627" w:name="_Toc11439"/>
      <w:bookmarkStart w:id="628" w:name="_Toc8459"/>
      <w:bookmarkStart w:id="629" w:name="_Toc11014"/>
      <w:bookmarkStart w:id="630" w:name="_Toc898"/>
      <w:bookmarkStart w:id="631" w:name="_Toc12265"/>
      <w:bookmarkStart w:id="632" w:name="_Toc32264"/>
      <w:r>
        <w:rPr>
          <w:rFonts w:ascii="宋体" w:hAnsi="宋体"/>
          <w:b/>
          <w:color w:val="auto"/>
          <w:kern w:val="0"/>
          <w:sz w:val="24"/>
          <w:szCs w:val="21"/>
          <w:highlight w:val="none"/>
        </w:rPr>
        <w:t>2.</w:t>
      </w:r>
      <w:r>
        <w:rPr>
          <w:rFonts w:hint="eastAsia" w:ascii="宋体" w:hAnsi="宋体"/>
          <w:b/>
          <w:color w:val="auto"/>
          <w:kern w:val="0"/>
          <w:sz w:val="24"/>
          <w:szCs w:val="21"/>
          <w:highlight w:val="none"/>
        </w:rPr>
        <w:t>评审标准</w:t>
      </w:r>
      <w:bookmarkEnd w:id="625"/>
      <w:bookmarkEnd w:id="626"/>
      <w:bookmarkEnd w:id="627"/>
      <w:bookmarkEnd w:id="628"/>
      <w:bookmarkEnd w:id="629"/>
      <w:bookmarkEnd w:id="630"/>
      <w:bookmarkEnd w:id="631"/>
      <w:bookmarkEnd w:id="632"/>
    </w:p>
    <w:p w14:paraId="01ECB713">
      <w:pPr>
        <w:keepNext/>
        <w:keepLines/>
        <w:spacing w:before="260" w:after="260"/>
        <w:ind w:firstLine="118" w:firstLineChars="49"/>
        <w:outlineLvl w:val="2"/>
        <w:rPr>
          <w:rFonts w:hint="eastAsia" w:ascii="宋体" w:hAnsi="宋体"/>
          <w:b/>
          <w:color w:val="auto"/>
          <w:sz w:val="24"/>
          <w:szCs w:val="21"/>
          <w:highlight w:val="none"/>
        </w:rPr>
      </w:pPr>
      <w:bookmarkStart w:id="633" w:name="_Toc23514"/>
      <w:bookmarkStart w:id="634" w:name="_Toc25099"/>
      <w:bookmarkStart w:id="635" w:name="_Toc29320"/>
      <w:bookmarkStart w:id="636" w:name="_Toc19508"/>
      <w:bookmarkStart w:id="637" w:name="_Toc3568"/>
      <w:bookmarkStart w:id="638" w:name="_Toc22489"/>
      <w:bookmarkStart w:id="639" w:name="_Toc30508"/>
      <w:r>
        <w:rPr>
          <w:rFonts w:ascii="宋体" w:hAnsi="宋体"/>
          <w:b/>
          <w:color w:val="auto"/>
          <w:sz w:val="24"/>
          <w:szCs w:val="21"/>
          <w:highlight w:val="none"/>
        </w:rPr>
        <w:t>2.1</w:t>
      </w:r>
      <w:r>
        <w:rPr>
          <w:rFonts w:hint="eastAsia" w:ascii="宋体" w:hAnsi="宋体"/>
          <w:b/>
          <w:color w:val="auto"/>
          <w:sz w:val="24"/>
          <w:szCs w:val="21"/>
          <w:highlight w:val="none"/>
        </w:rPr>
        <w:t>初步评审标准</w:t>
      </w:r>
      <w:bookmarkEnd w:id="633"/>
      <w:bookmarkEnd w:id="634"/>
      <w:bookmarkEnd w:id="635"/>
      <w:bookmarkEnd w:id="636"/>
      <w:bookmarkEnd w:id="637"/>
      <w:bookmarkEnd w:id="638"/>
      <w:bookmarkEnd w:id="639"/>
    </w:p>
    <w:p w14:paraId="2694906C">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2.1.1</w:t>
      </w:r>
      <w:r>
        <w:rPr>
          <w:rFonts w:hint="eastAsia" w:ascii="宋体" w:hAnsi="宋体"/>
          <w:color w:val="auto"/>
          <w:szCs w:val="21"/>
          <w:highlight w:val="none"/>
        </w:rPr>
        <w:t>形式评审标准：见评标办法前附表。</w:t>
      </w:r>
    </w:p>
    <w:p w14:paraId="68865B44">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2.1.2</w:t>
      </w:r>
      <w:r>
        <w:rPr>
          <w:rFonts w:hint="eastAsia" w:ascii="宋体" w:hAnsi="宋体"/>
          <w:color w:val="auto"/>
          <w:szCs w:val="21"/>
          <w:highlight w:val="none"/>
        </w:rPr>
        <w:t>资格评审标准：见评标办法前附表。</w:t>
      </w:r>
    </w:p>
    <w:p w14:paraId="5C789F01">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2.1.3</w:t>
      </w:r>
      <w:r>
        <w:rPr>
          <w:rFonts w:hint="eastAsia" w:ascii="宋体" w:hAnsi="宋体"/>
          <w:color w:val="auto"/>
          <w:szCs w:val="21"/>
          <w:highlight w:val="none"/>
        </w:rPr>
        <w:t>响应性评审标准：见评标办法前附表。</w:t>
      </w:r>
    </w:p>
    <w:p w14:paraId="0453B829">
      <w:pPr>
        <w:keepNext/>
        <w:keepLines/>
        <w:spacing w:before="260" w:after="260"/>
        <w:ind w:firstLine="118" w:firstLineChars="49"/>
        <w:outlineLvl w:val="2"/>
        <w:rPr>
          <w:rFonts w:hint="eastAsia" w:ascii="宋体" w:hAnsi="宋体"/>
          <w:b/>
          <w:color w:val="auto"/>
          <w:sz w:val="24"/>
          <w:szCs w:val="21"/>
          <w:highlight w:val="none"/>
        </w:rPr>
      </w:pPr>
      <w:bookmarkStart w:id="640" w:name="_Toc28537"/>
      <w:bookmarkStart w:id="641" w:name="_Toc25477"/>
      <w:bookmarkStart w:id="642" w:name="_Toc28424"/>
      <w:bookmarkStart w:id="643" w:name="_Toc1896"/>
      <w:bookmarkStart w:id="644" w:name="_Toc30732"/>
      <w:bookmarkStart w:id="645" w:name="_Toc30703"/>
      <w:bookmarkStart w:id="646" w:name="_Toc19121"/>
      <w:r>
        <w:rPr>
          <w:rFonts w:ascii="宋体" w:hAnsi="宋体"/>
          <w:b/>
          <w:color w:val="auto"/>
          <w:sz w:val="24"/>
          <w:szCs w:val="21"/>
          <w:highlight w:val="none"/>
        </w:rPr>
        <w:t>2.2</w:t>
      </w:r>
      <w:r>
        <w:rPr>
          <w:rFonts w:hint="eastAsia" w:ascii="宋体" w:hAnsi="宋体"/>
          <w:b/>
          <w:color w:val="auto"/>
          <w:sz w:val="24"/>
          <w:szCs w:val="21"/>
          <w:highlight w:val="none"/>
        </w:rPr>
        <w:t>分值构成与评分标准</w:t>
      </w:r>
      <w:bookmarkEnd w:id="640"/>
      <w:bookmarkEnd w:id="641"/>
      <w:bookmarkEnd w:id="642"/>
      <w:bookmarkEnd w:id="643"/>
      <w:bookmarkEnd w:id="644"/>
      <w:bookmarkEnd w:id="645"/>
      <w:bookmarkEnd w:id="646"/>
    </w:p>
    <w:p w14:paraId="2D216798">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2.2.1</w:t>
      </w:r>
      <w:r>
        <w:rPr>
          <w:rFonts w:hint="eastAsia" w:ascii="宋体" w:hAnsi="宋体"/>
          <w:color w:val="auto"/>
          <w:szCs w:val="21"/>
          <w:highlight w:val="none"/>
        </w:rPr>
        <w:t>分值构成</w:t>
      </w:r>
    </w:p>
    <w:p w14:paraId="288D6E1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）商务部分：见评标办法前附表；</w:t>
      </w:r>
    </w:p>
    <w:p w14:paraId="530A010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）技术部分：见评标办法前附表；</w:t>
      </w:r>
    </w:p>
    <w:p w14:paraId="44727E7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）投标报价部分：见评标办法前附表；</w:t>
      </w:r>
    </w:p>
    <w:p w14:paraId="28D7F733">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评标基准价计算</w:t>
      </w:r>
    </w:p>
    <w:p w14:paraId="710B71E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评标基准价计算方法：见评标办法前附表。</w:t>
      </w:r>
    </w:p>
    <w:p w14:paraId="72790730">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2.2.3</w:t>
      </w:r>
      <w:r>
        <w:rPr>
          <w:rFonts w:hint="eastAsia" w:ascii="宋体" w:hAnsi="宋体"/>
          <w:color w:val="auto"/>
          <w:szCs w:val="21"/>
          <w:highlight w:val="none"/>
        </w:rPr>
        <w:t>投标报价的偏差率计算</w:t>
      </w:r>
    </w:p>
    <w:p w14:paraId="4718FE2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投标报价的偏差率计算公式：见评标办法前附表。</w:t>
      </w:r>
    </w:p>
    <w:p w14:paraId="462B8B50">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2.2.4</w:t>
      </w:r>
      <w:r>
        <w:rPr>
          <w:rFonts w:hint="eastAsia" w:ascii="宋体" w:hAnsi="宋体"/>
          <w:color w:val="auto"/>
          <w:szCs w:val="21"/>
          <w:highlight w:val="none"/>
        </w:rPr>
        <w:t>评分标准</w:t>
      </w:r>
    </w:p>
    <w:p w14:paraId="58488DC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）商务评分标准：见评标办法前附表；</w:t>
      </w:r>
    </w:p>
    <w:p w14:paraId="53D6FC8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）技术评分标准：见评标办法前附表；</w:t>
      </w:r>
    </w:p>
    <w:p w14:paraId="5D5DFED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）投标报价评分标准：见评标办法前附表；</w:t>
      </w:r>
    </w:p>
    <w:p w14:paraId="0512D9BA">
      <w:pPr>
        <w:keepNext/>
        <w:keepLines/>
        <w:adjustRightInd w:val="0"/>
        <w:spacing w:before="240" w:after="120" w:line="360" w:lineRule="auto"/>
        <w:textAlignment w:val="baseline"/>
        <w:outlineLvl w:val="1"/>
        <w:rPr>
          <w:rFonts w:hint="eastAsia" w:ascii="宋体" w:hAnsi="宋体"/>
          <w:b/>
          <w:color w:val="auto"/>
          <w:kern w:val="0"/>
          <w:sz w:val="24"/>
          <w:szCs w:val="21"/>
          <w:highlight w:val="none"/>
        </w:rPr>
      </w:pPr>
      <w:bookmarkStart w:id="647" w:name="_Toc26640"/>
      <w:bookmarkStart w:id="648" w:name="_Toc27602"/>
      <w:bookmarkStart w:id="649" w:name="_Toc26608"/>
      <w:bookmarkStart w:id="650" w:name="_Toc7048"/>
      <w:bookmarkStart w:id="651" w:name="_Toc2649"/>
      <w:bookmarkStart w:id="652" w:name="_Toc28377"/>
      <w:bookmarkStart w:id="653" w:name="_Toc1967"/>
      <w:bookmarkStart w:id="654" w:name="_Toc737"/>
      <w:r>
        <w:rPr>
          <w:rFonts w:ascii="宋体" w:hAnsi="宋体"/>
          <w:b/>
          <w:color w:val="auto"/>
          <w:kern w:val="0"/>
          <w:sz w:val="24"/>
          <w:szCs w:val="21"/>
          <w:highlight w:val="none"/>
        </w:rPr>
        <w:t>3.</w:t>
      </w:r>
      <w:r>
        <w:rPr>
          <w:rFonts w:hint="eastAsia" w:ascii="宋体" w:hAnsi="宋体"/>
          <w:b/>
          <w:color w:val="auto"/>
          <w:kern w:val="0"/>
          <w:sz w:val="24"/>
          <w:szCs w:val="21"/>
          <w:highlight w:val="none"/>
        </w:rPr>
        <w:t>评标程序</w:t>
      </w:r>
      <w:bookmarkEnd w:id="647"/>
      <w:bookmarkEnd w:id="648"/>
      <w:bookmarkEnd w:id="649"/>
      <w:bookmarkEnd w:id="650"/>
      <w:bookmarkEnd w:id="651"/>
      <w:bookmarkEnd w:id="652"/>
      <w:bookmarkEnd w:id="653"/>
      <w:bookmarkEnd w:id="654"/>
    </w:p>
    <w:p w14:paraId="62FD9E3B">
      <w:pPr>
        <w:keepNext/>
        <w:keepLines/>
        <w:spacing w:before="260" w:after="260"/>
        <w:ind w:firstLine="118" w:firstLineChars="49"/>
        <w:outlineLvl w:val="2"/>
        <w:rPr>
          <w:rFonts w:hint="eastAsia" w:ascii="宋体" w:hAnsi="宋体"/>
          <w:b/>
          <w:color w:val="auto"/>
          <w:sz w:val="24"/>
          <w:szCs w:val="21"/>
          <w:highlight w:val="none"/>
        </w:rPr>
      </w:pPr>
      <w:bookmarkStart w:id="655" w:name="_Toc5341"/>
      <w:bookmarkStart w:id="656" w:name="_Toc13224"/>
      <w:bookmarkStart w:id="657" w:name="_Toc7207"/>
      <w:bookmarkStart w:id="658" w:name="_Toc10581"/>
      <w:bookmarkStart w:id="659" w:name="_Toc22153"/>
      <w:bookmarkStart w:id="660" w:name="_Toc16956"/>
      <w:bookmarkStart w:id="661" w:name="_Toc11506"/>
      <w:r>
        <w:rPr>
          <w:rFonts w:ascii="宋体" w:hAnsi="宋体"/>
          <w:b/>
          <w:color w:val="auto"/>
          <w:sz w:val="24"/>
          <w:szCs w:val="21"/>
          <w:highlight w:val="none"/>
        </w:rPr>
        <w:t>3.1</w:t>
      </w:r>
      <w:r>
        <w:rPr>
          <w:rFonts w:hint="eastAsia" w:ascii="宋体" w:hAnsi="宋体"/>
          <w:b/>
          <w:color w:val="auto"/>
          <w:sz w:val="24"/>
          <w:szCs w:val="21"/>
          <w:highlight w:val="none"/>
        </w:rPr>
        <w:t>初步评审</w:t>
      </w:r>
      <w:bookmarkEnd w:id="655"/>
      <w:bookmarkEnd w:id="656"/>
      <w:bookmarkEnd w:id="657"/>
      <w:bookmarkEnd w:id="658"/>
      <w:bookmarkEnd w:id="659"/>
      <w:bookmarkEnd w:id="660"/>
      <w:bookmarkEnd w:id="661"/>
    </w:p>
    <w:p w14:paraId="5B631984">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3.1.1</w:t>
      </w:r>
      <w:r>
        <w:rPr>
          <w:rFonts w:hint="eastAsia" w:ascii="宋体" w:hAnsi="宋体"/>
          <w:color w:val="auto"/>
          <w:szCs w:val="21"/>
          <w:highlight w:val="none"/>
        </w:rPr>
        <w:t>评标委员会可以要求投标人提交第二章</w:t>
      </w:r>
      <w:r>
        <w:rPr>
          <w:rFonts w:ascii="宋体" w:hAnsi="宋体"/>
          <w:color w:val="auto"/>
          <w:szCs w:val="21"/>
          <w:highlight w:val="none"/>
        </w:rPr>
        <w:t>“</w:t>
      </w:r>
      <w:r>
        <w:rPr>
          <w:rFonts w:hint="eastAsia" w:ascii="宋体" w:hAnsi="宋体"/>
          <w:color w:val="auto"/>
          <w:szCs w:val="21"/>
          <w:highlight w:val="none"/>
        </w:rPr>
        <w:t>投标人须知</w:t>
      </w:r>
      <w:r>
        <w:rPr>
          <w:rFonts w:ascii="宋体" w:hAnsi="宋体"/>
          <w:color w:val="auto"/>
          <w:szCs w:val="21"/>
          <w:highlight w:val="none"/>
        </w:rPr>
        <w:t>”</w:t>
      </w:r>
      <w:r>
        <w:rPr>
          <w:rFonts w:hint="eastAsia" w:ascii="宋体" w:hAnsi="宋体"/>
          <w:color w:val="auto"/>
          <w:szCs w:val="21"/>
          <w:highlight w:val="none"/>
        </w:rPr>
        <w:t>规定的有关证明和证件的原件，以便核验。评标委员会依据本章第</w:t>
      </w:r>
      <w:r>
        <w:rPr>
          <w:rFonts w:ascii="宋体" w:hAnsi="宋体"/>
          <w:color w:val="auto"/>
          <w:szCs w:val="21"/>
          <w:highlight w:val="none"/>
        </w:rPr>
        <w:t>2.1</w:t>
      </w:r>
      <w:r>
        <w:rPr>
          <w:rFonts w:hint="eastAsia" w:ascii="宋体" w:hAnsi="宋体"/>
          <w:color w:val="auto"/>
          <w:szCs w:val="21"/>
          <w:highlight w:val="none"/>
        </w:rPr>
        <w:t>款规定的标准对投标文件进行初步评审。有一项不符合评审标准的，评标委员会应当否决其投标。如评标委员会的评审意见不一致时，以评标委员会过半数成员的意见作为评标委员会对该情形的认定结论。</w:t>
      </w:r>
    </w:p>
    <w:p w14:paraId="52982885">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3.1.2</w:t>
      </w:r>
      <w:r>
        <w:rPr>
          <w:rFonts w:hint="eastAsia" w:ascii="宋体" w:hAnsi="宋体"/>
          <w:color w:val="auto"/>
          <w:szCs w:val="21"/>
          <w:highlight w:val="none"/>
        </w:rPr>
        <w:t>投标人有以下情形之一的，评标委员会应当否决其投标：</w:t>
      </w:r>
    </w:p>
    <w:p w14:paraId="60779C8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）投标文件没有对招标文件的实质性要求和条件作出响应，或者对招标文件的偏差超出招标文件规定的偏差范围或最高项数；</w:t>
      </w:r>
    </w:p>
    <w:p w14:paraId="1009BF5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）有串通投标、弄虚作假、行贿等违法行为。</w:t>
      </w:r>
    </w:p>
    <w:p w14:paraId="47AE894A">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3.1.3</w:t>
      </w:r>
      <w:r>
        <w:rPr>
          <w:rFonts w:hint="eastAsia" w:ascii="宋体" w:hAnsi="宋体"/>
          <w:color w:val="auto"/>
          <w:szCs w:val="21"/>
          <w:highlight w:val="none"/>
        </w:rPr>
        <w:t>投标报价有算术错误及其他错误的，“评标价”为经修正后的投标报价（如有），评标委员会按以下原则要求投标人对投标报价进行修正，并要求投标人书面澄清确认。投标人拒不澄清确认的，评标委员会应当否决其投标：</w:t>
      </w:r>
    </w:p>
    <w:p w14:paraId="2758974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）投标文件中的大写金额与小写金额不一致的，以大写金额为准；</w:t>
      </w:r>
    </w:p>
    <w:p w14:paraId="1F92E4A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）总价金额与单价金额不一致的，以单价金额为准，但单价金额小数点有明显错误的除外。</w:t>
      </w:r>
    </w:p>
    <w:p w14:paraId="1616E100">
      <w:pPr>
        <w:spacing w:line="400" w:lineRule="exact"/>
        <w:ind w:firstLine="420" w:firstLineChars="200"/>
        <w:rPr>
          <w:color w:val="auto"/>
          <w:highlight w:val="none"/>
        </w:rPr>
      </w:pPr>
      <w:r>
        <w:rPr>
          <w:rFonts w:hint="eastAsia"/>
          <w:color w:val="auto"/>
          <w:highlight w:val="none"/>
        </w:rPr>
        <w:t>（3）投标人报价如有漏项，则将其他投标人报价中该项价格中的最高价加进该投标人的投标总价；如已报项目的数量不足，则按投标人自身所报项目单价调整。如经评定为中标候选人，其漏项的价格应自行消化，不得增加报价。</w:t>
      </w:r>
    </w:p>
    <w:p w14:paraId="6FF26F36">
      <w:pPr>
        <w:spacing w:line="400" w:lineRule="exact"/>
        <w:ind w:firstLine="420" w:firstLineChars="200"/>
        <w:rPr>
          <w:color w:val="auto"/>
          <w:highlight w:val="none"/>
        </w:rPr>
      </w:pPr>
      <w:r>
        <w:rPr>
          <w:rFonts w:hint="eastAsia"/>
          <w:color w:val="auto"/>
          <w:highlight w:val="none"/>
        </w:rPr>
        <w:t>（4）若投标人的报价包含了招标范围之外的内容，则报价超出部分应予剔除。</w:t>
      </w:r>
    </w:p>
    <w:p w14:paraId="5184AD5C">
      <w:pPr>
        <w:spacing w:line="400" w:lineRule="exact"/>
        <w:ind w:firstLine="420" w:firstLineChars="200"/>
        <w:rPr>
          <w:color w:val="auto"/>
          <w:highlight w:val="none"/>
        </w:rPr>
      </w:pPr>
      <w:r>
        <w:rPr>
          <w:rFonts w:hint="eastAsia"/>
          <w:color w:val="auto"/>
          <w:highlight w:val="none"/>
        </w:rPr>
        <w:t>3.1.4投标人的投标报价按上述规则修正后的价格若高于投标价格，则中标价以投标价为准；修正后价格若低于投标价，则中标价以修正后价格为准。</w:t>
      </w:r>
    </w:p>
    <w:p w14:paraId="0B6500F9">
      <w:pPr>
        <w:spacing w:line="400" w:lineRule="exact"/>
        <w:ind w:firstLine="420" w:firstLineChars="200"/>
        <w:rPr>
          <w:color w:val="auto"/>
          <w:highlight w:val="none"/>
        </w:rPr>
      </w:pPr>
      <w:r>
        <w:rPr>
          <w:rFonts w:hint="eastAsia"/>
          <w:color w:val="auto"/>
          <w:highlight w:val="none"/>
        </w:rPr>
        <w:t>3.1.5投标人的投标报价按上述修正错误的原则及方法调整或修正投标文件的投标报价，调整后的投标报价对投标人起约束作用。如果投标人不接受修正后的报价，则取消其中标资格，并且其投标担保也不予退还。</w:t>
      </w:r>
    </w:p>
    <w:p w14:paraId="5FCBAA36">
      <w:pPr>
        <w:pStyle w:val="11"/>
        <w:rPr>
          <w:color w:val="auto"/>
          <w:highlight w:val="none"/>
        </w:rPr>
      </w:pPr>
    </w:p>
    <w:p w14:paraId="16E53D1B">
      <w:pPr>
        <w:keepNext/>
        <w:keepLines/>
        <w:spacing w:before="260" w:after="260"/>
        <w:ind w:firstLine="118" w:firstLineChars="49"/>
        <w:outlineLvl w:val="2"/>
        <w:rPr>
          <w:rFonts w:hint="eastAsia" w:ascii="宋体" w:hAnsi="宋体"/>
          <w:b/>
          <w:color w:val="auto"/>
          <w:sz w:val="24"/>
          <w:szCs w:val="21"/>
          <w:highlight w:val="none"/>
        </w:rPr>
      </w:pPr>
      <w:bookmarkStart w:id="662" w:name="_Toc1516"/>
      <w:bookmarkStart w:id="663" w:name="_Toc15148"/>
      <w:bookmarkStart w:id="664" w:name="_Toc29609"/>
      <w:bookmarkStart w:id="665" w:name="_Toc1123"/>
      <w:bookmarkStart w:id="666" w:name="_Toc23897"/>
      <w:bookmarkStart w:id="667" w:name="_Toc3754"/>
      <w:bookmarkStart w:id="668" w:name="_Toc16952"/>
      <w:r>
        <w:rPr>
          <w:rFonts w:ascii="宋体" w:hAnsi="宋体"/>
          <w:b/>
          <w:color w:val="auto"/>
          <w:sz w:val="24"/>
          <w:szCs w:val="21"/>
          <w:highlight w:val="none"/>
        </w:rPr>
        <w:t>3.2</w:t>
      </w:r>
      <w:r>
        <w:rPr>
          <w:rFonts w:hint="eastAsia" w:ascii="宋体" w:hAnsi="宋体"/>
          <w:b/>
          <w:color w:val="auto"/>
          <w:sz w:val="24"/>
          <w:szCs w:val="21"/>
          <w:highlight w:val="none"/>
        </w:rPr>
        <w:t>详细评审</w:t>
      </w:r>
      <w:bookmarkEnd w:id="662"/>
      <w:bookmarkEnd w:id="663"/>
      <w:bookmarkEnd w:id="664"/>
      <w:bookmarkEnd w:id="665"/>
      <w:bookmarkEnd w:id="666"/>
      <w:bookmarkEnd w:id="667"/>
      <w:bookmarkEnd w:id="668"/>
    </w:p>
    <w:p w14:paraId="0E6658FB">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3.2.1</w:t>
      </w:r>
      <w:r>
        <w:rPr>
          <w:rFonts w:hint="eastAsia" w:ascii="宋体" w:hAnsi="宋体"/>
          <w:color w:val="auto"/>
          <w:szCs w:val="21"/>
          <w:highlight w:val="none"/>
        </w:rPr>
        <w:t>评标委员会按本章第</w:t>
      </w:r>
      <w:r>
        <w:rPr>
          <w:rFonts w:ascii="宋体" w:hAnsi="宋体"/>
          <w:color w:val="auto"/>
          <w:szCs w:val="21"/>
          <w:highlight w:val="none"/>
        </w:rPr>
        <w:t>2.2</w:t>
      </w:r>
      <w:r>
        <w:rPr>
          <w:rFonts w:hint="eastAsia" w:ascii="宋体" w:hAnsi="宋体"/>
          <w:color w:val="auto"/>
          <w:szCs w:val="21"/>
          <w:highlight w:val="none"/>
        </w:rPr>
        <w:t>款规定的量化因素和分值进行打分，并计算出综合评估得分。</w:t>
      </w:r>
    </w:p>
    <w:p w14:paraId="287D804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）按本章第</w:t>
      </w:r>
      <w:r>
        <w:rPr>
          <w:rFonts w:ascii="宋体" w:hAnsi="宋体"/>
          <w:color w:val="auto"/>
          <w:szCs w:val="21"/>
          <w:highlight w:val="none"/>
        </w:rPr>
        <w:t>2.2.4</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）目规定的评审因素和分值对商务部分计算出得分</w:t>
      </w:r>
      <w:r>
        <w:rPr>
          <w:rFonts w:ascii="宋体" w:hAnsi="宋体"/>
          <w:color w:val="auto"/>
          <w:szCs w:val="21"/>
          <w:highlight w:val="none"/>
        </w:rPr>
        <w:t>A</w:t>
      </w:r>
      <w:r>
        <w:rPr>
          <w:rFonts w:hint="eastAsia" w:ascii="宋体" w:hAnsi="宋体"/>
          <w:color w:val="auto"/>
          <w:szCs w:val="21"/>
          <w:highlight w:val="none"/>
        </w:rPr>
        <w:t>；</w:t>
      </w:r>
    </w:p>
    <w:p w14:paraId="5ACCCDB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）按本章第</w:t>
      </w:r>
      <w:r>
        <w:rPr>
          <w:rFonts w:ascii="宋体" w:hAnsi="宋体"/>
          <w:color w:val="auto"/>
          <w:szCs w:val="21"/>
          <w:highlight w:val="none"/>
        </w:rPr>
        <w:t>2.2.4</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）目规定的评审因素和分值对技术部分计算出得分</w:t>
      </w:r>
      <w:r>
        <w:rPr>
          <w:rFonts w:ascii="宋体" w:hAnsi="宋体"/>
          <w:color w:val="auto"/>
          <w:szCs w:val="21"/>
          <w:highlight w:val="none"/>
        </w:rPr>
        <w:t>B</w:t>
      </w:r>
      <w:r>
        <w:rPr>
          <w:rFonts w:hint="eastAsia" w:ascii="宋体" w:hAnsi="宋体"/>
          <w:color w:val="auto"/>
          <w:szCs w:val="21"/>
          <w:highlight w:val="none"/>
        </w:rPr>
        <w:t>；</w:t>
      </w:r>
    </w:p>
    <w:p w14:paraId="289E4F5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）按本章第</w:t>
      </w:r>
      <w:r>
        <w:rPr>
          <w:rFonts w:ascii="宋体" w:hAnsi="宋体"/>
          <w:color w:val="auto"/>
          <w:szCs w:val="21"/>
          <w:highlight w:val="none"/>
        </w:rPr>
        <w:t>2.2.4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）目规定的评审因素和分值对投标报价计算出得分</w:t>
      </w:r>
      <w:r>
        <w:rPr>
          <w:rFonts w:ascii="宋体" w:hAnsi="宋体"/>
          <w:color w:val="auto"/>
          <w:szCs w:val="21"/>
          <w:highlight w:val="none"/>
        </w:rPr>
        <w:t>C</w:t>
      </w:r>
      <w:r>
        <w:rPr>
          <w:rFonts w:hint="eastAsia" w:ascii="宋体" w:hAnsi="宋体"/>
          <w:color w:val="auto"/>
          <w:szCs w:val="21"/>
          <w:highlight w:val="none"/>
        </w:rPr>
        <w:t>；</w:t>
      </w:r>
    </w:p>
    <w:p w14:paraId="0BB5E786">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3.2.2</w:t>
      </w:r>
      <w:r>
        <w:rPr>
          <w:rFonts w:hint="eastAsia" w:ascii="宋体" w:hAnsi="宋体"/>
          <w:color w:val="auto"/>
          <w:szCs w:val="21"/>
          <w:highlight w:val="none"/>
        </w:rPr>
        <w:t>评分分值计算保留小数点后两位，小数点后第三位“四舍五入”。</w:t>
      </w:r>
    </w:p>
    <w:p w14:paraId="4DB20D34">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3.2.3</w:t>
      </w:r>
      <w:r>
        <w:rPr>
          <w:rFonts w:hint="eastAsia" w:ascii="宋体" w:hAnsi="宋体"/>
          <w:color w:val="auto"/>
          <w:szCs w:val="21"/>
          <w:highlight w:val="none"/>
        </w:rPr>
        <w:t>投标人得分</w:t>
      </w:r>
      <w:r>
        <w:rPr>
          <w:rFonts w:ascii="宋体" w:hAnsi="宋体"/>
          <w:color w:val="auto"/>
          <w:szCs w:val="21"/>
          <w:highlight w:val="none"/>
        </w:rPr>
        <w:t>=A+B+C</w:t>
      </w:r>
      <w:r>
        <w:rPr>
          <w:rFonts w:hint="eastAsia" w:ascii="宋体" w:hAnsi="宋体"/>
          <w:color w:val="auto"/>
          <w:szCs w:val="21"/>
          <w:highlight w:val="none"/>
        </w:rPr>
        <w:t>。</w:t>
      </w:r>
    </w:p>
    <w:p w14:paraId="7D98C347">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3.2.4</w:t>
      </w:r>
      <w:r>
        <w:rPr>
          <w:rFonts w:hint="eastAsia" w:ascii="宋体" w:hAnsi="宋体"/>
          <w:color w:val="auto"/>
          <w:szCs w:val="21"/>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5391BA6">
      <w:pPr>
        <w:keepNext/>
        <w:keepLines/>
        <w:spacing w:before="260" w:after="260"/>
        <w:ind w:firstLine="118" w:firstLineChars="49"/>
        <w:outlineLvl w:val="2"/>
        <w:rPr>
          <w:rFonts w:hint="eastAsia" w:ascii="宋体" w:hAnsi="宋体"/>
          <w:b/>
          <w:color w:val="auto"/>
          <w:sz w:val="24"/>
          <w:szCs w:val="21"/>
          <w:highlight w:val="none"/>
        </w:rPr>
      </w:pPr>
      <w:bookmarkStart w:id="669" w:name="_Toc9982"/>
      <w:bookmarkStart w:id="670" w:name="_Toc30895"/>
      <w:bookmarkStart w:id="671" w:name="_Toc11654"/>
      <w:bookmarkStart w:id="672" w:name="_Toc22605"/>
      <w:bookmarkStart w:id="673" w:name="_Toc16175"/>
      <w:bookmarkStart w:id="674" w:name="_Toc14087"/>
      <w:bookmarkStart w:id="675" w:name="_Toc29998"/>
      <w:r>
        <w:rPr>
          <w:rFonts w:ascii="宋体" w:hAnsi="宋体"/>
          <w:b/>
          <w:color w:val="auto"/>
          <w:sz w:val="24"/>
          <w:szCs w:val="21"/>
          <w:highlight w:val="none"/>
        </w:rPr>
        <w:t>3.3</w:t>
      </w:r>
      <w:r>
        <w:rPr>
          <w:rFonts w:hint="eastAsia" w:ascii="宋体" w:hAnsi="宋体"/>
          <w:b/>
          <w:color w:val="auto"/>
          <w:sz w:val="24"/>
          <w:szCs w:val="21"/>
          <w:highlight w:val="none"/>
        </w:rPr>
        <w:t>投标文件的澄清</w:t>
      </w:r>
      <w:bookmarkEnd w:id="669"/>
      <w:bookmarkEnd w:id="670"/>
      <w:bookmarkEnd w:id="671"/>
      <w:bookmarkEnd w:id="672"/>
      <w:bookmarkEnd w:id="673"/>
      <w:bookmarkEnd w:id="674"/>
      <w:bookmarkEnd w:id="675"/>
    </w:p>
    <w:p w14:paraId="606030E7">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3.3.1</w:t>
      </w:r>
      <w:r>
        <w:rPr>
          <w:rFonts w:hint="eastAsia" w:ascii="宋体" w:hAnsi="宋体"/>
          <w:color w:val="auto"/>
          <w:szCs w:val="21"/>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03A05F6">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3.3.2</w:t>
      </w:r>
      <w:r>
        <w:rPr>
          <w:rFonts w:hint="eastAsia" w:ascii="宋体" w:hAnsi="宋体"/>
          <w:color w:val="auto"/>
          <w:szCs w:val="21"/>
          <w:highlight w:val="none"/>
        </w:rPr>
        <w:t>澄清、说明或补正不得超出投标文件的范围且不得改变投标文件的实质性内容，并构成投标文件的组成部分。</w:t>
      </w:r>
    </w:p>
    <w:p w14:paraId="3298944E">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3.3.3</w:t>
      </w:r>
      <w:r>
        <w:rPr>
          <w:rFonts w:hint="eastAsia" w:ascii="宋体" w:hAnsi="宋体"/>
          <w:color w:val="auto"/>
          <w:szCs w:val="21"/>
          <w:highlight w:val="none"/>
        </w:rPr>
        <w:t>评标委员会对投标人提交的澄清、说明或补正有疑问的，可以要求投标人进一步澄清、说明或补正，直至满足评标委员会的要求。</w:t>
      </w:r>
    </w:p>
    <w:p w14:paraId="49F39C90">
      <w:pPr>
        <w:keepNext/>
        <w:keepLines/>
        <w:spacing w:before="260" w:after="260"/>
        <w:ind w:firstLine="118" w:firstLineChars="49"/>
        <w:outlineLvl w:val="2"/>
        <w:rPr>
          <w:rFonts w:hint="eastAsia" w:ascii="宋体" w:hAnsi="宋体"/>
          <w:b/>
          <w:color w:val="auto"/>
          <w:sz w:val="24"/>
          <w:szCs w:val="21"/>
          <w:highlight w:val="none"/>
        </w:rPr>
      </w:pPr>
      <w:bookmarkStart w:id="676" w:name="_Toc14286"/>
      <w:bookmarkStart w:id="677" w:name="_Toc21924"/>
      <w:bookmarkStart w:id="678" w:name="_Toc13749"/>
      <w:bookmarkStart w:id="679" w:name="_Toc17228"/>
      <w:bookmarkStart w:id="680" w:name="_Toc12173"/>
      <w:bookmarkStart w:id="681" w:name="_Toc31911"/>
      <w:bookmarkStart w:id="682" w:name="_Toc17937"/>
      <w:r>
        <w:rPr>
          <w:rFonts w:ascii="宋体" w:hAnsi="宋体"/>
          <w:b/>
          <w:color w:val="auto"/>
          <w:sz w:val="24"/>
          <w:szCs w:val="21"/>
          <w:highlight w:val="none"/>
        </w:rPr>
        <w:t>3.4</w:t>
      </w:r>
      <w:r>
        <w:rPr>
          <w:rFonts w:hint="eastAsia" w:ascii="宋体" w:hAnsi="宋体"/>
          <w:b/>
          <w:color w:val="auto"/>
          <w:sz w:val="24"/>
          <w:szCs w:val="21"/>
          <w:highlight w:val="none"/>
        </w:rPr>
        <w:t>评标结果</w:t>
      </w:r>
      <w:bookmarkEnd w:id="676"/>
      <w:bookmarkEnd w:id="677"/>
      <w:bookmarkEnd w:id="678"/>
      <w:bookmarkEnd w:id="679"/>
      <w:bookmarkEnd w:id="680"/>
      <w:bookmarkEnd w:id="681"/>
      <w:bookmarkEnd w:id="682"/>
    </w:p>
    <w:p w14:paraId="6D0C763B">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3.4.1</w:t>
      </w:r>
      <w:r>
        <w:rPr>
          <w:rFonts w:hint="eastAsia" w:ascii="宋体" w:hAnsi="宋体"/>
          <w:color w:val="auto"/>
          <w:szCs w:val="21"/>
          <w:highlight w:val="none"/>
        </w:rPr>
        <w:t>除第二章</w:t>
      </w:r>
      <w:r>
        <w:rPr>
          <w:rFonts w:ascii="宋体" w:hAnsi="宋体"/>
          <w:color w:val="auto"/>
          <w:szCs w:val="21"/>
          <w:highlight w:val="none"/>
        </w:rPr>
        <w:t>“</w:t>
      </w:r>
      <w:r>
        <w:rPr>
          <w:rFonts w:hint="eastAsia" w:ascii="宋体" w:hAnsi="宋体"/>
          <w:color w:val="auto"/>
          <w:szCs w:val="21"/>
          <w:highlight w:val="none"/>
        </w:rPr>
        <w:t>投标人须知</w:t>
      </w:r>
      <w:r>
        <w:rPr>
          <w:rFonts w:ascii="宋体" w:hAnsi="宋体"/>
          <w:color w:val="auto"/>
          <w:szCs w:val="21"/>
          <w:highlight w:val="none"/>
        </w:rPr>
        <w:t>”</w:t>
      </w:r>
      <w:r>
        <w:rPr>
          <w:rFonts w:hint="eastAsia" w:ascii="宋体" w:hAnsi="宋体"/>
          <w:color w:val="auto"/>
          <w:szCs w:val="21"/>
          <w:highlight w:val="none"/>
        </w:rPr>
        <w:t>前附表授权直接确定中标人外，评标委员会按照得分由高到低的顺序推荐中标候选人，并标明排序。</w:t>
      </w:r>
    </w:p>
    <w:p w14:paraId="0EA86981">
      <w:pPr>
        <w:spacing w:line="360" w:lineRule="auto"/>
        <w:rPr>
          <w:rFonts w:hint="eastAsia" w:ascii="宋体" w:hAnsi="宋体"/>
          <w:color w:val="auto"/>
          <w:szCs w:val="21"/>
          <w:highlight w:val="none"/>
        </w:rPr>
      </w:pPr>
      <w:r>
        <w:rPr>
          <w:rFonts w:ascii="宋体" w:hAnsi="宋体"/>
          <w:color w:val="auto"/>
          <w:szCs w:val="21"/>
          <w:highlight w:val="none"/>
        </w:rPr>
        <w:t>3.4.2</w:t>
      </w:r>
      <w:r>
        <w:rPr>
          <w:rFonts w:hint="eastAsia" w:ascii="宋体" w:hAnsi="宋体"/>
          <w:color w:val="auto"/>
          <w:szCs w:val="21"/>
          <w:highlight w:val="none"/>
        </w:rPr>
        <w:t>评标委员会完成评标后，应当向招标人提交书面评标报告和中标候选人名单。</w:t>
      </w:r>
    </w:p>
    <w:p w14:paraId="76BEE4C4">
      <w:pPr>
        <w:pStyle w:val="3"/>
        <w:jc w:val="center"/>
        <w:rPr>
          <w:rFonts w:hint="eastAsia" w:ascii="宋体" w:hAnsi="宋体" w:eastAsia="宋体"/>
          <w:color w:val="auto"/>
          <w:sz w:val="21"/>
          <w:szCs w:val="21"/>
          <w:highlight w:val="none"/>
        </w:rPr>
      </w:pPr>
      <w:r>
        <w:rPr>
          <w:rFonts w:ascii="宋体" w:hAnsi="宋体" w:eastAsia="宋体" w:cs="宋体"/>
          <w:color w:val="auto"/>
          <w:sz w:val="24"/>
          <w:highlight w:val="none"/>
        </w:rPr>
        <w:br w:type="page"/>
      </w:r>
      <w:bookmarkStart w:id="683" w:name="_Toc9590462"/>
      <w:bookmarkEnd w:id="683"/>
      <w:bookmarkStart w:id="684" w:name="_Toc9590615"/>
      <w:bookmarkEnd w:id="684"/>
      <w:bookmarkStart w:id="685" w:name="_Toc2562"/>
      <w:bookmarkStart w:id="686" w:name="_Toc25004"/>
      <w:bookmarkStart w:id="687" w:name="_Toc17103"/>
      <w:bookmarkStart w:id="688" w:name="_Toc6588"/>
      <w:bookmarkStart w:id="689" w:name="_Toc32597"/>
      <w:bookmarkStart w:id="690" w:name="_Toc492300637"/>
      <w:bookmarkStart w:id="691" w:name="_Toc25681"/>
      <w:bookmarkStart w:id="692" w:name="_Toc27785"/>
      <w:bookmarkStart w:id="693" w:name="_Toc4159"/>
      <w:bookmarkStart w:id="694" w:name="_Toc9590801"/>
      <w:r>
        <w:rPr>
          <w:rFonts w:ascii="宋体" w:hAnsi="宋体" w:eastAsia="宋体"/>
          <w:color w:val="auto"/>
          <w:szCs w:val="21"/>
          <w:highlight w:val="none"/>
        </w:rPr>
        <w:t>第四章</w:t>
      </w:r>
      <w:r>
        <w:rPr>
          <w:rFonts w:hint="eastAsia" w:ascii="宋体" w:hAnsi="宋体" w:eastAsia="宋体"/>
          <w:color w:val="auto"/>
          <w:szCs w:val="21"/>
          <w:highlight w:val="none"/>
        </w:rPr>
        <w:t xml:space="preserve">  </w:t>
      </w:r>
      <w:r>
        <w:rPr>
          <w:rFonts w:ascii="宋体" w:hAnsi="宋体" w:eastAsia="宋体"/>
          <w:color w:val="auto"/>
          <w:szCs w:val="21"/>
          <w:highlight w:val="none"/>
        </w:rPr>
        <w:t>合同</w:t>
      </w:r>
      <w:bookmarkEnd w:id="685"/>
      <w:bookmarkEnd w:id="686"/>
      <w:bookmarkEnd w:id="687"/>
      <w:bookmarkEnd w:id="688"/>
      <w:bookmarkEnd w:id="689"/>
      <w:bookmarkEnd w:id="690"/>
      <w:bookmarkEnd w:id="691"/>
      <w:bookmarkEnd w:id="692"/>
      <w:bookmarkEnd w:id="693"/>
    </w:p>
    <w:p w14:paraId="4631635F">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东莞市轨道交通1号线运营期地铁控制保护区综合管理系统项目合同</w:t>
      </w:r>
    </w:p>
    <w:p w14:paraId="7FD63161">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合同编号：【】</w:t>
      </w:r>
    </w:p>
    <w:p w14:paraId="4B85D3A8">
      <w:pPr>
        <w:pStyle w:val="20"/>
        <w:rPr>
          <w:color w:val="auto"/>
          <w:highlight w:val="none"/>
        </w:rPr>
      </w:pPr>
    </w:p>
    <w:p w14:paraId="2FA5617B">
      <w:pPr>
        <w:pStyle w:val="20"/>
        <w:ind w:firstLine="562"/>
        <w:rPr>
          <w:rFonts w:hint="eastAsia" w:ascii="仿宋" w:hAnsi="仿宋" w:eastAsia="仿宋" w:cs="仿宋"/>
          <w:b/>
          <w:color w:val="auto"/>
          <w:sz w:val="28"/>
          <w:szCs w:val="28"/>
          <w:highlight w:val="none"/>
        </w:rPr>
      </w:pPr>
    </w:p>
    <w:p w14:paraId="4F5F7A11">
      <w:pPr>
        <w:pStyle w:val="20"/>
        <w:ind w:firstLine="562"/>
        <w:rPr>
          <w:rFonts w:hint="eastAsia" w:ascii="仿宋" w:hAnsi="仿宋" w:eastAsia="仿宋" w:cs="仿宋"/>
          <w:b/>
          <w:color w:val="auto"/>
          <w:sz w:val="28"/>
          <w:szCs w:val="28"/>
          <w:highlight w:val="none"/>
        </w:rPr>
      </w:pPr>
    </w:p>
    <w:p w14:paraId="000F03BD">
      <w:pPr>
        <w:pStyle w:val="20"/>
        <w:ind w:firstLine="562"/>
        <w:rPr>
          <w:rFonts w:hint="eastAsia" w:ascii="仿宋" w:hAnsi="仿宋" w:eastAsia="仿宋" w:cs="仿宋"/>
          <w:b/>
          <w:color w:val="auto"/>
          <w:sz w:val="28"/>
          <w:szCs w:val="28"/>
          <w:highlight w:val="none"/>
        </w:rPr>
      </w:pPr>
    </w:p>
    <w:p w14:paraId="07AC768C">
      <w:pPr>
        <w:pStyle w:val="20"/>
        <w:ind w:firstLine="562"/>
        <w:rPr>
          <w:rFonts w:hint="eastAsia" w:ascii="仿宋" w:hAnsi="仿宋" w:eastAsia="仿宋" w:cs="仿宋"/>
          <w:b/>
          <w:color w:val="auto"/>
          <w:sz w:val="28"/>
          <w:szCs w:val="28"/>
          <w:highlight w:val="none"/>
        </w:rPr>
      </w:pPr>
    </w:p>
    <w:p w14:paraId="143C649D">
      <w:pPr>
        <w:spacing w:line="480" w:lineRule="exact"/>
        <w:rPr>
          <w:rFonts w:hint="eastAsia" w:ascii="仿宋" w:hAnsi="仿宋" w:eastAsia="仿宋" w:cs="仿宋"/>
          <w:b/>
          <w:color w:val="auto"/>
          <w:sz w:val="28"/>
          <w:szCs w:val="28"/>
          <w:highlight w:val="none"/>
        </w:rPr>
      </w:pPr>
    </w:p>
    <w:p w14:paraId="55743AF1">
      <w:pPr>
        <w:spacing w:line="480" w:lineRule="exact"/>
        <w:rPr>
          <w:rFonts w:hint="eastAsia" w:ascii="仿宋" w:hAnsi="仿宋" w:eastAsia="仿宋" w:cs="仿宋"/>
          <w:b/>
          <w:color w:val="auto"/>
          <w:sz w:val="28"/>
          <w:szCs w:val="28"/>
          <w:highlight w:val="none"/>
        </w:rPr>
      </w:pPr>
    </w:p>
    <w:p w14:paraId="2A7F9234">
      <w:pPr>
        <w:spacing w:line="480" w:lineRule="exact"/>
        <w:rPr>
          <w:rFonts w:hint="eastAsia" w:ascii="仿宋" w:hAnsi="仿宋" w:eastAsia="仿宋" w:cs="仿宋"/>
          <w:b/>
          <w:color w:val="auto"/>
          <w:sz w:val="28"/>
          <w:szCs w:val="28"/>
          <w:highlight w:val="none"/>
        </w:rPr>
      </w:pPr>
    </w:p>
    <w:p w14:paraId="0856CCD6">
      <w:pPr>
        <w:spacing w:line="480" w:lineRule="exact"/>
        <w:rPr>
          <w:rFonts w:hint="eastAsia" w:ascii="仿宋" w:hAnsi="仿宋" w:eastAsia="仿宋" w:cs="仿宋"/>
          <w:b/>
          <w:color w:val="auto"/>
          <w:sz w:val="28"/>
          <w:szCs w:val="28"/>
          <w:highlight w:val="none"/>
        </w:rPr>
      </w:pPr>
    </w:p>
    <w:p w14:paraId="4846F03C">
      <w:pPr>
        <w:spacing w:line="480" w:lineRule="exact"/>
        <w:rPr>
          <w:rFonts w:hint="eastAsia" w:ascii="仿宋" w:hAnsi="仿宋" w:eastAsia="仿宋" w:cs="仿宋"/>
          <w:b/>
          <w:color w:val="auto"/>
          <w:sz w:val="28"/>
          <w:szCs w:val="28"/>
          <w:highlight w:val="none"/>
        </w:rPr>
      </w:pPr>
    </w:p>
    <w:p w14:paraId="52B72F76">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甲方：东莞市轨道一号线建设发展有限公司</w:t>
      </w:r>
    </w:p>
    <w:p w14:paraId="24065E40">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乙方：</w:t>
      </w:r>
    </w:p>
    <w:p w14:paraId="7DA0E3DF">
      <w:pPr>
        <w:spacing w:line="480" w:lineRule="exact"/>
        <w:ind w:firstLine="1119" w:firstLineChars="398"/>
        <w:rPr>
          <w:rFonts w:hint="eastAsia" w:ascii="仿宋" w:hAnsi="仿宋" w:eastAsia="仿宋" w:cs="仿宋"/>
          <w:b/>
          <w:color w:val="auto"/>
          <w:sz w:val="28"/>
          <w:szCs w:val="28"/>
          <w:highlight w:val="none"/>
        </w:rPr>
      </w:pPr>
    </w:p>
    <w:p w14:paraId="38A29B31">
      <w:pPr>
        <w:pStyle w:val="20"/>
        <w:ind w:firstLine="0" w:firstLineChars="0"/>
        <w:rPr>
          <w:rFonts w:hint="eastAsia" w:ascii="仿宋" w:hAnsi="仿宋" w:eastAsia="仿宋" w:cs="仿宋"/>
          <w:b/>
          <w:color w:val="auto"/>
          <w:szCs w:val="28"/>
          <w:highlight w:val="none"/>
        </w:rPr>
      </w:pPr>
    </w:p>
    <w:p w14:paraId="12FF155C">
      <w:pPr>
        <w:spacing w:line="480" w:lineRule="exact"/>
        <w:jc w:val="center"/>
        <w:rPr>
          <w:rFonts w:hint="eastAsia" w:ascii="仿宋" w:hAnsi="仿宋" w:eastAsia="仿宋" w:cs="仿宋"/>
          <w:b/>
          <w:color w:val="auto"/>
          <w:sz w:val="28"/>
          <w:szCs w:val="28"/>
          <w:highlight w:val="none"/>
        </w:rPr>
      </w:pPr>
    </w:p>
    <w:p w14:paraId="475D2FFA">
      <w:pPr>
        <w:pStyle w:val="20"/>
        <w:rPr>
          <w:rFonts w:hint="eastAsia" w:ascii="仿宋" w:hAnsi="仿宋" w:eastAsia="仿宋" w:cs="仿宋"/>
          <w:color w:val="auto"/>
          <w:highlight w:val="none"/>
        </w:rPr>
      </w:pPr>
    </w:p>
    <w:p w14:paraId="78648F90">
      <w:pPr>
        <w:spacing w:line="480" w:lineRule="exact"/>
        <w:jc w:val="center"/>
        <w:rPr>
          <w:rFonts w:hint="eastAsia" w:ascii="仿宋" w:hAnsi="仿宋" w:eastAsia="仿宋" w:cs="仿宋"/>
          <w:b/>
          <w:color w:val="auto"/>
          <w:sz w:val="28"/>
          <w:szCs w:val="28"/>
          <w:highlight w:val="none"/>
        </w:rPr>
      </w:pPr>
    </w:p>
    <w:p w14:paraId="60841A03">
      <w:pPr>
        <w:spacing w:line="480" w:lineRule="exact"/>
        <w:jc w:val="center"/>
        <w:rPr>
          <w:rFonts w:hint="eastAsia" w:ascii="仿宋" w:hAnsi="仿宋" w:eastAsia="仿宋" w:cs="仿宋"/>
          <w:b/>
          <w:color w:val="auto"/>
          <w:sz w:val="28"/>
          <w:szCs w:val="28"/>
          <w:highlight w:val="none"/>
        </w:rPr>
      </w:pPr>
      <w:bookmarkStart w:id="695" w:name="_Toc3231"/>
      <w:bookmarkStart w:id="696" w:name="_Toc29340"/>
      <w:bookmarkStart w:id="697" w:name="_Toc12886"/>
      <w:r>
        <w:rPr>
          <w:rFonts w:hint="eastAsia" w:ascii="仿宋" w:hAnsi="仿宋" w:eastAsia="仿宋" w:cs="仿宋"/>
          <w:b/>
          <w:color w:val="auto"/>
          <w:sz w:val="28"/>
          <w:szCs w:val="28"/>
          <w:highlight w:val="none"/>
        </w:rPr>
        <w:t>签订地点：广东省东莞市</w:t>
      </w:r>
      <w:bookmarkEnd w:id="695"/>
      <w:bookmarkEnd w:id="696"/>
      <w:bookmarkEnd w:id="697"/>
    </w:p>
    <w:p w14:paraId="4EABD0A1">
      <w:pPr>
        <w:widowControl/>
        <w:spacing w:line="56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签订日期：    年    月</w:t>
      </w:r>
    </w:p>
    <w:p w14:paraId="75F72327">
      <w:pPr>
        <w:widowControl/>
        <w:spacing w:line="480" w:lineRule="exact"/>
        <w:jc w:val="center"/>
        <w:rPr>
          <w:rFonts w:hint="eastAsia" w:ascii="仿宋" w:hAnsi="仿宋" w:eastAsia="仿宋" w:cs="仿宋"/>
          <w:b/>
          <w:bCs/>
          <w:color w:val="auto"/>
          <w:kern w:val="0"/>
          <w:sz w:val="28"/>
          <w:szCs w:val="28"/>
          <w:highlight w:val="none"/>
        </w:rPr>
      </w:pPr>
    </w:p>
    <w:p w14:paraId="5EEF57A7">
      <w:pPr>
        <w:widowControl/>
        <w:spacing w:line="480" w:lineRule="exact"/>
        <w:jc w:val="center"/>
        <w:rPr>
          <w:rFonts w:hint="eastAsia" w:ascii="仿宋" w:hAnsi="仿宋" w:eastAsia="仿宋" w:cs="仿宋"/>
          <w:b/>
          <w:bCs/>
          <w:color w:val="auto"/>
          <w:kern w:val="0"/>
          <w:sz w:val="28"/>
          <w:szCs w:val="28"/>
          <w:highlight w:val="none"/>
        </w:rPr>
      </w:pPr>
    </w:p>
    <w:p w14:paraId="50B5599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目录</w:t>
      </w:r>
    </w:p>
    <w:p w14:paraId="22AE90E5">
      <w:pPr>
        <w:pStyle w:val="13"/>
        <w:tabs>
          <w:tab w:val="right" w:leader="dot" w:pos="9070"/>
        </w:tabs>
        <w:rPr>
          <w:color w:val="auto"/>
          <w:highlight w:val="none"/>
        </w:rPr>
      </w:pPr>
      <w:r>
        <w:rPr>
          <w:rFonts w:ascii="仿宋" w:hAnsi="仿宋" w:eastAsia="仿宋" w:cs="仿宋"/>
          <w:color w:val="auto"/>
          <w:highlight w:val="none"/>
        </w:rPr>
        <w:fldChar w:fldCharType="begin"/>
      </w:r>
      <w:r>
        <w:rPr>
          <w:rFonts w:ascii="仿宋" w:hAnsi="仿宋" w:eastAsia="仿宋" w:cs="仿宋"/>
          <w:color w:val="auto"/>
          <w:highlight w:val="none"/>
        </w:rPr>
        <w:instrText xml:space="preserve">TOC \o "1-3" \h \u </w:instrText>
      </w:r>
      <w:r>
        <w:rPr>
          <w:rFonts w:ascii="仿宋" w:hAnsi="仿宋" w:eastAsia="仿宋" w:cs="仿宋"/>
          <w:color w:val="auto"/>
          <w:highlight w:val="none"/>
        </w:rPr>
        <w:fldChar w:fldCharType="separate"/>
      </w:r>
    </w:p>
    <w:p w14:paraId="4731A0A4">
      <w:pPr>
        <w:pStyle w:val="16"/>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_Toc28636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kern w:val="2"/>
          <w:sz w:val="28"/>
          <w:szCs w:val="28"/>
          <w:highlight w:val="none"/>
          <w:lang w:val="en-US" w:eastAsia="zh-CN" w:bidi="ar-SA"/>
        </w:rPr>
        <w:t>第一条</w:t>
      </w:r>
      <w:r>
        <w:rPr>
          <w:rFonts w:hint="eastAsia" w:ascii="仿宋" w:hAnsi="仿宋" w:eastAsia="仿宋" w:cs="仿宋"/>
          <w:bCs/>
          <w:color w:val="auto"/>
          <w:kern w:val="2"/>
          <w:sz w:val="28"/>
          <w:szCs w:val="28"/>
          <w:highlight w:val="none"/>
          <w:lang w:bidi="ar"/>
        </w:rPr>
        <w:t xml:space="preserve"> 开发项目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_Toc28636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C762FCA">
      <w:pPr>
        <w:pStyle w:val="16"/>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_Toc18679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kern w:val="2"/>
          <w:sz w:val="28"/>
          <w:szCs w:val="28"/>
          <w:highlight w:val="none"/>
          <w:lang w:bidi="ar"/>
        </w:rPr>
        <w:t>第二条  服务费用及支付方式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_Toc18679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929A45E">
      <w:pPr>
        <w:pStyle w:val="16"/>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_Toc32148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kern w:val="2"/>
          <w:sz w:val="28"/>
          <w:szCs w:val="28"/>
          <w:highlight w:val="none"/>
          <w:lang w:bidi="ar"/>
        </w:rPr>
        <w:t>第三条  履约保证金、质保金条款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_Toc32148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BDC74BF">
      <w:pPr>
        <w:pStyle w:val="16"/>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_Toc15841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kern w:val="2"/>
          <w:sz w:val="28"/>
          <w:szCs w:val="28"/>
          <w:highlight w:val="none"/>
          <w:lang w:bidi="ar"/>
        </w:rPr>
        <w:t>第四条  项目实施时间要求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_Toc15841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82C7F99">
      <w:pPr>
        <w:pStyle w:val="16"/>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_Toc18621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kern w:val="2"/>
          <w:sz w:val="28"/>
          <w:szCs w:val="28"/>
          <w:highlight w:val="none"/>
          <w:lang w:bidi="ar"/>
        </w:rPr>
        <w:t>第五条 验收要求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_Toc18621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9222830">
      <w:pPr>
        <w:pStyle w:val="16"/>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_Toc21068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kern w:val="2"/>
          <w:sz w:val="28"/>
          <w:szCs w:val="28"/>
          <w:highlight w:val="none"/>
          <w:lang w:bidi="ar"/>
        </w:rPr>
        <w:t>第六条  合同变更</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_Toc21068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A53CE09">
      <w:pPr>
        <w:pStyle w:val="16"/>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_Toc20202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kern w:val="2"/>
          <w:sz w:val="28"/>
          <w:szCs w:val="28"/>
          <w:highlight w:val="none"/>
          <w:lang w:bidi="ar"/>
        </w:rPr>
        <w:t xml:space="preserve">第七条  </w:t>
      </w:r>
      <w:r>
        <w:rPr>
          <w:rFonts w:hint="eastAsia" w:ascii="仿宋" w:hAnsi="仿宋" w:eastAsia="仿宋" w:cs="仿宋"/>
          <w:bCs/>
          <w:color w:val="auto"/>
          <w:kern w:val="2"/>
          <w:sz w:val="28"/>
          <w:szCs w:val="28"/>
          <w:highlight w:val="none"/>
          <w:lang w:val="en-US" w:eastAsia="zh-CN" w:bidi="ar"/>
        </w:rPr>
        <w:t>质保</w:t>
      </w:r>
      <w:r>
        <w:rPr>
          <w:rFonts w:hint="eastAsia" w:ascii="仿宋" w:hAnsi="仿宋" w:eastAsia="仿宋" w:cs="仿宋"/>
          <w:bCs/>
          <w:color w:val="auto"/>
          <w:kern w:val="2"/>
          <w:sz w:val="28"/>
          <w:szCs w:val="28"/>
          <w:highlight w:val="none"/>
          <w:lang w:bidi="ar"/>
        </w:rPr>
        <w:t>及售后服务</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_Toc20202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7208AA6">
      <w:pPr>
        <w:pStyle w:val="16"/>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_Toc1571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bidi="ar"/>
        </w:rPr>
        <w:t>第八条  双方的权利与义务</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_Toc1571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114D6B0">
      <w:pPr>
        <w:pStyle w:val="16"/>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_Toc11885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lang w:bidi="ar"/>
        </w:rPr>
        <w:t>第九条  保密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_Toc11885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0791BEC">
      <w:pPr>
        <w:pStyle w:val="16"/>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_Toc3101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kern w:val="2"/>
          <w:sz w:val="28"/>
          <w:szCs w:val="28"/>
          <w:highlight w:val="none"/>
          <w:lang w:bidi="ar"/>
        </w:rPr>
        <w:t>第十条  侵权责任</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_Toc3101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482BCA7">
      <w:pPr>
        <w:pStyle w:val="16"/>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_Toc28174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kern w:val="2"/>
          <w:sz w:val="28"/>
          <w:szCs w:val="28"/>
          <w:highlight w:val="none"/>
          <w:lang w:bidi="ar"/>
        </w:rPr>
        <w:t>第十一条  违约责任</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_Toc28174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D1FB614">
      <w:pPr>
        <w:pStyle w:val="16"/>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_Toc6956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lang w:bidi="ar"/>
        </w:rPr>
        <w:t>第十二条  开发内容权属</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_Toc6956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74BCA36">
      <w:pPr>
        <w:pStyle w:val="16"/>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_Toc3892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kern w:val="2"/>
          <w:sz w:val="28"/>
          <w:szCs w:val="28"/>
          <w:highlight w:val="none"/>
          <w:lang w:bidi="ar"/>
        </w:rPr>
        <w:t xml:space="preserve">第十三条  </w:t>
      </w:r>
      <w:r>
        <w:rPr>
          <w:rFonts w:hint="eastAsia" w:ascii="仿宋" w:hAnsi="仿宋" w:eastAsia="仿宋" w:cs="仿宋"/>
          <w:bCs/>
          <w:color w:val="auto"/>
          <w:kern w:val="2"/>
          <w:sz w:val="28"/>
          <w:szCs w:val="28"/>
          <w:highlight w:val="none"/>
          <w:lang w:val="en-US" w:eastAsia="zh-CN" w:bidi="ar"/>
        </w:rPr>
        <w:t>人员培训及人员考核</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_Toc3892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5A44644">
      <w:pPr>
        <w:pStyle w:val="16"/>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_Toc9316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kern w:val="2"/>
          <w:sz w:val="28"/>
          <w:szCs w:val="28"/>
          <w:highlight w:val="none"/>
          <w:lang w:bidi="ar"/>
        </w:rPr>
        <w:t>第十</w:t>
      </w:r>
      <w:r>
        <w:rPr>
          <w:rFonts w:hint="eastAsia" w:ascii="仿宋" w:hAnsi="仿宋" w:eastAsia="仿宋" w:cs="仿宋"/>
          <w:bCs/>
          <w:color w:val="auto"/>
          <w:kern w:val="2"/>
          <w:sz w:val="28"/>
          <w:szCs w:val="28"/>
          <w:highlight w:val="none"/>
          <w:lang w:val="en-US" w:eastAsia="zh-CN" w:bidi="ar"/>
        </w:rPr>
        <w:t>四</w:t>
      </w:r>
      <w:r>
        <w:rPr>
          <w:rFonts w:hint="eastAsia" w:ascii="仿宋" w:hAnsi="仿宋" w:eastAsia="仿宋" w:cs="仿宋"/>
          <w:bCs/>
          <w:color w:val="auto"/>
          <w:kern w:val="2"/>
          <w:sz w:val="28"/>
          <w:szCs w:val="28"/>
          <w:highlight w:val="none"/>
          <w:lang w:bidi="ar"/>
        </w:rPr>
        <w:t xml:space="preserve">条  </w:t>
      </w:r>
      <w:r>
        <w:rPr>
          <w:rFonts w:hint="eastAsia" w:ascii="仿宋" w:hAnsi="仿宋" w:eastAsia="仿宋" w:cs="仿宋"/>
          <w:bCs/>
          <w:color w:val="auto"/>
          <w:kern w:val="2"/>
          <w:sz w:val="28"/>
          <w:szCs w:val="28"/>
          <w:highlight w:val="none"/>
          <w:lang w:val="en-US" w:eastAsia="zh-CN" w:bidi="ar"/>
        </w:rPr>
        <w:t>保险</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_Toc9316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0C63E6D">
      <w:pPr>
        <w:pStyle w:val="16"/>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_Toc9895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kern w:val="2"/>
          <w:sz w:val="28"/>
          <w:szCs w:val="28"/>
          <w:highlight w:val="none"/>
          <w:lang w:bidi="ar"/>
        </w:rPr>
        <w:t>第十</w:t>
      </w:r>
      <w:r>
        <w:rPr>
          <w:rFonts w:hint="eastAsia" w:ascii="仿宋" w:hAnsi="仿宋" w:eastAsia="仿宋" w:cs="仿宋"/>
          <w:bCs/>
          <w:color w:val="auto"/>
          <w:kern w:val="2"/>
          <w:sz w:val="28"/>
          <w:szCs w:val="28"/>
          <w:highlight w:val="none"/>
          <w:lang w:val="en-US" w:eastAsia="zh-CN" w:bidi="ar"/>
        </w:rPr>
        <w:t>五</w:t>
      </w:r>
      <w:r>
        <w:rPr>
          <w:rFonts w:hint="eastAsia" w:ascii="仿宋" w:hAnsi="仿宋" w:eastAsia="仿宋" w:cs="仿宋"/>
          <w:bCs/>
          <w:color w:val="auto"/>
          <w:kern w:val="2"/>
          <w:sz w:val="28"/>
          <w:szCs w:val="28"/>
          <w:highlight w:val="none"/>
          <w:lang w:bidi="ar"/>
        </w:rPr>
        <w:t>条  项目联系人</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_Toc9895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F7EC386">
      <w:pPr>
        <w:pStyle w:val="16"/>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_Toc22869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kern w:val="2"/>
          <w:sz w:val="28"/>
          <w:szCs w:val="28"/>
          <w:highlight w:val="none"/>
          <w:lang w:bidi="ar"/>
        </w:rPr>
        <w:t>第十</w:t>
      </w:r>
      <w:r>
        <w:rPr>
          <w:rFonts w:hint="eastAsia" w:ascii="仿宋" w:hAnsi="仿宋" w:eastAsia="仿宋" w:cs="仿宋"/>
          <w:bCs/>
          <w:color w:val="auto"/>
          <w:kern w:val="2"/>
          <w:sz w:val="28"/>
          <w:szCs w:val="28"/>
          <w:highlight w:val="none"/>
          <w:lang w:val="en-US" w:eastAsia="zh-CN" w:bidi="ar"/>
        </w:rPr>
        <w:t>六</w:t>
      </w:r>
      <w:r>
        <w:rPr>
          <w:rFonts w:hint="eastAsia" w:ascii="仿宋" w:hAnsi="仿宋" w:eastAsia="仿宋" w:cs="仿宋"/>
          <w:bCs/>
          <w:color w:val="auto"/>
          <w:kern w:val="2"/>
          <w:sz w:val="28"/>
          <w:szCs w:val="28"/>
          <w:highlight w:val="none"/>
          <w:lang w:bidi="ar"/>
        </w:rPr>
        <w:t>条  不可抗力</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_Toc22869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D54BF04">
      <w:pPr>
        <w:pStyle w:val="16"/>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_Toc22550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kern w:val="2"/>
          <w:sz w:val="28"/>
          <w:szCs w:val="28"/>
          <w:highlight w:val="none"/>
          <w:lang w:bidi="ar"/>
        </w:rPr>
        <w:t>第十</w:t>
      </w:r>
      <w:r>
        <w:rPr>
          <w:rFonts w:hint="eastAsia" w:ascii="仿宋" w:hAnsi="仿宋" w:eastAsia="仿宋" w:cs="仿宋"/>
          <w:bCs/>
          <w:color w:val="auto"/>
          <w:kern w:val="2"/>
          <w:sz w:val="28"/>
          <w:szCs w:val="28"/>
          <w:highlight w:val="none"/>
          <w:lang w:val="en-US" w:eastAsia="zh-CN" w:bidi="ar"/>
        </w:rPr>
        <w:t>七</w:t>
      </w:r>
      <w:r>
        <w:rPr>
          <w:rFonts w:hint="eastAsia" w:ascii="仿宋" w:hAnsi="仿宋" w:eastAsia="仿宋" w:cs="仿宋"/>
          <w:bCs/>
          <w:color w:val="auto"/>
          <w:kern w:val="2"/>
          <w:sz w:val="28"/>
          <w:szCs w:val="28"/>
          <w:highlight w:val="none"/>
          <w:lang w:bidi="ar"/>
        </w:rPr>
        <w:t>条  其他事项</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_Toc22550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FE02DD2">
      <w:pPr>
        <w:pStyle w:val="13"/>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_Toc3556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附件一：履约保函格式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_Toc3556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1E9FBE9">
      <w:pPr>
        <w:pStyle w:val="13"/>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_Toc13052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附件二：预付款银行保函格式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_Toc13052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2ED03E9">
      <w:pPr>
        <w:pStyle w:val="13"/>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_Toc6686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：安全协议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_Toc6686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9011147">
      <w:pPr>
        <w:widowControl/>
        <w:spacing w:line="480" w:lineRule="exact"/>
        <w:jc w:val="center"/>
        <w:rPr>
          <w:rFonts w:hint="eastAsia" w:ascii="仿宋" w:hAnsi="仿宋" w:eastAsia="仿宋" w:cs="仿宋"/>
          <w:b/>
          <w:bCs/>
          <w:color w:val="auto"/>
          <w:kern w:val="0"/>
          <w:sz w:val="28"/>
          <w:szCs w:val="28"/>
          <w:highlight w:val="none"/>
        </w:rPr>
      </w:pPr>
      <w:r>
        <w:rPr>
          <w:rFonts w:ascii="仿宋" w:hAnsi="仿宋" w:eastAsia="仿宋" w:cs="仿宋"/>
          <w:color w:val="auto"/>
          <w:highlight w:val="none"/>
        </w:rPr>
        <w:fldChar w:fldCharType="end"/>
      </w:r>
      <w:bookmarkStart w:id="698" w:name="_Toc6889"/>
      <w:bookmarkStart w:id="699" w:name="_Toc22312"/>
    </w:p>
    <w:p w14:paraId="348260FB">
      <w:pPr>
        <w:widowControl/>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bookmarkEnd w:id="698"/>
      <w:bookmarkEnd w:id="699"/>
      <w:r>
        <w:rPr>
          <w:rFonts w:hint="eastAsia" w:ascii="仿宋" w:hAnsi="仿宋" w:eastAsia="仿宋" w:cs="仿宋"/>
          <w:b/>
          <w:bCs/>
          <w:color w:val="auto"/>
          <w:kern w:val="0"/>
          <w:sz w:val="28"/>
          <w:szCs w:val="28"/>
          <w:highlight w:val="none"/>
          <w:lang w:bidi="ar"/>
        </w:rPr>
        <w:t>东莞市轨道交通1号线运营期地铁控制保护区综合管理系统项目合同</w:t>
      </w:r>
    </w:p>
    <w:p w14:paraId="1144D322">
      <w:pPr>
        <w:widowControl/>
        <w:spacing w:line="480" w:lineRule="exact"/>
        <w:ind w:firstLine="5622" w:firstLineChars="20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 xml:space="preserve"> </w:t>
      </w:r>
    </w:p>
    <w:p w14:paraId="73B2FD3A">
      <w:pPr>
        <w:spacing w:line="480" w:lineRule="exact"/>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bidi="ar"/>
        </w:rPr>
        <w:t>甲方（委托方）：</w:t>
      </w:r>
      <w:r>
        <w:rPr>
          <w:rFonts w:hint="eastAsia" w:ascii="仿宋" w:hAnsi="仿宋" w:eastAsia="仿宋" w:cs="仿宋"/>
          <w:b/>
          <w:bCs/>
          <w:color w:val="auto"/>
          <w:kern w:val="0"/>
          <w:sz w:val="28"/>
          <w:szCs w:val="28"/>
          <w:highlight w:val="none"/>
          <w:u w:val="single"/>
          <w:lang w:bidi="ar"/>
        </w:rPr>
        <w:t xml:space="preserve">东莞市轨道一号线建设发展有限公司     </w:t>
      </w:r>
      <w:r>
        <w:rPr>
          <w:rFonts w:hint="eastAsia" w:ascii="仿宋" w:hAnsi="仿宋" w:eastAsia="仿宋" w:cs="仿宋"/>
          <w:b/>
          <w:bCs/>
          <w:color w:val="auto"/>
          <w:kern w:val="0"/>
          <w:sz w:val="28"/>
          <w:szCs w:val="28"/>
          <w:highlight w:val="none"/>
          <w:lang w:bidi="ar"/>
        </w:rPr>
        <w:t xml:space="preserve">                                            </w:t>
      </w:r>
    </w:p>
    <w:p w14:paraId="3341F66A">
      <w:pPr>
        <w:spacing w:line="480" w:lineRule="exact"/>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bidi="ar"/>
        </w:rPr>
        <w:t>地址：</w:t>
      </w:r>
      <w:r>
        <w:rPr>
          <w:rFonts w:hint="eastAsia" w:ascii="仿宋" w:hAnsi="仿宋" w:eastAsia="仿宋" w:cs="仿宋"/>
          <w:b/>
          <w:bCs/>
          <w:color w:val="auto"/>
          <w:kern w:val="0"/>
          <w:sz w:val="28"/>
          <w:szCs w:val="28"/>
          <w:highlight w:val="none"/>
          <w:u w:val="single"/>
          <w:lang w:bidi="ar"/>
        </w:rPr>
        <w:t xml:space="preserve">                                               </w:t>
      </w:r>
      <w:r>
        <w:rPr>
          <w:rFonts w:hint="eastAsia" w:ascii="仿宋" w:hAnsi="仿宋" w:eastAsia="仿宋" w:cs="仿宋"/>
          <w:b/>
          <w:bCs/>
          <w:color w:val="auto"/>
          <w:kern w:val="0"/>
          <w:sz w:val="28"/>
          <w:szCs w:val="28"/>
          <w:highlight w:val="none"/>
          <w:lang w:bidi="ar"/>
        </w:rPr>
        <w:t xml:space="preserve">                                             </w:t>
      </w:r>
    </w:p>
    <w:p w14:paraId="2446BF8D">
      <w:pPr>
        <w:spacing w:line="480" w:lineRule="exact"/>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bidi="ar"/>
        </w:rPr>
        <w:t>统一社会信用代码：</w:t>
      </w:r>
      <w:r>
        <w:rPr>
          <w:rFonts w:hint="eastAsia" w:ascii="仿宋" w:hAnsi="仿宋" w:eastAsia="仿宋" w:cs="仿宋"/>
          <w:b/>
          <w:bCs/>
          <w:color w:val="auto"/>
          <w:kern w:val="0"/>
          <w:sz w:val="28"/>
          <w:szCs w:val="28"/>
          <w:highlight w:val="none"/>
          <w:u w:val="single"/>
          <w:lang w:bidi="ar"/>
        </w:rPr>
        <w:t xml:space="preserve">                                   </w:t>
      </w:r>
      <w:r>
        <w:rPr>
          <w:rFonts w:hint="eastAsia" w:ascii="仿宋" w:hAnsi="仿宋" w:eastAsia="仿宋" w:cs="仿宋"/>
          <w:b/>
          <w:bCs/>
          <w:color w:val="auto"/>
          <w:kern w:val="0"/>
          <w:sz w:val="28"/>
          <w:szCs w:val="28"/>
          <w:highlight w:val="none"/>
          <w:lang w:bidi="ar"/>
        </w:rPr>
        <w:t xml:space="preserve">                                </w:t>
      </w:r>
    </w:p>
    <w:p w14:paraId="2B12172D">
      <w:pPr>
        <w:spacing w:line="480" w:lineRule="exact"/>
        <w:jc w:val="left"/>
        <w:rPr>
          <w:rFonts w:hint="eastAsia" w:ascii="仿宋" w:hAnsi="仿宋" w:eastAsia="仿宋" w:cs="仿宋"/>
          <w:b/>
          <w:color w:val="auto"/>
          <w:sz w:val="28"/>
          <w:szCs w:val="28"/>
          <w:highlight w:val="none"/>
        </w:rPr>
      </w:pPr>
      <w:r>
        <w:rPr>
          <w:rFonts w:hint="eastAsia" w:ascii="仿宋" w:hAnsi="仿宋" w:eastAsia="仿宋" w:cs="仿宋"/>
          <w:b/>
          <w:bCs/>
          <w:color w:val="auto"/>
          <w:kern w:val="0"/>
          <w:sz w:val="28"/>
          <w:szCs w:val="28"/>
          <w:highlight w:val="none"/>
          <w:lang w:bidi="ar"/>
        </w:rPr>
        <w:t>法定代表人：</w:t>
      </w:r>
      <w:r>
        <w:rPr>
          <w:rFonts w:hint="eastAsia" w:ascii="仿宋" w:hAnsi="仿宋" w:eastAsia="仿宋" w:cs="仿宋"/>
          <w:b/>
          <w:bCs/>
          <w:color w:val="auto"/>
          <w:kern w:val="0"/>
          <w:sz w:val="28"/>
          <w:szCs w:val="28"/>
          <w:highlight w:val="none"/>
          <w:u w:val="single"/>
          <w:lang w:bidi="ar"/>
        </w:rPr>
        <w:t xml:space="preserve">                                         </w:t>
      </w:r>
    </w:p>
    <w:p w14:paraId="75F57874">
      <w:pPr>
        <w:spacing w:line="480" w:lineRule="exact"/>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bidi="ar"/>
        </w:rPr>
        <w:t xml:space="preserve"> </w:t>
      </w:r>
    </w:p>
    <w:p w14:paraId="6C8B85E2">
      <w:pPr>
        <w:spacing w:line="480" w:lineRule="exact"/>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bidi="ar"/>
        </w:rPr>
        <w:t>乙方（受托方）：</w:t>
      </w:r>
      <w:r>
        <w:rPr>
          <w:rFonts w:hint="eastAsia" w:ascii="仿宋" w:hAnsi="仿宋" w:eastAsia="仿宋" w:cs="仿宋"/>
          <w:b/>
          <w:bCs/>
          <w:color w:val="auto"/>
          <w:kern w:val="0"/>
          <w:sz w:val="28"/>
          <w:szCs w:val="28"/>
          <w:highlight w:val="none"/>
          <w:u w:val="single"/>
          <w:lang w:bidi="ar"/>
        </w:rPr>
        <w:t xml:space="preserve">                                     </w:t>
      </w:r>
      <w:r>
        <w:rPr>
          <w:rFonts w:hint="eastAsia" w:ascii="仿宋" w:hAnsi="仿宋" w:eastAsia="仿宋" w:cs="仿宋"/>
          <w:b/>
          <w:bCs/>
          <w:color w:val="auto"/>
          <w:kern w:val="0"/>
          <w:sz w:val="28"/>
          <w:szCs w:val="28"/>
          <w:highlight w:val="none"/>
          <w:lang w:bidi="ar"/>
        </w:rPr>
        <w:t xml:space="preserve">                                            </w:t>
      </w:r>
    </w:p>
    <w:p w14:paraId="08DC1079">
      <w:pPr>
        <w:spacing w:line="480" w:lineRule="exact"/>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bidi="ar"/>
        </w:rPr>
        <w:t>地址：</w:t>
      </w:r>
      <w:r>
        <w:rPr>
          <w:rFonts w:hint="eastAsia" w:ascii="仿宋" w:hAnsi="仿宋" w:eastAsia="仿宋" w:cs="仿宋"/>
          <w:b/>
          <w:bCs/>
          <w:color w:val="auto"/>
          <w:kern w:val="0"/>
          <w:sz w:val="28"/>
          <w:szCs w:val="28"/>
          <w:highlight w:val="none"/>
          <w:u w:val="single"/>
          <w:lang w:bidi="ar"/>
        </w:rPr>
        <w:t xml:space="preserve">                                               </w:t>
      </w:r>
      <w:r>
        <w:rPr>
          <w:rFonts w:hint="eastAsia" w:ascii="仿宋" w:hAnsi="仿宋" w:eastAsia="仿宋" w:cs="仿宋"/>
          <w:b/>
          <w:bCs/>
          <w:color w:val="auto"/>
          <w:kern w:val="0"/>
          <w:sz w:val="28"/>
          <w:szCs w:val="28"/>
          <w:highlight w:val="none"/>
          <w:lang w:bidi="ar"/>
        </w:rPr>
        <w:t xml:space="preserve">                                             </w:t>
      </w:r>
    </w:p>
    <w:p w14:paraId="67257209">
      <w:pPr>
        <w:spacing w:line="480" w:lineRule="exact"/>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bidi="ar"/>
        </w:rPr>
        <w:t>统一社会信用代码：</w:t>
      </w:r>
      <w:r>
        <w:rPr>
          <w:rFonts w:hint="eastAsia" w:ascii="仿宋" w:hAnsi="仿宋" w:eastAsia="仿宋" w:cs="仿宋"/>
          <w:b/>
          <w:bCs/>
          <w:color w:val="auto"/>
          <w:kern w:val="0"/>
          <w:sz w:val="28"/>
          <w:szCs w:val="28"/>
          <w:highlight w:val="none"/>
          <w:u w:val="single"/>
          <w:lang w:bidi="ar"/>
        </w:rPr>
        <w:t xml:space="preserve">                                   </w:t>
      </w:r>
      <w:r>
        <w:rPr>
          <w:rFonts w:hint="eastAsia" w:ascii="仿宋" w:hAnsi="仿宋" w:eastAsia="仿宋" w:cs="仿宋"/>
          <w:b/>
          <w:bCs/>
          <w:color w:val="auto"/>
          <w:kern w:val="0"/>
          <w:sz w:val="28"/>
          <w:szCs w:val="28"/>
          <w:highlight w:val="none"/>
          <w:lang w:bidi="ar"/>
        </w:rPr>
        <w:t xml:space="preserve">                                </w:t>
      </w:r>
    </w:p>
    <w:p w14:paraId="293DF3C0">
      <w:pPr>
        <w:spacing w:line="480" w:lineRule="exact"/>
        <w:jc w:val="left"/>
        <w:rPr>
          <w:rFonts w:hint="eastAsia" w:ascii="仿宋" w:hAnsi="仿宋" w:eastAsia="仿宋" w:cs="仿宋"/>
          <w:b/>
          <w:color w:val="auto"/>
          <w:sz w:val="28"/>
          <w:szCs w:val="28"/>
          <w:highlight w:val="none"/>
        </w:rPr>
      </w:pPr>
      <w:r>
        <w:rPr>
          <w:rFonts w:hint="eastAsia" w:ascii="仿宋" w:hAnsi="仿宋" w:eastAsia="仿宋" w:cs="仿宋"/>
          <w:b/>
          <w:bCs/>
          <w:color w:val="auto"/>
          <w:kern w:val="0"/>
          <w:sz w:val="28"/>
          <w:szCs w:val="28"/>
          <w:highlight w:val="none"/>
          <w:lang w:bidi="ar"/>
        </w:rPr>
        <w:t>法定代表人：</w:t>
      </w:r>
      <w:r>
        <w:rPr>
          <w:rFonts w:hint="eastAsia" w:ascii="仿宋" w:hAnsi="仿宋" w:eastAsia="仿宋" w:cs="仿宋"/>
          <w:b/>
          <w:bCs/>
          <w:color w:val="auto"/>
          <w:kern w:val="0"/>
          <w:sz w:val="28"/>
          <w:szCs w:val="28"/>
          <w:highlight w:val="none"/>
          <w:u w:val="single"/>
          <w:lang w:bidi="ar"/>
        </w:rPr>
        <w:t xml:space="preserve">                                         </w:t>
      </w:r>
    </w:p>
    <w:p w14:paraId="34C4F87B">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 xml:space="preserve"> </w:t>
      </w:r>
    </w:p>
    <w:p w14:paraId="1B38FF34">
      <w:pPr>
        <w:pStyle w:val="18"/>
        <w:snapToGrid w:val="0"/>
        <w:spacing w:after="0" w:afterAutospacing="0" w:line="48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bidi="ar"/>
        </w:rPr>
        <w:t>甲乙双方经☑公开招标□邀请招标□竞争性谈判□询价□单一来源谈判□其他方式，就</w:t>
      </w:r>
      <w:r>
        <w:rPr>
          <w:rFonts w:hint="eastAsia" w:ascii="仿宋" w:hAnsi="仿宋" w:eastAsia="仿宋" w:cs="仿宋"/>
          <w:color w:val="auto"/>
          <w:sz w:val="28"/>
          <w:szCs w:val="28"/>
          <w:highlight w:val="none"/>
          <w:lang w:bidi="ar"/>
        </w:rPr>
        <w:t>甲方委托乙方进行东莞市轨道交通1号线运营期地铁控制保护区综合管理系统项目（项目编号：</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，以下简称“项目”）的有关工作事宜，</w:t>
      </w:r>
      <w:r>
        <w:rPr>
          <w:rFonts w:hint="eastAsia" w:ascii="仿宋" w:hAnsi="仿宋" w:eastAsia="仿宋" w:cs="仿宋"/>
          <w:color w:val="auto"/>
          <w:kern w:val="2"/>
          <w:sz w:val="28"/>
          <w:szCs w:val="28"/>
          <w:highlight w:val="none"/>
          <w:lang w:bidi="ar"/>
        </w:rPr>
        <w:t>为明确双方在项目实施过程中的权利义务，依据《中华人民共和国民法典》及相关规定，</w:t>
      </w:r>
      <w:r>
        <w:rPr>
          <w:rFonts w:hint="eastAsia" w:ascii="仿宋" w:hAnsi="仿宋" w:eastAsia="仿宋" w:cs="仿宋"/>
          <w:color w:val="auto"/>
          <w:sz w:val="28"/>
          <w:szCs w:val="28"/>
          <w:highlight w:val="none"/>
          <w:lang w:bidi="ar"/>
        </w:rPr>
        <w:t>双方本着诚实信用、平等互利的原则签订以下条款，以兹共同遵守。</w:t>
      </w:r>
    </w:p>
    <w:p w14:paraId="3BDA5528">
      <w:pPr>
        <w:widowControl/>
        <w:spacing w:line="48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bidi="ar"/>
        </w:rPr>
        <w:t>双方申明，双方都已理解并认可了本合同的所有内容，同意承担各自应承担的权利和义务，忠实地履行本合同。</w:t>
      </w:r>
    </w:p>
    <w:p w14:paraId="113785A3">
      <w:pPr>
        <w:pStyle w:val="18"/>
        <w:widowControl w:val="0"/>
        <w:snapToGrid w:val="0"/>
        <w:spacing w:after="120" w:afterAutospacing="0" w:line="440" w:lineRule="exact"/>
        <w:ind w:left="42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bidi="ar"/>
        </w:rPr>
        <w:t xml:space="preserve"> </w:t>
      </w:r>
    </w:p>
    <w:p w14:paraId="040ED606">
      <w:pPr>
        <w:pStyle w:val="18"/>
        <w:widowControl w:val="0"/>
        <w:numPr>
          <w:ilvl w:val="0"/>
          <w:numId w:val="0"/>
        </w:numPr>
        <w:snapToGrid w:val="0"/>
        <w:spacing w:after="0" w:afterAutospacing="0" w:line="480" w:lineRule="exact"/>
        <w:ind w:firstLine="562" w:firstLineChars="200"/>
        <w:jc w:val="both"/>
        <w:outlineLvl w:val="0"/>
        <w:rPr>
          <w:rFonts w:hint="eastAsia" w:ascii="仿宋" w:hAnsi="仿宋" w:eastAsia="仿宋" w:cs="仿宋"/>
          <w:b/>
          <w:bCs/>
          <w:color w:val="auto"/>
          <w:kern w:val="2"/>
          <w:sz w:val="28"/>
          <w:szCs w:val="28"/>
          <w:highlight w:val="none"/>
        </w:rPr>
      </w:pPr>
      <w:bookmarkStart w:id="700" w:name="_Toc22170"/>
      <w:bookmarkStart w:id="701" w:name="_Toc28636"/>
      <w:bookmarkStart w:id="702" w:name="_Toc11352"/>
      <w:r>
        <w:rPr>
          <w:rFonts w:hint="eastAsia" w:ascii="宋体" w:hAnsi="宋体" w:eastAsia="宋体" w:cs="宋体"/>
          <w:b/>
          <w:bCs/>
          <w:color w:val="auto"/>
          <w:kern w:val="2"/>
          <w:sz w:val="28"/>
          <w:szCs w:val="28"/>
          <w:highlight w:val="none"/>
          <w:lang w:val="en-US" w:eastAsia="zh-CN" w:bidi="ar-SA"/>
        </w:rPr>
        <w:t>第一条</w:t>
      </w:r>
      <w:r>
        <w:rPr>
          <w:rFonts w:hint="eastAsia" w:ascii="仿宋" w:hAnsi="仿宋" w:eastAsia="仿宋" w:cs="仿宋"/>
          <w:b/>
          <w:bCs/>
          <w:color w:val="auto"/>
          <w:kern w:val="2"/>
          <w:sz w:val="28"/>
          <w:szCs w:val="28"/>
          <w:highlight w:val="none"/>
          <w:lang w:bidi="ar"/>
        </w:rPr>
        <w:t xml:space="preserve"> </w:t>
      </w:r>
      <w:bookmarkStart w:id="703" w:name="_Toc14638"/>
      <w:bookmarkStart w:id="704" w:name="_Toc3200"/>
      <w:bookmarkStart w:id="705" w:name="_Toc29982"/>
      <w:bookmarkStart w:id="706" w:name="_Toc9934"/>
      <w:r>
        <w:rPr>
          <w:rFonts w:hint="eastAsia" w:ascii="仿宋" w:hAnsi="仿宋" w:eastAsia="仿宋" w:cs="仿宋"/>
          <w:b/>
          <w:bCs/>
          <w:color w:val="auto"/>
          <w:kern w:val="2"/>
          <w:sz w:val="28"/>
          <w:szCs w:val="28"/>
          <w:highlight w:val="none"/>
          <w:lang w:bidi="ar"/>
        </w:rPr>
        <w:t>开发项目</w:t>
      </w:r>
      <w:bookmarkEnd w:id="700"/>
      <w:bookmarkEnd w:id="701"/>
      <w:bookmarkEnd w:id="702"/>
      <w:bookmarkEnd w:id="703"/>
      <w:bookmarkEnd w:id="704"/>
      <w:bookmarkEnd w:id="705"/>
      <w:bookmarkEnd w:id="706"/>
    </w:p>
    <w:p w14:paraId="29D0D74E">
      <w:pPr>
        <w:widowControl w:val="0"/>
        <w:snapToGrid w:val="0"/>
        <w:spacing w:after="0" w:afterAutospacing="0" w:line="480" w:lineRule="exact"/>
        <w:ind w:left="0" w:firstLine="638" w:firstLineChars="228"/>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1.项目名称：东莞市轨道交通1号线运营期地铁控制保护区综合管理系统</w:t>
      </w:r>
      <w:r>
        <w:rPr>
          <w:rFonts w:hint="eastAsia" w:ascii="仿宋" w:hAnsi="仿宋" w:eastAsia="仿宋" w:cs="仿宋"/>
          <w:color w:val="auto"/>
          <w:sz w:val="28"/>
          <w:szCs w:val="28"/>
          <w:highlight w:val="none"/>
          <w:lang w:val="en-US" w:eastAsia="zh-CN"/>
        </w:rPr>
        <w:t>项目</w:t>
      </w:r>
    </w:p>
    <w:p w14:paraId="1D94A799">
      <w:pPr>
        <w:spacing w:after="0"/>
        <w:ind w:left="0" w:leftChars="0" w:firstLine="638" w:firstLineChars="22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w:t>
      </w:r>
      <w:r>
        <w:rPr>
          <w:rFonts w:hint="eastAsia" w:ascii="仿宋" w:hAnsi="仿宋" w:eastAsia="仿宋" w:cs="仿宋"/>
          <w:color w:val="auto"/>
          <w:sz w:val="28"/>
          <w:szCs w:val="28"/>
          <w:highlight w:val="none"/>
        </w:rPr>
        <w:t>服务范围及内容：东莞市轨道交通运营期控制保护区综合管理系统项目包括软件系统（综合管理系统和无人机巡查管理系统）的开发建设和</w:t>
      </w:r>
      <w:r>
        <w:rPr>
          <w:rFonts w:hint="eastAsia" w:ascii="仿宋" w:hAnsi="仿宋" w:eastAsia="仿宋" w:cs="仿宋"/>
          <w:color w:val="auto"/>
          <w:sz w:val="28"/>
          <w:szCs w:val="28"/>
          <w:highlight w:val="none"/>
          <w:lang w:val="en-US" w:eastAsia="zh-CN"/>
        </w:rPr>
        <w:t>质保</w:t>
      </w:r>
      <w:r>
        <w:rPr>
          <w:rFonts w:hint="eastAsia" w:ascii="仿宋" w:hAnsi="仿宋" w:eastAsia="仿宋" w:cs="仿宋"/>
          <w:color w:val="auto"/>
          <w:sz w:val="28"/>
          <w:szCs w:val="28"/>
          <w:highlight w:val="none"/>
        </w:rPr>
        <w:t>，硬件的采购、安装、调试、接入系统运行，其中</w:t>
      </w:r>
      <w:r>
        <w:rPr>
          <w:rFonts w:hint="eastAsia" w:ascii="仿宋" w:hAnsi="仿宋" w:eastAsia="仿宋" w:cs="仿宋"/>
          <w:bCs w:val="0"/>
          <w:color w:val="auto"/>
          <w:sz w:val="28"/>
          <w:szCs w:val="28"/>
          <w:highlight w:val="none"/>
          <w:lang w:val="en-US" w:eastAsia="zh-CN"/>
        </w:rPr>
        <w:t>本项目招标范围包括综合管理系统和无人机自动巡查管理系统建设、硬件采购和运维服务，其中综合管理系统和无人机自动巡查管理系统包含1号线一、二、三期和现有线网的控制保护区及预留远期建设线路的接入功能；硬件部分包含无人机场、无人机、巡查手持终端、系统服务器硬件等；</w:t>
      </w:r>
      <w:r>
        <w:rPr>
          <w:rFonts w:hint="eastAsia" w:ascii="仿宋" w:hAnsi="仿宋" w:eastAsia="仿宋" w:cs="仿宋"/>
          <w:color w:val="auto"/>
          <w:sz w:val="28"/>
          <w:szCs w:val="28"/>
          <w:highlight w:val="none"/>
          <w:lang w:val="en-US" w:eastAsia="zh-CN"/>
        </w:rPr>
        <w:t>质保期</w:t>
      </w:r>
      <w:r>
        <w:rPr>
          <w:rFonts w:hint="eastAsia" w:ascii="仿宋" w:hAnsi="仿宋" w:eastAsia="仿宋" w:cs="仿宋"/>
          <w:bCs w:val="0"/>
          <w:color w:val="auto"/>
          <w:sz w:val="28"/>
          <w:szCs w:val="28"/>
          <w:highlight w:val="none"/>
          <w:lang w:val="en-US" w:eastAsia="zh-CN"/>
        </w:rPr>
        <w:t>包含3年无人机场</w:t>
      </w:r>
      <w:r>
        <w:rPr>
          <w:rFonts w:hint="eastAsia" w:ascii="仿宋" w:hAnsi="仿宋" w:eastAsia="仿宋" w:cs="仿宋"/>
          <w:color w:val="auto"/>
          <w:sz w:val="28"/>
          <w:szCs w:val="28"/>
          <w:highlight w:val="none"/>
          <w:lang w:val="en-US" w:eastAsia="zh-CN"/>
        </w:rPr>
        <w:t>和</w:t>
      </w:r>
      <w:r>
        <w:rPr>
          <w:rFonts w:hint="eastAsia" w:ascii="仿宋" w:hAnsi="仿宋" w:eastAsia="仿宋" w:cs="仿宋"/>
          <w:bCs w:val="0"/>
          <w:color w:val="auto"/>
          <w:sz w:val="28"/>
          <w:szCs w:val="28"/>
          <w:highlight w:val="none"/>
          <w:lang w:val="en-US" w:eastAsia="zh-CN"/>
        </w:rPr>
        <w:t>无人机维护</w:t>
      </w:r>
      <w:r>
        <w:rPr>
          <w:rFonts w:hint="eastAsia" w:ascii="仿宋" w:hAnsi="仿宋" w:eastAsia="仿宋" w:cs="仿宋"/>
          <w:color w:val="auto"/>
          <w:sz w:val="28"/>
          <w:szCs w:val="28"/>
          <w:highlight w:val="none"/>
          <w:lang w:val="en-US" w:eastAsia="zh-CN"/>
        </w:rPr>
        <w:t>、</w:t>
      </w:r>
      <w:r>
        <w:rPr>
          <w:rFonts w:hint="eastAsia" w:ascii="仿宋" w:hAnsi="仿宋" w:eastAsia="仿宋" w:cs="仿宋"/>
          <w:bCs w:val="0"/>
          <w:color w:val="auto"/>
          <w:sz w:val="28"/>
          <w:szCs w:val="28"/>
          <w:highlight w:val="none"/>
          <w:lang w:val="en-US" w:eastAsia="zh-CN"/>
        </w:rPr>
        <w:t>系统维护</w:t>
      </w:r>
      <w:r>
        <w:rPr>
          <w:rFonts w:hint="eastAsia" w:ascii="仿宋" w:hAnsi="仿宋" w:eastAsia="仿宋" w:cs="仿宋"/>
          <w:color w:val="auto"/>
          <w:sz w:val="28"/>
          <w:szCs w:val="28"/>
          <w:highlight w:val="none"/>
          <w:lang w:val="en-US" w:eastAsia="zh-CN"/>
        </w:rPr>
        <w:t>和相关辅材配件</w:t>
      </w:r>
      <w:r>
        <w:rPr>
          <w:rFonts w:hint="eastAsia" w:ascii="仿宋" w:hAnsi="仿宋" w:eastAsia="仿宋" w:cs="仿宋"/>
          <w:bCs w:val="0"/>
          <w:color w:val="auto"/>
          <w:sz w:val="28"/>
          <w:szCs w:val="28"/>
          <w:highlight w:val="none"/>
          <w:lang w:val="en-US" w:eastAsia="zh-CN"/>
        </w:rPr>
        <w:t>等</w:t>
      </w:r>
      <w:r>
        <w:rPr>
          <w:rFonts w:hint="eastAsia" w:ascii="仿宋" w:hAnsi="仿宋" w:eastAsia="仿宋" w:cs="仿宋"/>
          <w:color w:val="auto"/>
          <w:sz w:val="28"/>
          <w:szCs w:val="28"/>
          <w:highlight w:val="none"/>
        </w:rPr>
        <w:t>。</w:t>
      </w:r>
    </w:p>
    <w:p w14:paraId="5B677974">
      <w:pPr>
        <w:widowControl w:val="0"/>
        <w:snapToGrid w:val="0"/>
        <w:spacing w:after="0" w:afterAutospacing="0" w:line="480" w:lineRule="exact"/>
        <w:ind w:left="0" w:firstLine="638" w:firstLineChars="228"/>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3.如需对项目开发内容进行重大调整的，须经双方协商一致，并以书面形式确认。如因甲方提出变更导致服务费用的增减的，则应由双方另行协商。</w:t>
      </w:r>
    </w:p>
    <w:p w14:paraId="45A0DE3D">
      <w:pPr>
        <w:widowControl w:val="0"/>
        <w:snapToGrid w:val="0"/>
        <w:spacing w:after="0" w:afterAutospacing="0" w:line="480" w:lineRule="exact"/>
        <w:ind w:left="0" w:firstLine="638" w:firstLineChars="228"/>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4.未经甲方同意，本项目禁止转包、分包及变相转包、分包。</w:t>
      </w:r>
    </w:p>
    <w:p w14:paraId="3775C222">
      <w:pPr>
        <w:pStyle w:val="18"/>
        <w:widowControl w:val="0"/>
        <w:snapToGrid w:val="0"/>
        <w:spacing w:after="0" w:afterAutospacing="0" w:line="480" w:lineRule="exact"/>
        <w:ind w:firstLine="562" w:firstLineChars="200"/>
        <w:jc w:val="both"/>
        <w:outlineLvl w:val="0"/>
        <w:rPr>
          <w:rFonts w:hint="eastAsia" w:ascii="仿宋" w:hAnsi="仿宋" w:eastAsia="仿宋" w:cs="仿宋"/>
          <w:b/>
          <w:bCs/>
          <w:color w:val="auto"/>
          <w:kern w:val="2"/>
          <w:sz w:val="28"/>
          <w:szCs w:val="28"/>
          <w:highlight w:val="none"/>
        </w:rPr>
      </w:pPr>
      <w:bookmarkStart w:id="707" w:name="_Toc28725"/>
      <w:bookmarkStart w:id="708" w:name="_Toc11514"/>
      <w:bookmarkStart w:id="709" w:name="_Toc32473"/>
      <w:bookmarkStart w:id="710" w:name="_Toc3016"/>
      <w:bookmarkStart w:id="711" w:name="_Toc18909"/>
      <w:bookmarkStart w:id="712" w:name="_Toc14016"/>
      <w:bookmarkStart w:id="713" w:name="_Toc18679"/>
      <w:r>
        <w:rPr>
          <w:rFonts w:hint="eastAsia" w:ascii="仿宋" w:hAnsi="仿宋" w:eastAsia="仿宋" w:cs="仿宋"/>
          <w:b/>
          <w:bCs/>
          <w:color w:val="auto"/>
          <w:kern w:val="2"/>
          <w:sz w:val="28"/>
          <w:szCs w:val="28"/>
          <w:highlight w:val="none"/>
          <w:lang w:bidi="ar"/>
        </w:rPr>
        <w:t>第二条  服务费用及支付方式</w:t>
      </w:r>
      <w:bookmarkEnd w:id="707"/>
      <w:bookmarkEnd w:id="708"/>
      <w:bookmarkEnd w:id="709"/>
      <w:bookmarkEnd w:id="710"/>
      <w:bookmarkEnd w:id="711"/>
      <w:bookmarkEnd w:id="712"/>
      <w:bookmarkEnd w:id="713"/>
    </w:p>
    <w:p w14:paraId="0B07E708">
      <w:pPr>
        <w:spacing w:line="480" w:lineRule="exact"/>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1.本合同价款为¥</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（大写：人民币</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元整</w:t>
      </w:r>
      <w:r>
        <w:rPr>
          <w:rFonts w:hint="eastAsia" w:ascii="仿宋" w:hAnsi="仿宋" w:eastAsia="仿宋" w:cs="仿宋"/>
          <w:color w:val="auto"/>
          <w:sz w:val="28"/>
          <w:szCs w:val="28"/>
          <w:highlight w:val="none"/>
          <w:u w:val="single"/>
          <w:lang w:bidi="ar"/>
        </w:rPr>
        <w:t>，</w:t>
      </w:r>
      <w:r>
        <w:rPr>
          <w:rFonts w:hint="eastAsia" w:ascii="仿宋" w:hAnsi="仿宋" w:eastAsia="仿宋" w:cs="仿宋"/>
          <w:color w:val="auto"/>
          <w:sz w:val="28"/>
          <w:szCs w:val="28"/>
          <w:highlight w:val="none"/>
          <w:lang w:bidi="ar"/>
        </w:rPr>
        <w:t>下称“合同总额”或“合同价款”）不含税金额为¥</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（大写：人民币</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元整）其中；</w:t>
      </w:r>
    </w:p>
    <w:p w14:paraId="346F6D09">
      <w:pPr>
        <w:spacing w:line="480" w:lineRule="exact"/>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（1）软件部分合同价款为¥</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（大写：人民币</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元），税额为¥</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（大写：人民币</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元整），增值税税率为【  】%，不含税金额为¥</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（大写：人民币</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元整）；</w:t>
      </w:r>
    </w:p>
    <w:p w14:paraId="5AB4C73E">
      <w:pPr>
        <w:spacing w:line="480" w:lineRule="exact"/>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（2）硬件部分合同价款为¥</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（大写：人民币</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元），税额为¥</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（大写：人民币</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元整），增值税税率为【  】%，不含税金额为¥</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（大写：人民币</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元整）；</w:t>
      </w:r>
    </w:p>
    <w:p w14:paraId="3042956E">
      <w:pPr>
        <w:spacing w:line="480" w:lineRule="exact"/>
        <w:ind w:firstLine="560" w:firstLineChars="200"/>
        <w:rPr>
          <w:rFonts w:hint="eastAsia" w:ascii="仿宋" w:hAnsi="仿宋" w:eastAsia="仿宋" w:cs="仿宋"/>
          <w:color w:val="auto"/>
          <w:sz w:val="28"/>
          <w:szCs w:val="28"/>
          <w:highlight w:val="none"/>
          <w:lang w:eastAsia="zh-CN" w:bidi="ar"/>
        </w:rPr>
      </w:pPr>
      <w:r>
        <w:rPr>
          <w:rFonts w:hint="eastAsia" w:ascii="仿宋" w:hAnsi="仿宋" w:eastAsia="仿宋" w:cs="仿宋"/>
          <w:color w:val="auto"/>
          <w:kern w:val="0"/>
          <w:sz w:val="28"/>
          <w:szCs w:val="28"/>
          <w:highlight w:val="none"/>
          <w:lang w:bidi="ar"/>
        </w:rPr>
        <w:t>本合同</w:t>
      </w:r>
      <w:r>
        <w:rPr>
          <w:rFonts w:hint="eastAsia" w:ascii="仿宋" w:hAnsi="仿宋" w:eastAsia="仿宋" w:cs="仿宋"/>
          <w:color w:val="auto"/>
          <w:kern w:val="0"/>
          <w:sz w:val="28"/>
          <w:szCs w:val="28"/>
          <w:highlight w:val="none"/>
          <w:lang w:val="en-US" w:eastAsia="zh-CN" w:bidi="ar"/>
        </w:rPr>
        <w:t>价款</w:t>
      </w:r>
      <w:r>
        <w:rPr>
          <w:rFonts w:hint="eastAsia" w:ascii="仿宋" w:hAnsi="仿宋" w:eastAsia="仿宋" w:cs="仿宋"/>
          <w:color w:val="auto"/>
          <w:kern w:val="0"/>
          <w:sz w:val="28"/>
          <w:szCs w:val="28"/>
          <w:highlight w:val="none"/>
          <w:lang w:bidi="ar"/>
        </w:rPr>
        <w:t>，</w:t>
      </w:r>
      <w:r>
        <w:rPr>
          <w:rFonts w:hint="eastAsia" w:ascii="仿宋" w:hAnsi="仿宋" w:eastAsia="仿宋" w:cs="仿宋"/>
          <w:color w:val="auto"/>
          <w:sz w:val="28"/>
          <w:szCs w:val="28"/>
          <w:highlight w:val="none"/>
          <w:lang w:bidi="ar"/>
        </w:rPr>
        <w:t>涉及到东莞市轨道交通1号线运营期地铁控制保护区综合管理系统</w:t>
      </w:r>
      <w:r>
        <w:rPr>
          <w:rFonts w:hint="eastAsia" w:ascii="仿宋" w:hAnsi="仿宋" w:eastAsia="仿宋" w:cs="仿宋"/>
          <w:color w:val="auto"/>
          <w:sz w:val="28"/>
          <w:szCs w:val="28"/>
          <w:highlight w:val="none"/>
          <w:lang w:val="en-US" w:eastAsia="zh-CN" w:bidi="ar"/>
        </w:rPr>
        <w:t>项目</w:t>
      </w:r>
      <w:r>
        <w:rPr>
          <w:rFonts w:hint="eastAsia" w:ascii="仿宋" w:hAnsi="仿宋" w:eastAsia="仿宋" w:cs="仿宋"/>
          <w:color w:val="auto"/>
          <w:sz w:val="28"/>
          <w:szCs w:val="28"/>
          <w:highlight w:val="none"/>
          <w:lang w:bidi="ar"/>
        </w:rPr>
        <w:t>及相应的开发、改造、部署、许可，整个系统的集成、测试、联调，系统使用培训，自动无人机场采购、建设、调试和运行维护，无人机、</w:t>
      </w:r>
      <w:r>
        <w:rPr>
          <w:rFonts w:hint="eastAsia" w:ascii="仿宋" w:hAnsi="仿宋" w:eastAsia="仿宋" w:cs="仿宋"/>
          <w:color w:val="auto"/>
          <w:sz w:val="28"/>
          <w:szCs w:val="28"/>
          <w:highlight w:val="none"/>
          <w:lang w:val="en-US" w:eastAsia="zh-CN" w:bidi="ar"/>
        </w:rPr>
        <w:t>系统服务器、</w:t>
      </w:r>
      <w:r>
        <w:rPr>
          <w:rFonts w:hint="eastAsia" w:ascii="仿宋" w:hAnsi="仿宋" w:eastAsia="仿宋" w:cs="仿宋"/>
          <w:color w:val="auto"/>
          <w:sz w:val="28"/>
          <w:szCs w:val="28"/>
          <w:highlight w:val="none"/>
          <w:lang w:bidi="ar"/>
        </w:rPr>
        <w:t>巡查电动自行车和巡查终端的采购，交工验收的相关工作等，</w:t>
      </w:r>
      <w:r>
        <w:rPr>
          <w:rFonts w:hint="eastAsia" w:ascii="仿宋" w:hAnsi="仿宋" w:eastAsia="仿宋" w:cs="仿宋"/>
          <w:color w:val="auto"/>
          <w:sz w:val="28"/>
          <w:szCs w:val="28"/>
          <w:highlight w:val="none"/>
          <w:lang w:val="en-US" w:eastAsia="zh-CN" w:bidi="ar"/>
        </w:rPr>
        <w:t>质保</w:t>
      </w:r>
      <w:r>
        <w:rPr>
          <w:rFonts w:hint="eastAsia" w:ascii="仿宋" w:hAnsi="仿宋" w:eastAsia="仿宋" w:cs="仿宋"/>
          <w:color w:val="auto"/>
          <w:sz w:val="28"/>
          <w:szCs w:val="28"/>
          <w:highlight w:val="none"/>
          <w:lang w:bidi="ar"/>
        </w:rPr>
        <w:t>期内的质量缺陷修复</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bidi="ar"/>
        </w:rPr>
        <w:t>免费维保</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val="en-US" w:eastAsia="zh-CN" w:bidi="ar"/>
        </w:rPr>
        <w:t>人员培训取证、办理证书、</w:t>
      </w:r>
      <w:r>
        <w:rPr>
          <w:rFonts w:hint="eastAsia" w:ascii="仿宋" w:hAnsi="仿宋" w:eastAsia="仿宋" w:cs="仿宋"/>
          <w:color w:val="auto"/>
          <w:sz w:val="28"/>
          <w:szCs w:val="28"/>
          <w:highlight w:val="none"/>
          <w:lang w:eastAsia="zh-CN" w:bidi="ar"/>
        </w:rPr>
        <w:t>飞行计划申请和空域申报、</w:t>
      </w:r>
      <w:r>
        <w:rPr>
          <w:rFonts w:hint="eastAsia" w:ascii="仿宋" w:hAnsi="仿宋" w:eastAsia="仿宋" w:cs="仿宋"/>
          <w:bCs/>
          <w:color w:val="auto"/>
          <w:sz w:val="28"/>
          <w:szCs w:val="28"/>
          <w:highlight w:val="none"/>
          <w:lang w:val="en-US" w:eastAsia="zh-CN"/>
        </w:rPr>
        <w:t>无人机场和无人机维护、系统维护和相关辅材配件等</w:t>
      </w:r>
      <w:r>
        <w:rPr>
          <w:rFonts w:hint="eastAsia" w:ascii="仿宋" w:hAnsi="仿宋" w:eastAsia="仿宋" w:cs="仿宋"/>
          <w:color w:val="auto"/>
          <w:sz w:val="28"/>
          <w:szCs w:val="28"/>
          <w:highlight w:val="none"/>
          <w:lang w:bidi="ar"/>
        </w:rPr>
        <w:t>，项目实施的第三方软件及专利费用、技术资料费用、人工费、仪器仪具使用费、备件配件及辅材费、办公费、住宿费、交通费、税金、社保费、保险、利润、项目验收费等其他项目一切相关费用</w:t>
      </w:r>
      <w:r>
        <w:rPr>
          <w:rFonts w:hint="eastAsia" w:ascii="仿宋" w:hAnsi="仿宋" w:eastAsia="仿宋" w:cs="仿宋"/>
          <w:color w:val="auto"/>
          <w:sz w:val="28"/>
          <w:szCs w:val="28"/>
          <w:highlight w:val="none"/>
          <w:lang w:eastAsia="zh-CN" w:bidi="ar"/>
        </w:rPr>
        <w:t>。</w:t>
      </w:r>
    </w:p>
    <w:p w14:paraId="023D99FF">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合同有效期内</w:t>
      </w:r>
      <w:r>
        <w:rPr>
          <w:rFonts w:hint="eastAsia" w:ascii="仿宋" w:hAnsi="仿宋" w:eastAsia="仿宋" w:cs="仿宋"/>
          <w:color w:val="auto"/>
          <w:kern w:val="0"/>
          <w:sz w:val="28"/>
          <w:szCs w:val="28"/>
          <w:highlight w:val="none"/>
          <w:lang w:eastAsia="zh-CN" w:bidi="ar"/>
        </w:rPr>
        <w:t>，</w:t>
      </w:r>
      <w:r>
        <w:rPr>
          <w:rFonts w:hint="eastAsia" w:ascii="仿宋" w:hAnsi="仿宋" w:eastAsia="仿宋" w:cs="仿宋"/>
          <w:color w:val="auto"/>
          <w:kern w:val="0"/>
          <w:sz w:val="28"/>
          <w:szCs w:val="28"/>
          <w:highlight w:val="none"/>
          <w:lang w:val="en-US" w:eastAsia="zh-CN" w:bidi="ar"/>
        </w:rPr>
        <w:t>软件部分合同价格包干，硬件</w:t>
      </w:r>
      <w:r>
        <w:rPr>
          <w:rFonts w:hint="eastAsia" w:ascii="仿宋" w:hAnsi="仿宋" w:eastAsia="仿宋" w:cs="仿宋"/>
          <w:color w:val="auto"/>
          <w:kern w:val="0"/>
          <w:sz w:val="28"/>
          <w:szCs w:val="28"/>
          <w:highlight w:val="none"/>
          <w:lang w:bidi="ar"/>
        </w:rPr>
        <w:t>单价固定不变，</w:t>
      </w:r>
      <w:r>
        <w:rPr>
          <w:rFonts w:hint="eastAsia" w:ascii="仿宋" w:hAnsi="仿宋" w:eastAsia="仿宋" w:cs="仿宋"/>
          <w:color w:val="auto"/>
          <w:kern w:val="0"/>
          <w:sz w:val="28"/>
          <w:szCs w:val="28"/>
          <w:highlight w:val="none"/>
          <w:lang w:val="en-US" w:eastAsia="zh-CN" w:bidi="ar"/>
        </w:rPr>
        <w:t>按实际到货验收进行结算</w:t>
      </w:r>
      <w:r>
        <w:rPr>
          <w:rFonts w:hint="eastAsia" w:ascii="仿宋" w:hAnsi="仿宋" w:eastAsia="仿宋" w:cs="仿宋"/>
          <w:color w:val="auto"/>
          <w:kern w:val="0"/>
          <w:sz w:val="28"/>
          <w:szCs w:val="28"/>
          <w:highlight w:val="none"/>
          <w:lang w:bidi="ar"/>
        </w:rPr>
        <w:t>。</w:t>
      </w:r>
    </w:p>
    <w:p w14:paraId="1EED551B">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2.甲方应通过银行转帐方式支付至乙方以下指定银行账户：</w:t>
      </w:r>
    </w:p>
    <w:p w14:paraId="37AF12D3">
      <w:pPr>
        <w:spacing w:line="48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bidi="ar"/>
        </w:rPr>
        <w:t>开户行：</w:t>
      </w:r>
      <w:r>
        <w:rPr>
          <w:rFonts w:hint="eastAsia" w:ascii="仿宋" w:hAnsi="仿宋" w:eastAsia="仿宋" w:cs="仿宋"/>
          <w:color w:val="auto"/>
          <w:sz w:val="28"/>
          <w:szCs w:val="28"/>
          <w:highlight w:val="none"/>
          <w:u w:val="single"/>
          <w:lang w:bidi="ar"/>
        </w:rPr>
        <w:t xml:space="preserve">                             </w:t>
      </w:r>
    </w:p>
    <w:p w14:paraId="0CEDEF5F">
      <w:pPr>
        <w:spacing w:line="48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bidi="ar"/>
        </w:rPr>
        <w:t>开户名称：</w:t>
      </w:r>
      <w:r>
        <w:rPr>
          <w:rFonts w:hint="eastAsia" w:ascii="仿宋" w:hAnsi="仿宋" w:eastAsia="仿宋" w:cs="仿宋"/>
          <w:color w:val="auto"/>
          <w:sz w:val="28"/>
          <w:szCs w:val="28"/>
          <w:highlight w:val="none"/>
          <w:u w:val="single"/>
          <w:lang w:bidi="ar"/>
        </w:rPr>
        <w:t xml:space="preserve">                           </w:t>
      </w:r>
    </w:p>
    <w:p w14:paraId="584BF157">
      <w:pPr>
        <w:spacing w:line="48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bidi="ar"/>
        </w:rPr>
        <w:t>开户银行账号：</w:t>
      </w:r>
      <w:r>
        <w:rPr>
          <w:rFonts w:hint="eastAsia" w:ascii="仿宋" w:hAnsi="仿宋" w:eastAsia="仿宋" w:cs="仿宋"/>
          <w:color w:val="auto"/>
          <w:sz w:val="28"/>
          <w:szCs w:val="28"/>
          <w:highlight w:val="none"/>
          <w:u w:val="single"/>
          <w:lang w:bidi="ar"/>
        </w:rPr>
        <w:t xml:space="preserve">                       </w:t>
      </w:r>
    </w:p>
    <w:p w14:paraId="5A69B148">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乙方如需更换指定银行账户的，应在甲方付款前10个工作日以书面形式通知甲方，甲方同意后方可更换，如因乙方未通知而导致付款延迟或付款错误，甲方不承担责任。</w:t>
      </w:r>
    </w:p>
    <w:p w14:paraId="3B152490">
      <w:pPr>
        <w:pStyle w:val="18"/>
        <w:widowControl w:val="0"/>
        <w:snapToGrid w:val="0"/>
        <w:spacing w:after="0" w:afterAutospacing="0" w:line="48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bidi="ar"/>
        </w:rPr>
        <w:t>3.付款：</w:t>
      </w:r>
    </w:p>
    <w:p w14:paraId="7399A56B">
      <w:pPr>
        <w:pStyle w:val="18"/>
        <w:widowControl w:val="0"/>
        <w:snapToGrid w:val="0"/>
        <w:spacing w:after="0" w:afterAutospacing="0" w:line="480" w:lineRule="exact"/>
        <w:ind w:firstLine="560" w:firstLineChars="200"/>
        <w:jc w:val="both"/>
        <w:rPr>
          <w:rFonts w:hint="eastAsia" w:ascii="仿宋" w:hAnsi="仿宋" w:eastAsia="仿宋" w:cs="仿宋"/>
          <w:strike w:val="0"/>
          <w:color w:val="auto"/>
          <w:kern w:val="2"/>
          <w:sz w:val="28"/>
          <w:szCs w:val="28"/>
          <w:highlight w:val="none"/>
          <w:lang w:val="en-US" w:eastAsia="zh-CN" w:bidi="ar"/>
        </w:rPr>
      </w:pPr>
      <w:r>
        <w:rPr>
          <w:rFonts w:hint="eastAsia" w:ascii="仿宋" w:hAnsi="仿宋" w:eastAsia="仿宋" w:cs="仿宋"/>
          <w:strike w:val="0"/>
          <w:color w:val="auto"/>
          <w:kern w:val="2"/>
          <w:sz w:val="28"/>
          <w:szCs w:val="28"/>
          <w:highlight w:val="none"/>
          <w:lang w:bidi="ar"/>
        </w:rPr>
        <w:t>（1）</w:t>
      </w:r>
      <w:r>
        <w:rPr>
          <w:rFonts w:hint="eastAsia" w:ascii="仿宋" w:hAnsi="仿宋" w:eastAsia="仿宋" w:cs="仿宋"/>
          <w:strike w:val="0"/>
          <w:color w:val="auto"/>
          <w:kern w:val="2"/>
          <w:sz w:val="28"/>
          <w:szCs w:val="28"/>
          <w:highlight w:val="none"/>
          <w:lang w:val="en-US" w:eastAsia="zh-CN" w:bidi="ar"/>
        </w:rPr>
        <w:t>预付款</w:t>
      </w:r>
    </w:p>
    <w:p w14:paraId="55C7B6EF">
      <w:pPr>
        <w:widowControl w:val="0"/>
        <w:snapToGrid w:val="0"/>
        <w:spacing w:after="0" w:afterAutospacing="0"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预付款金额为合同总价的30%，即人民币（大写）</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元，人民币（小写）：</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元；必须在甲方收到乙方支付请求并附下列单据，经甲方批准后四十（40）个工作日内，由甲方支付给乙方。</w:t>
      </w:r>
      <w:r>
        <w:rPr>
          <w:rFonts w:hint="eastAsia" w:ascii="仿宋" w:hAnsi="仿宋" w:eastAsia="仿宋" w:cs="仿宋"/>
          <w:color w:val="auto"/>
          <w:sz w:val="28"/>
          <w:szCs w:val="28"/>
          <w:highlight w:val="none"/>
        </w:rPr>
        <w:t>预付款</w:t>
      </w:r>
      <w:r>
        <w:rPr>
          <w:rFonts w:hint="eastAsia" w:ascii="仿宋" w:hAnsi="仿宋" w:eastAsia="仿宋" w:cs="仿宋"/>
          <w:color w:val="auto"/>
          <w:sz w:val="28"/>
          <w:szCs w:val="28"/>
          <w:highlight w:val="none"/>
          <w:lang w:val="en-US" w:eastAsia="zh-CN"/>
        </w:rPr>
        <w:t>在全部硬件设备完成采购并向甲方移交，</w:t>
      </w:r>
      <w:r>
        <w:rPr>
          <w:rFonts w:hint="eastAsia" w:ascii="仿宋" w:hAnsi="仿宋" w:eastAsia="仿宋" w:cs="仿宋"/>
          <w:color w:val="auto"/>
          <w:sz w:val="28"/>
          <w:szCs w:val="28"/>
          <w:highlight w:val="none"/>
        </w:rPr>
        <w:t>检查无误并</w:t>
      </w:r>
      <w:r>
        <w:rPr>
          <w:rFonts w:hint="eastAsia" w:ascii="仿宋" w:hAnsi="仿宋" w:eastAsia="仿宋" w:cs="仿宋"/>
          <w:color w:val="auto"/>
          <w:sz w:val="28"/>
          <w:szCs w:val="28"/>
          <w:highlight w:val="none"/>
          <w:lang w:val="en-US" w:eastAsia="zh-CN"/>
        </w:rPr>
        <w:t>按国家和甲方相关硬件设备验收管理办法规定接收</w:t>
      </w:r>
      <w:r>
        <w:rPr>
          <w:rFonts w:hint="eastAsia" w:ascii="仿宋" w:hAnsi="仿宋" w:eastAsia="仿宋" w:cs="仿宋"/>
          <w:color w:val="auto"/>
          <w:sz w:val="28"/>
          <w:szCs w:val="28"/>
          <w:highlight w:val="none"/>
        </w:rPr>
        <w:t>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从进度款中一次性扣回。</w:t>
      </w:r>
    </w:p>
    <w:p w14:paraId="1880B2AA">
      <w:pPr>
        <w:widowControl w:val="0"/>
        <w:snapToGrid w:val="0"/>
        <w:spacing w:after="0" w:afterAutospacing="0" w:line="480" w:lineRule="exact"/>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①乙方出具的支付申请表正本一份，副本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份</w:t>
      </w:r>
      <w:r>
        <w:rPr>
          <w:rFonts w:hint="eastAsia" w:ascii="仿宋" w:hAnsi="仿宋" w:eastAsia="仿宋" w:cs="仿宋"/>
          <w:color w:val="auto"/>
          <w:sz w:val="28"/>
          <w:szCs w:val="28"/>
          <w:highlight w:val="none"/>
          <w:lang w:eastAsia="zh-CN"/>
        </w:rPr>
        <w:t>。</w:t>
      </w:r>
    </w:p>
    <w:p w14:paraId="464D1D36">
      <w:pPr>
        <w:widowControl w:val="0"/>
        <w:snapToGrid w:val="0"/>
        <w:spacing w:after="0" w:afterAutospacing="0" w:line="48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②履约保函正本一份（如采用提交银行保函的）。</w:t>
      </w:r>
    </w:p>
    <w:p w14:paraId="5274F101">
      <w:pPr>
        <w:widowControl w:val="0"/>
        <w:snapToGrid w:val="0"/>
        <w:spacing w:after="0" w:afterAutospacing="0" w:line="480" w:lineRule="exact"/>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③按本次支付金额百分之一百(100%)出具的预付款人民币资金往来收据（加盖公章）</w:t>
      </w:r>
      <w:r>
        <w:rPr>
          <w:rFonts w:hint="eastAsia" w:ascii="仿宋" w:hAnsi="仿宋" w:eastAsia="仿宋" w:cs="仿宋"/>
          <w:color w:val="auto"/>
          <w:sz w:val="28"/>
          <w:szCs w:val="28"/>
          <w:highlight w:val="none"/>
          <w:lang w:eastAsia="zh-CN"/>
        </w:rPr>
        <w:t>。</w:t>
      </w:r>
    </w:p>
    <w:p w14:paraId="67E24A53">
      <w:pPr>
        <w:widowControl w:val="0"/>
        <w:snapToGrid w:val="0"/>
        <w:spacing w:after="0" w:afterAutospacing="0" w:line="48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④金额为合同总价</w:t>
      </w: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 的预付款银行保函正本一份，预付款保函由支行或其他以上级别银行出具的无条件不可撤销的见索即付的保函，保函不得附加任何条件。如果乙方提交的预付款保函的有效期届满时间先于招标文件、合同文件要求的，乙方应在原提交的预付款保函有效期届满前 15 天内，无条件办理保函延期手续，否则，甲方可在保函到期前将保函金额转为现金存入履约保证金账户。执行本款时所发生的费用全部由乙方负担。</w:t>
      </w:r>
    </w:p>
    <w:p w14:paraId="339C8A36">
      <w:pPr>
        <w:pStyle w:val="18"/>
        <w:widowControl w:val="0"/>
        <w:numPr>
          <w:ilvl w:val="0"/>
          <w:numId w:val="4"/>
        </w:numPr>
        <w:snapToGrid w:val="0"/>
        <w:spacing w:after="0" w:afterAutospacing="0" w:line="480" w:lineRule="exact"/>
        <w:ind w:left="420" w:firstLine="560" w:firstLineChars="200"/>
        <w:jc w:val="both"/>
        <w:rPr>
          <w:rFonts w:hint="eastAsia" w:ascii="仿宋" w:hAnsi="仿宋" w:eastAsia="仿宋" w:cs="仿宋"/>
          <w:color w:val="auto"/>
          <w:kern w:val="2"/>
          <w:sz w:val="28"/>
          <w:szCs w:val="28"/>
          <w:highlight w:val="none"/>
          <w:lang w:bidi="ar"/>
        </w:rPr>
      </w:pPr>
      <w:r>
        <w:rPr>
          <w:rFonts w:hint="eastAsia" w:ascii="仿宋" w:hAnsi="仿宋" w:eastAsia="仿宋" w:cs="仿宋"/>
          <w:strike w:val="0"/>
          <w:color w:val="auto"/>
          <w:kern w:val="2"/>
          <w:sz w:val="28"/>
          <w:szCs w:val="28"/>
          <w:highlight w:val="none"/>
          <w:lang w:val="en-US" w:eastAsia="zh-CN" w:bidi="ar"/>
        </w:rPr>
        <w:t>硬件部分付款</w:t>
      </w:r>
    </w:p>
    <w:p w14:paraId="7D6D7010">
      <w:pPr>
        <w:pStyle w:val="18"/>
        <w:widowControl w:val="0"/>
        <w:numPr>
          <w:ilvl w:val="0"/>
          <w:numId w:val="0"/>
        </w:numPr>
        <w:snapToGrid w:val="0"/>
        <w:spacing w:after="0" w:afterAutospacing="0" w:line="480" w:lineRule="exact"/>
        <w:ind w:leftChars="200"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硬件付款按到货硬件合同价的80%支付。全部硬件设备向甲方移交、甲方检查无误并经接收后，乙方向甲方提交支付请求并附下列资料，经甲方批准后四十（40）个工作日内，甲方支付给乙方，同时扣除全部预付款：</w:t>
      </w:r>
    </w:p>
    <w:p w14:paraId="6405FD89">
      <w:pPr>
        <w:pStyle w:val="18"/>
        <w:widowControl w:val="0"/>
        <w:numPr>
          <w:ilvl w:val="0"/>
          <w:numId w:val="0"/>
        </w:numPr>
        <w:snapToGrid w:val="0"/>
        <w:spacing w:after="0" w:afterAutospacing="0" w:line="480" w:lineRule="exact"/>
        <w:ind w:leftChars="200"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①乙方出具的支付请求正本一份，副本三份。</w:t>
      </w:r>
    </w:p>
    <w:p w14:paraId="46758D11">
      <w:pPr>
        <w:pStyle w:val="18"/>
        <w:widowControl w:val="0"/>
        <w:numPr>
          <w:ilvl w:val="0"/>
          <w:numId w:val="0"/>
        </w:numPr>
        <w:snapToGrid w:val="0"/>
        <w:spacing w:after="0" w:afterAutospacing="0" w:line="480" w:lineRule="exact"/>
        <w:ind w:leftChars="200"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②由乙方出具的到货硬件价格金额（100%）人民币的合法有效增值税专用发票。</w:t>
      </w:r>
    </w:p>
    <w:p w14:paraId="112FF8CC">
      <w:pPr>
        <w:pStyle w:val="18"/>
        <w:widowControl w:val="0"/>
        <w:numPr>
          <w:ilvl w:val="0"/>
          <w:numId w:val="0"/>
        </w:numPr>
        <w:snapToGrid w:val="0"/>
        <w:spacing w:after="0" w:afterAutospacing="0" w:line="480" w:lineRule="exact"/>
        <w:ind w:leftChars="200"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③提供产品说明书、质量证明书或合格证正本一份，副本三份；</w:t>
      </w:r>
    </w:p>
    <w:p w14:paraId="78560853">
      <w:pPr>
        <w:pStyle w:val="18"/>
        <w:widowControl w:val="0"/>
        <w:numPr>
          <w:ilvl w:val="0"/>
          <w:numId w:val="0"/>
        </w:numPr>
        <w:snapToGrid w:val="0"/>
        <w:spacing w:after="0" w:afterAutospacing="0" w:line="480" w:lineRule="exact"/>
        <w:ind w:leftChars="200"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④</w:t>
      </w:r>
      <w:r>
        <w:rPr>
          <w:rFonts w:hint="eastAsia" w:ascii="仿宋" w:hAnsi="仿宋" w:eastAsia="仿宋" w:cs="仿宋"/>
          <w:color w:val="auto"/>
          <w:kern w:val="2"/>
          <w:sz w:val="28"/>
          <w:szCs w:val="28"/>
          <w:highlight w:val="none"/>
          <w:lang w:val="en-US" w:eastAsia="zh-CN" w:bidi="ar"/>
        </w:rPr>
        <w:t>提供包含硬件型号、规格及参数的供货清单</w:t>
      </w:r>
      <w:r>
        <w:rPr>
          <w:rFonts w:hint="eastAsia" w:ascii="仿宋" w:hAnsi="仿宋" w:eastAsia="仿宋" w:cs="仿宋"/>
          <w:color w:val="auto"/>
          <w:kern w:val="2"/>
          <w:sz w:val="28"/>
          <w:szCs w:val="28"/>
          <w:highlight w:val="none"/>
          <w:lang w:val="en-US" w:eastAsia="zh-CN" w:bidi="ar-SA"/>
        </w:rPr>
        <w:t>正本一份，副本三份；</w:t>
      </w:r>
    </w:p>
    <w:p w14:paraId="5429423D">
      <w:pPr>
        <w:pStyle w:val="18"/>
        <w:widowControl w:val="0"/>
        <w:numPr>
          <w:ilvl w:val="0"/>
          <w:numId w:val="4"/>
        </w:numPr>
        <w:snapToGrid w:val="0"/>
        <w:spacing w:after="0" w:afterAutospacing="0" w:line="480" w:lineRule="exact"/>
        <w:ind w:left="420" w:leftChars="0" w:firstLine="560" w:firstLineChars="200"/>
        <w:jc w:val="both"/>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软件部分付款</w:t>
      </w:r>
    </w:p>
    <w:p w14:paraId="6F8014B7">
      <w:pPr>
        <w:pStyle w:val="18"/>
        <w:widowControl w:val="0"/>
        <w:numPr>
          <w:ilvl w:val="0"/>
          <w:numId w:val="0"/>
        </w:numPr>
        <w:snapToGrid w:val="0"/>
        <w:spacing w:after="0" w:afterAutospacing="0" w:line="480" w:lineRule="exact"/>
        <w:ind w:leftChars="200"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
        </w:rPr>
        <w:t>软件付款按软件系统合同价的80%支付。开发</w:t>
      </w:r>
      <w:r>
        <w:rPr>
          <w:rFonts w:hint="eastAsia" w:ascii="仿宋" w:hAnsi="仿宋" w:eastAsia="仿宋" w:cs="仿宋"/>
          <w:color w:val="auto"/>
          <w:kern w:val="2"/>
          <w:sz w:val="28"/>
          <w:szCs w:val="28"/>
          <w:highlight w:val="none"/>
          <w:lang w:bidi="ar"/>
        </w:rPr>
        <w:t>系统全面上线，试运行正常【90】个日历日后</w:t>
      </w:r>
      <w:r>
        <w:rPr>
          <w:rFonts w:hint="eastAsia" w:ascii="仿宋" w:hAnsi="仿宋" w:eastAsia="仿宋" w:cs="仿宋"/>
          <w:color w:val="auto"/>
          <w:kern w:val="2"/>
          <w:sz w:val="28"/>
          <w:szCs w:val="28"/>
          <w:highlight w:val="none"/>
          <w:lang w:eastAsia="zh-CN" w:bidi="ar"/>
        </w:rPr>
        <w:t>，</w:t>
      </w:r>
      <w:r>
        <w:rPr>
          <w:rFonts w:hint="eastAsia" w:ascii="仿宋" w:hAnsi="仿宋" w:eastAsia="仿宋" w:cs="仿宋"/>
          <w:color w:val="auto"/>
          <w:kern w:val="2"/>
          <w:sz w:val="28"/>
          <w:szCs w:val="28"/>
          <w:highlight w:val="none"/>
          <w:lang w:bidi="ar"/>
        </w:rPr>
        <w:t>乙方提供系统运行报告并经甲方</w:t>
      </w:r>
      <w:r>
        <w:rPr>
          <w:rFonts w:hint="eastAsia" w:ascii="仿宋" w:hAnsi="仿宋" w:eastAsia="仿宋" w:cs="仿宋"/>
          <w:color w:val="auto"/>
          <w:kern w:val="2"/>
          <w:sz w:val="28"/>
          <w:szCs w:val="28"/>
          <w:highlight w:val="none"/>
          <w:lang w:eastAsia="zh-CN" w:bidi="ar"/>
        </w:rPr>
        <w:t>初步</w:t>
      </w:r>
      <w:r>
        <w:rPr>
          <w:rFonts w:hint="eastAsia" w:ascii="仿宋" w:hAnsi="仿宋" w:eastAsia="仿宋" w:cs="仿宋"/>
          <w:color w:val="auto"/>
          <w:kern w:val="2"/>
          <w:sz w:val="28"/>
          <w:szCs w:val="28"/>
          <w:highlight w:val="none"/>
          <w:lang w:bidi="ar"/>
        </w:rPr>
        <w:t>验收，初步验收合格无误，</w:t>
      </w:r>
      <w:r>
        <w:rPr>
          <w:rFonts w:hint="eastAsia" w:ascii="仿宋" w:hAnsi="仿宋" w:eastAsia="仿宋" w:cs="仿宋"/>
          <w:color w:val="auto"/>
          <w:kern w:val="2"/>
          <w:sz w:val="28"/>
          <w:szCs w:val="28"/>
          <w:highlight w:val="none"/>
          <w:lang w:val="en-US" w:eastAsia="zh-CN" w:bidi="ar-SA"/>
        </w:rPr>
        <w:t>乙方向甲方提交支付请求并附下列资料，经甲方批准后四十（40）个工作日内，甲方支付给乙方：</w:t>
      </w:r>
    </w:p>
    <w:p w14:paraId="6965125B">
      <w:pPr>
        <w:pStyle w:val="18"/>
        <w:widowControl w:val="0"/>
        <w:numPr>
          <w:ilvl w:val="0"/>
          <w:numId w:val="0"/>
        </w:numPr>
        <w:snapToGrid w:val="0"/>
        <w:spacing w:after="0" w:afterAutospacing="0" w:line="480" w:lineRule="exact"/>
        <w:ind w:leftChars="200"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①乙方出具的支付请求正本一份，副本三份。</w:t>
      </w:r>
    </w:p>
    <w:p w14:paraId="20816226">
      <w:pPr>
        <w:pStyle w:val="18"/>
        <w:widowControl w:val="0"/>
        <w:numPr>
          <w:ilvl w:val="0"/>
          <w:numId w:val="0"/>
        </w:numPr>
        <w:snapToGrid w:val="0"/>
        <w:spacing w:after="0" w:afterAutospacing="0" w:line="480" w:lineRule="exact"/>
        <w:ind w:leftChars="200"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②由乙方出具的软件系统价格金额（100%）人民币的合法有效增值税专用发票。</w:t>
      </w:r>
    </w:p>
    <w:p w14:paraId="2FC36596">
      <w:pPr>
        <w:pStyle w:val="18"/>
        <w:widowControl w:val="0"/>
        <w:numPr>
          <w:ilvl w:val="0"/>
          <w:numId w:val="0"/>
        </w:numPr>
        <w:snapToGrid w:val="0"/>
        <w:spacing w:after="0" w:afterAutospacing="0" w:line="480" w:lineRule="exact"/>
        <w:ind w:leftChars="200"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③提供《用户使用说明书》、《系统上线试运行方案》、《上线试运行报告》、《系统运维移交报告》、《系统联调测试报告》正本一份，副本三份。</w:t>
      </w:r>
    </w:p>
    <w:p w14:paraId="4B638C69">
      <w:pPr>
        <w:pStyle w:val="18"/>
        <w:widowControl w:val="0"/>
        <w:numPr>
          <w:ilvl w:val="0"/>
          <w:numId w:val="0"/>
        </w:numPr>
        <w:snapToGrid w:val="0"/>
        <w:spacing w:after="0" w:afterAutospacing="0" w:line="480" w:lineRule="exact"/>
        <w:ind w:leftChars="200" w:firstLine="560" w:firstLineChars="200"/>
        <w:jc w:val="both"/>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（4）预验收和结算</w:t>
      </w:r>
    </w:p>
    <w:p w14:paraId="1F5F933A">
      <w:pPr>
        <w:pStyle w:val="18"/>
        <w:widowControl w:val="0"/>
        <w:numPr>
          <w:ilvl w:val="0"/>
          <w:numId w:val="0"/>
        </w:numPr>
        <w:snapToGrid w:val="0"/>
        <w:spacing w:after="0" w:afterAutospacing="0" w:line="480" w:lineRule="exact"/>
        <w:ind w:leftChars="200" w:firstLine="560" w:firstLineChars="200"/>
        <w:jc w:val="both"/>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通过预验收合格（包括硬件设备无破损、无缺陷、安装调试完好，自动无人机场安装和调试运行上线，软件系统全面上线且试运行正常），并本合同结算经甲方、市政府相关职能部门审定后，支付至结算价款总额的95%：</w:t>
      </w:r>
    </w:p>
    <w:p w14:paraId="61607A34">
      <w:pPr>
        <w:pStyle w:val="18"/>
        <w:widowControl w:val="0"/>
        <w:numPr>
          <w:ilvl w:val="0"/>
          <w:numId w:val="0"/>
        </w:numPr>
        <w:snapToGrid w:val="0"/>
        <w:spacing w:after="0" w:afterAutospacing="0" w:line="480" w:lineRule="exact"/>
        <w:ind w:leftChars="200"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东文宋体" w:hAnsi="东文宋体" w:eastAsia="东文宋体" w:cs="东文宋体"/>
          <w:color w:val="auto"/>
          <w:kern w:val="2"/>
          <w:sz w:val="28"/>
          <w:szCs w:val="28"/>
          <w:highlight w:val="none"/>
          <w:lang w:val="en-US" w:eastAsia="zh-CN" w:bidi="ar-SA"/>
        </w:rPr>
        <w:t>①</w:t>
      </w:r>
      <w:r>
        <w:rPr>
          <w:rFonts w:hint="eastAsia" w:ascii="仿宋" w:hAnsi="仿宋" w:eastAsia="仿宋" w:cs="仿宋"/>
          <w:color w:val="auto"/>
          <w:kern w:val="2"/>
          <w:sz w:val="28"/>
          <w:szCs w:val="28"/>
          <w:highlight w:val="none"/>
          <w:lang w:val="en-US" w:eastAsia="zh-CN" w:bidi="ar-SA"/>
        </w:rPr>
        <w:t>提供《预验收总结报告》、《自动无人机设备安装和调试报告》、《系统服务器安装后和调试报告》、《软件系统上线正式运行报告》正本一份，副本三份。</w:t>
      </w:r>
    </w:p>
    <w:p w14:paraId="32E348A7">
      <w:pPr>
        <w:pStyle w:val="18"/>
        <w:widowControl w:val="0"/>
        <w:numPr>
          <w:ilvl w:val="0"/>
          <w:numId w:val="0"/>
        </w:numPr>
        <w:snapToGrid w:val="0"/>
        <w:spacing w:after="0" w:afterAutospacing="0" w:line="480" w:lineRule="exact"/>
        <w:ind w:leftChars="200"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②提供《质保期运维服务方案》正本一份，副本三份。</w:t>
      </w:r>
    </w:p>
    <w:p w14:paraId="26D0FA4F">
      <w:pPr>
        <w:pStyle w:val="18"/>
        <w:widowControl w:val="0"/>
        <w:numPr>
          <w:ilvl w:val="0"/>
          <w:numId w:val="0"/>
        </w:numPr>
        <w:snapToGrid w:val="0"/>
        <w:spacing w:after="0" w:afterAutospacing="0" w:line="480" w:lineRule="exact"/>
        <w:ind w:leftChars="200" w:firstLine="560" w:firstLineChars="200"/>
        <w:jc w:val="both"/>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（5）最终验收</w:t>
      </w:r>
    </w:p>
    <w:p w14:paraId="3561690B">
      <w:pPr>
        <w:pStyle w:val="18"/>
        <w:widowControl w:val="0"/>
        <w:numPr>
          <w:ilvl w:val="0"/>
          <w:numId w:val="0"/>
        </w:numPr>
        <w:snapToGrid w:val="0"/>
        <w:spacing w:after="0" w:afterAutospacing="0" w:line="480" w:lineRule="exact"/>
        <w:ind w:leftChars="200" w:firstLine="560" w:firstLineChars="200"/>
        <w:jc w:val="both"/>
        <w:rPr>
          <w:rFonts w:hint="eastAsia" w:ascii="仿宋" w:hAnsi="仿宋" w:eastAsia="仿宋" w:cs="仿宋"/>
          <w:bCs w:val="0"/>
          <w:color w:val="auto"/>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质保期满后，甲方向乙方无息</w:t>
      </w:r>
      <w:r>
        <w:rPr>
          <w:rFonts w:hint="eastAsia" w:ascii="仿宋" w:hAnsi="仿宋" w:eastAsia="仿宋" w:cs="仿宋"/>
          <w:bCs w:val="0"/>
          <w:color w:val="auto"/>
          <w:sz w:val="28"/>
          <w:szCs w:val="28"/>
          <w:highlight w:val="none"/>
          <w:lang w:val="en-US" w:eastAsia="zh-CN" w:bidi="ar"/>
        </w:rPr>
        <w:t>支付结算总额的5%，并提供以下资料：</w:t>
      </w:r>
    </w:p>
    <w:p w14:paraId="5C98C9EC">
      <w:pPr>
        <w:pStyle w:val="18"/>
        <w:widowControl w:val="0"/>
        <w:numPr>
          <w:ilvl w:val="0"/>
          <w:numId w:val="0"/>
        </w:numPr>
        <w:snapToGrid w:val="0"/>
        <w:spacing w:after="0" w:afterAutospacing="0" w:line="480" w:lineRule="exact"/>
        <w:ind w:leftChars="200"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东文宋体" w:hAnsi="东文宋体" w:eastAsia="东文宋体" w:cs="东文宋体"/>
          <w:color w:val="auto"/>
          <w:kern w:val="2"/>
          <w:sz w:val="28"/>
          <w:szCs w:val="28"/>
          <w:highlight w:val="none"/>
          <w:lang w:val="en-US" w:eastAsia="zh-CN" w:bidi="ar-SA"/>
        </w:rPr>
        <w:t>①</w:t>
      </w:r>
      <w:r>
        <w:rPr>
          <w:rFonts w:hint="eastAsia" w:ascii="仿宋" w:hAnsi="仿宋" w:eastAsia="仿宋" w:cs="仿宋"/>
          <w:color w:val="auto"/>
          <w:kern w:val="2"/>
          <w:sz w:val="28"/>
          <w:szCs w:val="28"/>
          <w:highlight w:val="none"/>
          <w:lang w:val="en-US" w:eastAsia="zh-CN" w:bidi="ar-SA"/>
        </w:rPr>
        <w:t>乙方出具的支付请求正本一份，副本三份。</w:t>
      </w:r>
    </w:p>
    <w:p w14:paraId="0B231598">
      <w:pPr>
        <w:pStyle w:val="18"/>
        <w:widowControl w:val="0"/>
        <w:numPr>
          <w:ilvl w:val="0"/>
          <w:numId w:val="0"/>
        </w:numPr>
        <w:snapToGrid w:val="0"/>
        <w:spacing w:after="0" w:afterAutospacing="0" w:line="480" w:lineRule="exact"/>
        <w:ind w:leftChars="200"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②提供《项目最终验收报告》正本一份，副本三份。</w:t>
      </w:r>
    </w:p>
    <w:p w14:paraId="368DB938">
      <w:pPr>
        <w:pStyle w:val="18"/>
        <w:widowControl w:val="0"/>
        <w:numPr>
          <w:ilvl w:val="0"/>
          <w:numId w:val="0"/>
        </w:numPr>
        <w:snapToGrid w:val="0"/>
        <w:spacing w:after="0" w:afterAutospacing="0" w:line="480" w:lineRule="exact"/>
        <w:ind w:leftChars="200" w:firstLine="560" w:firstLineChars="200"/>
        <w:jc w:val="both"/>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③按照需求</w:t>
      </w:r>
      <w:r>
        <w:rPr>
          <w:rFonts w:hint="eastAsia" w:eastAsia="仿宋"/>
          <w:color w:val="auto"/>
          <w:sz w:val="28"/>
          <w:szCs w:val="28"/>
          <w:highlight w:val="none"/>
          <w:lang w:eastAsia="zh-CN"/>
        </w:rPr>
        <w:t>书第</w:t>
      </w:r>
      <w:r>
        <w:rPr>
          <w:rFonts w:hint="eastAsia" w:eastAsia="仿宋"/>
          <w:color w:val="auto"/>
          <w:sz w:val="28"/>
          <w:szCs w:val="28"/>
          <w:highlight w:val="none"/>
          <w:lang w:val="en-US" w:eastAsia="zh-CN"/>
        </w:rPr>
        <w:t>10点项目交付成果要求提交相关资料一套。</w:t>
      </w:r>
    </w:p>
    <w:p w14:paraId="468FB3DC">
      <w:pPr>
        <w:spacing w:line="48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bidi="ar"/>
        </w:rPr>
        <w:t>4.发票要求</w:t>
      </w:r>
    </w:p>
    <w:p w14:paraId="41AB52CC">
      <w:pPr>
        <w:spacing w:line="480" w:lineRule="exact"/>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bidi="ar"/>
        </w:rPr>
        <w:t>（1）除满足本合同约定的付款条件外，甲方付款前，乙方需提供按照中国税法法律规定的开票时间、税率（或征收率）开具税务机关监制的【增值税专用发票】。开票之前，乙方应向甲方核对开票信息，由于乙方提供的增值税发票不符合税法法规规定或者开票有误的、不及时提供发票等情形，甲方有权拒收并要求重开，乙方自行承担由此造成的任何损失及费用。</w:t>
      </w:r>
    </w:p>
    <w:p w14:paraId="054149F5">
      <w:pPr>
        <w:spacing w:line="48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bidi="ar"/>
        </w:rPr>
        <w:t>（2）任何一方发生被税务机关稽查、调查、质询等税务检查事项涉及本合同的，一方应在知悉后3日内书面通知另一方，另一方应积极予以配合解决。乙方开具的发票如被税务机关认定为异常扣税凭证而不能抵扣的，乙方应积极配合甲方重新开票，如重开无法解决的或未重开的，乙方应向甲方支付异常发票所载税款金额的违约金，违约金不足以弥补甲方损失（包括但不限于无法抵扣的税款损失及其产生的利息损失、滞纳金、罚款等），乙方还应赔偿。</w:t>
      </w:r>
    </w:p>
    <w:p w14:paraId="565B25BD">
      <w:pPr>
        <w:pStyle w:val="18"/>
        <w:widowControl w:val="0"/>
        <w:snapToGrid w:val="0"/>
        <w:spacing w:after="0" w:afterAutospacing="0" w:line="480" w:lineRule="exact"/>
        <w:ind w:firstLine="562" w:firstLineChars="200"/>
        <w:jc w:val="both"/>
        <w:outlineLvl w:val="0"/>
        <w:rPr>
          <w:rFonts w:hint="eastAsia" w:ascii="仿宋" w:hAnsi="仿宋" w:eastAsia="仿宋" w:cs="仿宋"/>
          <w:b/>
          <w:bCs/>
          <w:color w:val="auto"/>
          <w:kern w:val="2"/>
          <w:sz w:val="28"/>
          <w:szCs w:val="28"/>
          <w:highlight w:val="none"/>
        </w:rPr>
      </w:pPr>
      <w:bookmarkStart w:id="714" w:name="_Toc32148"/>
      <w:bookmarkStart w:id="715" w:name="_Toc11341"/>
      <w:bookmarkStart w:id="716" w:name="_Toc21042"/>
      <w:bookmarkStart w:id="717" w:name="_Toc24099"/>
      <w:bookmarkStart w:id="718" w:name="_Toc21323"/>
      <w:bookmarkStart w:id="719" w:name="_Toc12621"/>
      <w:bookmarkStart w:id="720" w:name="_Toc23692"/>
      <w:r>
        <w:rPr>
          <w:rFonts w:hint="eastAsia" w:ascii="仿宋" w:hAnsi="仿宋" w:eastAsia="仿宋" w:cs="仿宋"/>
          <w:b/>
          <w:bCs/>
          <w:color w:val="auto"/>
          <w:kern w:val="2"/>
          <w:sz w:val="28"/>
          <w:szCs w:val="28"/>
          <w:highlight w:val="none"/>
          <w:lang w:bidi="ar"/>
        </w:rPr>
        <w:t>第三条  履约保证金、质保金条款</w:t>
      </w:r>
      <w:bookmarkEnd w:id="714"/>
      <w:bookmarkEnd w:id="715"/>
      <w:bookmarkEnd w:id="716"/>
      <w:bookmarkEnd w:id="717"/>
      <w:bookmarkEnd w:id="718"/>
      <w:bookmarkEnd w:id="719"/>
      <w:bookmarkEnd w:id="720"/>
    </w:p>
    <w:p w14:paraId="4DA73DA8">
      <w:pPr>
        <w:pStyle w:val="18"/>
        <w:widowControl w:val="0"/>
        <w:snapToGrid w:val="0"/>
        <w:spacing w:after="0" w:afterAutospacing="0" w:line="480" w:lineRule="exact"/>
        <w:ind w:firstLine="562" w:firstLineChars="200"/>
        <w:jc w:val="both"/>
        <w:rPr>
          <w:rFonts w:hint="eastAsia" w:ascii="仿宋" w:hAnsi="仿宋" w:eastAsia="仿宋" w:cs="仿宋"/>
          <w:b/>
          <w:bCs/>
          <w:color w:val="auto"/>
          <w:kern w:val="2"/>
          <w:sz w:val="28"/>
          <w:szCs w:val="28"/>
          <w:highlight w:val="none"/>
        </w:rPr>
      </w:pPr>
      <w:r>
        <w:rPr>
          <w:rFonts w:hint="eastAsia" w:ascii="仿宋" w:hAnsi="仿宋" w:eastAsia="仿宋" w:cs="仿宋"/>
          <w:b/>
          <w:bCs/>
          <w:color w:val="auto"/>
          <w:kern w:val="2"/>
          <w:sz w:val="28"/>
          <w:szCs w:val="28"/>
          <w:highlight w:val="none"/>
          <w:lang w:bidi="ar"/>
        </w:rPr>
        <w:t>（一）履约保证金</w:t>
      </w:r>
    </w:p>
    <w:p w14:paraId="06E3D4ED">
      <w:pPr>
        <w:widowControl w:val="0"/>
        <w:snapToGrid w:val="0"/>
        <w:spacing w:after="0" w:afterAutospacing="0" w:line="480" w:lineRule="exact"/>
        <w:ind w:left="0" w:firstLine="638" w:firstLineChars="228"/>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本合同履约保证金为【/】元或合同总额的【10】%。</w:t>
      </w:r>
    </w:p>
    <w:p w14:paraId="2F424A37">
      <w:pPr>
        <w:widowControl w:val="0"/>
        <w:snapToGrid w:val="0"/>
        <w:spacing w:after="120" w:afterAutospacing="0" w:line="480" w:lineRule="exact"/>
        <w:ind w:left="0" w:firstLine="638" w:firstLineChars="228"/>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1.履约保证金支付形式：</w:t>
      </w:r>
      <w:r>
        <w:rPr>
          <w:rFonts w:hint="eastAsia" w:ascii="仿宋" w:hAnsi="仿宋" w:eastAsia="仿宋" w:cs="仿宋"/>
          <w:color w:val="auto"/>
          <w:sz w:val="28"/>
          <w:szCs w:val="28"/>
          <w:highlight w:val="none"/>
          <w:u w:val="single"/>
        </w:rPr>
        <w:t>①</w:t>
      </w:r>
      <w:r>
        <w:rPr>
          <w:rFonts w:hint="eastAsia" w:ascii="仿宋" w:hAnsi="仿宋" w:eastAsia="仿宋" w:cs="仿宋"/>
          <w:color w:val="auto"/>
          <w:sz w:val="28"/>
          <w:szCs w:val="28"/>
          <w:highlight w:val="none"/>
        </w:rPr>
        <w:t>（选填①②③④）</w:t>
      </w:r>
    </w:p>
    <w:p w14:paraId="5DF3C761">
      <w:pPr>
        <w:widowControl w:val="0"/>
        <w:snapToGrid w:val="0"/>
        <w:spacing w:after="120" w:afterAutospacing="0" w:line="480" w:lineRule="exact"/>
        <w:ind w:left="0" w:firstLine="638" w:firstLineChars="228"/>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①按照招标采购文件要求在合同签订【】日前交付给甲方；</w:t>
      </w:r>
    </w:p>
    <w:p w14:paraId="32F221EC">
      <w:pPr>
        <w:widowControl w:val="0"/>
        <w:snapToGrid w:val="0"/>
        <w:spacing w:after="120" w:afterAutospacing="0" w:line="480" w:lineRule="exact"/>
        <w:ind w:left="0" w:firstLine="638" w:firstLineChars="228"/>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②本合同签订之日起【】日内通过银行转账支付；</w:t>
      </w:r>
    </w:p>
    <w:p w14:paraId="16A6841A">
      <w:pPr>
        <w:widowControl w:val="0"/>
        <w:snapToGrid w:val="0"/>
        <w:spacing w:after="120" w:afterAutospacing="0" w:line="480" w:lineRule="exact"/>
        <w:ind w:left="0" w:firstLine="638" w:firstLineChars="228"/>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③在预付款/首期款中扣除，如有不足的，按照第②项执行；</w:t>
      </w:r>
    </w:p>
    <w:p w14:paraId="3758273A">
      <w:pPr>
        <w:widowControl w:val="0"/>
        <w:snapToGrid w:val="0"/>
        <w:spacing w:after="0" w:afterAutospacing="0" w:line="480" w:lineRule="exact"/>
        <w:ind w:left="0" w:firstLine="638" w:firstLineChars="228"/>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④本合同签订之日起【】日内提供银行履约保函。</w:t>
      </w:r>
    </w:p>
    <w:p w14:paraId="3A0D0E62">
      <w:pPr>
        <w:widowControl w:val="0"/>
        <w:snapToGrid w:val="0"/>
        <w:spacing w:after="0" w:afterAutospacing="0" w:line="480" w:lineRule="exact"/>
        <w:ind w:left="0" w:firstLine="638" w:firstLineChars="228"/>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（2）履约保证金退还：</w:t>
      </w:r>
    </w:p>
    <w:p w14:paraId="1DEF50E3">
      <w:pPr>
        <w:widowControl w:val="0"/>
        <w:snapToGrid w:val="0"/>
        <w:spacing w:after="0" w:afterAutospacing="0" w:line="480" w:lineRule="exact"/>
        <w:ind w:firstLine="638" w:firstLineChars="228"/>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乙方完成项目开发服务，经甲方</w:t>
      </w:r>
      <w:r>
        <w:rPr>
          <w:rFonts w:hint="eastAsia" w:ascii="仿宋" w:hAnsi="仿宋" w:eastAsia="仿宋" w:cs="仿宋"/>
          <w:color w:val="auto"/>
          <w:sz w:val="28"/>
          <w:szCs w:val="28"/>
          <w:highlight w:val="none"/>
          <w:lang w:eastAsia="zh-CN"/>
        </w:rPr>
        <w:t>最终</w:t>
      </w:r>
      <w:r>
        <w:rPr>
          <w:rFonts w:hint="eastAsia" w:ascii="仿宋" w:hAnsi="仿宋" w:eastAsia="仿宋" w:cs="仿宋"/>
          <w:color w:val="auto"/>
          <w:sz w:val="28"/>
          <w:szCs w:val="28"/>
          <w:highlight w:val="none"/>
        </w:rPr>
        <w:t>验收合格且通过质保期后且合同期限届满，乙方按甲方规定提交请款申请材料申请退还履约保证金，经过审批后，甲方将在【</w:t>
      </w:r>
      <w:r>
        <w:rPr>
          <w:rFonts w:hint="eastAsia" w:ascii="仿宋" w:hAnsi="仿宋" w:eastAsia="仿宋" w:cs="仿宋"/>
          <w:color w:val="auto"/>
          <w:sz w:val="28"/>
          <w:szCs w:val="28"/>
          <w:highlight w:val="none"/>
          <w:lang w:val="en-US" w:eastAsia="zh-CN"/>
        </w:rPr>
        <w:t xml:space="preserve"> 7</w:t>
      </w:r>
      <w:r>
        <w:rPr>
          <w:rFonts w:hint="eastAsia" w:ascii="仿宋" w:hAnsi="仿宋" w:eastAsia="仿宋" w:cs="仿宋"/>
          <w:color w:val="auto"/>
          <w:sz w:val="28"/>
          <w:szCs w:val="28"/>
          <w:highlight w:val="none"/>
        </w:rPr>
        <w:t xml:space="preserve"> 】个工作日内无息退还。如在退还履约保证金时发生本合同约定的费用及扣款等，则在履约保证金金额内扣减相应金额后予以退还，乙方违反本合同约定的，甲方不予退还履约保证金，并有权要求乙方承担本合同约定的其他违约责任。</w:t>
      </w:r>
    </w:p>
    <w:p w14:paraId="680E17FA">
      <w:pPr>
        <w:widowControl w:val="0"/>
        <w:snapToGrid/>
        <w:spacing w:after="0" w:afterAutospacing="0" w:line="480" w:lineRule="exact"/>
        <w:ind w:firstLine="641" w:firstLineChars="228"/>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（二）质保金</w:t>
      </w:r>
    </w:p>
    <w:p w14:paraId="77EFD9EE">
      <w:pPr>
        <w:widowControl w:val="0"/>
        <w:snapToGrid/>
        <w:spacing w:after="0" w:afterAutospacing="0" w:line="480" w:lineRule="exact"/>
        <w:ind w:left="0" w:firstLine="638" w:firstLineChars="228"/>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本合同质保金：</w:t>
      </w:r>
      <w:r>
        <w:rPr>
          <w:rFonts w:hint="eastAsia" w:ascii="仿宋" w:hAnsi="仿宋" w:eastAsia="仿宋" w:cs="仿宋"/>
          <w:color w:val="auto"/>
          <w:sz w:val="28"/>
          <w:szCs w:val="28"/>
          <w:highlight w:val="none"/>
          <w:u w:val="single"/>
        </w:rPr>
        <w:t xml:space="preserve"> ① </w:t>
      </w:r>
      <w:r>
        <w:rPr>
          <w:rFonts w:hint="eastAsia" w:ascii="仿宋" w:hAnsi="仿宋" w:eastAsia="仿宋" w:cs="仿宋"/>
          <w:color w:val="auto"/>
          <w:sz w:val="28"/>
          <w:szCs w:val="28"/>
          <w:highlight w:val="none"/>
        </w:rPr>
        <w:t>（选填①②）</w:t>
      </w:r>
    </w:p>
    <w:p w14:paraId="05F5B45F">
      <w:pPr>
        <w:widowControl w:val="0"/>
        <w:snapToGrid/>
        <w:spacing w:after="0" w:afterAutospacing="0" w:line="480" w:lineRule="exact"/>
        <w:ind w:left="0" w:firstLine="638" w:firstLineChars="228"/>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①甲方预留本合同总额的【</w:t>
      </w:r>
      <w:r>
        <w:rPr>
          <w:rFonts w:hint="eastAsia" w:ascii="仿宋" w:hAnsi="仿宋" w:eastAsia="仿宋" w:cs="仿宋"/>
          <w:color w:val="auto"/>
          <w:sz w:val="28"/>
          <w:szCs w:val="28"/>
          <w:highlight w:val="none"/>
          <w:lang w:val="en-US" w:eastAsia="zh-CN"/>
        </w:rPr>
        <w:t xml:space="preserve"> 5 </w:t>
      </w:r>
      <w:r>
        <w:rPr>
          <w:rFonts w:hint="eastAsia" w:ascii="仿宋" w:hAnsi="仿宋" w:eastAsia="仿宋" w:cs="仿宋"/>
          <w:color w:val="auto"/>
          <w:sz w:val="28"/>
          <w:szCs w:val="28"/>
          <w:highlight w:val="none"/>
        </w:rPr>
        <w:t>】%作为质保金。乙方完成合同所有服务，经甲方</w:t>
      </w:r>
      <w:r>
        <w:rPr>
          <w:rFonts w:hint="eastAsia" w:ascii="仿宋" w:hAnsi="仿宋" w:eastAsia="仿宋" w:cs="仿宋"/>
          <w:color w:val="auto"/>
          <w:sz w:val="28"/>
          <w:szCs w:val="28"/>
          <w:highlight w:val="none"/>
          <w:lang w:eastAsia="zh-CN"/>
        </w:rPr>
        <w:t>最终</w:t>
      </w:r>
      <w:r>
        <w:rPr>
          <w:rFonts w:hint="eastAsia" w:ascii="仿宋" w:hAnsi="仿宋" w:eastAsia="仿宋" w:cs="仿宋"/>
          <w:color w:val="auto"/>
          <w:sz w:val="28"/>
          <w:szCs w:val="28"/>
          <w:highlight w:val="none"/>
        </w:rPr>
        <w:t xml:space="preserve">验收合格且通过质保期后且合同期限届满，乙方按甲方规定提交请款申请材料申请支付质保金，经过审批后，甲方将在【 </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 xml:space="preserve"> 】个工作日内无息支付。</w:t>
      </w:r>
    </w:p>
    <w:p w14:paraId="66CAA5EF">
      <w:pPr>
        <w:widowControl w:val="0"/>
        <w:snapToGrid/>
        <w:spacing w:after="0" w:afterAutospacing="0" w:line="480" w:lineRule="exact"/>
        <w:ind w:left="0" w:firstLine="638" w:firstLineChars="228"/>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②乙方在项目服务完成后【</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】日内，开具本合同总额的【     】%质保保函，有效期至项目验收合格之日起算【  】个月后（不早于质保期）。乙方开具的保函不符合甲方要求的，乙方应予以重开或现金补足。</w:t>
      </w:r>
    </w:p>
    <w:p w14:paraId="37039C1E">
      <w:pPr>
        <w:widowControl w:val="0"/>
        <w:snapToGrid/>
        <w:spacing w:after="0" w:afterAutospacing="0" w:line="480" w:lineRule="exact"/>
        <w:ind w:firstLine="638" w:firstLineChars="228"/>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不履行任何一项质保义务，甲方有权扣除质保金或要求担保方承担质保责任，并有权要求乙方承担本合同约定的其他违约责任。乙方被扣除款项导致质保金不足的，应在收到甲方书面通知后的10个工作日内补齐。</w:t>
      </w:r>
    </w:p>
    <w:p w14:paraId="33682F21">
      <w:pPr>
        <w:pStyle w:val="18"/>
        <w:widowControl w:val="0"/>
        <w:snapToGrid w:val="0"/>
        <w:spacing w:after="0" w:afterAutospacing="0" w:line="480" w:lineRule="exact"/>
        <w:ind w:firstLine="562" w:firstLineChars="200"/>
        <w:jc w:val="both"/>
        <w:outlineLvl w:val="0"/>
        <w:rPr>
          <w:rFonts w:hint="eastAsia" w:ascii="仿宋" w:hAnsi="仿宋" w:eastAsia="仿宋" w:cs="仿宋"/>
          <w:b/>
          <w:bCs/>
          <w:color w:val="auto"/>
          <w:kern w:val="2"/>
          <w:sz w:val="28"/>
          <w:szCs w:val="28"/>
          <w:highlight w:val="none"/>
        </w:rPr>
      </w:pPr>
      <w:bookmarkStart w:id="721" w:name="_Toc6596"/>
      <w:bookmarkStart w:id="722" w:name="_Toc27285"/>
      <w:bookmarkStart w:id="723" w:name="_Toc8845"/>
      <w:bookmarkStart w:id="724" w:name="_Toc15841"/>
      <w:bookmarkStart w:id="725" w:name="_Toc26588"/>
      <w:bookmarkStart w:id="726" w:name="_Toc31223"/>
      <w:bookmarkStart w:id="727" w:name="_Toc4844"/>
      <w:r>
        <w:rPr>
          <w:rFonts w:hint="eastAsia" w:ascii="仿宋" w:hAnsi="仿宋" w:eastAsia="仿宋" w:cs="仿宋"/>
          <w:b/>
          <w:bCs/>
          <w:color w:val="auto"/>
          <w:kern w:val="2"/>
          <w:sz w:val="28"/>
          <w:szCs w:val="28"/>
          <w:highlight w:val="none"/>
          <w:lang w:bidi="ar"/>
        </w:rPr>
        <w:t>第四条  项目实施时间要求</w:t>
      </w:r>
      <w:bookmarkEnd w:id="721"/>
      <w:bookmarkEnd w:id="722"/>
      <w:bookmarkEnd w:id="723"/>
      <w:bookmarkEnd w:id="724"/>
      <w:bookmarkEnd w:id="725"/>
      <w:bookmarkEnd w:id="726"/>
      <w:bookmarkEnd w:id="727"/>
    </w:p>
    <w:p w14:paraId="45D810AA">
      <w:pPr>
        <w:pStyle w:val="18"/>
        <w:widowControl w:val="0"/>
        <w:snapToGrid w:val="0"/>
        <w:spacing w:after="0" w:afterAutospacing="0" w:line="48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bidi="ar"/>
        </w:rPr>
        <w:t>乙方在本合同生效之日起【180】个日历日内完成整个项目的实施及自检，系统试运行【90】个日历日，在试运行无问题且乙方按照甲方要求提交全部交付成果，甲方确认无误后，双方可进行项目最终验收。</w:t>
      </w:r>
    </w:p>
    <w:p w14:paraId="3F1F38C7">
      <w:pPr>
        <w:pStyle w:val="18"/>
        <w:widowControl w:val="0"/>
        <w:snapToGrid w:val="0"/>
        <w:spacing w:after="0" w:afterAutospacing="0" w:line="480" w:lineRule="exact"/>
        <w:ind w:left="420" w:firstLine="219" w:firstLineChars="78"/>
        <w:jc w:val="both"/>
        <w:outlineLvl w:val="0"/>
        <w:rPr>
          <w:rFonts w:hint="eastAsia" w:ascii="仿宋" w:hAnsi="仿宋" w:eastAsia="仿宋" w:cs="仿宋"/>
          <w:b/>
          <w:bCs/>
          <w:color w:val="auto"/>
          <w:kern w:val="2"/>
          <w:sz w:val="28"/>
          <w:szCs w:val="28"/>
          <w:highlight w:val="none"/>
        </w:rPr>
      </w:pPr>
      <w:bookmarkStart w:id="728" w:name="_Toc22879"/>
      <w:bookmarkStart w:id="729" w:name="_Toc28445"/>
      <w:bookmarkStart w:id="730" w:name="_Toc7101"/>
      <w:bookmarkStart w:id="731" w:name="_Toc18621"/>
      <w:bookmarkStart w:id="732" w:name="_Toc12842"/>
      <w:bookmarkStart w:id="733" w:name="_Toc26646"/>
      <w:bookmarkStart w:id="734" w:name="_Toc682"/>
      <w:r>
        <w:rPr>
          <w:rFonts w:hint="eastAsia" w:ascii="仿宋" w:hAnsi="仿宋" w:eastAsia="仿宋" w:cs="仿宋"/>
          <w:b/>
          <w:bCs/>
          <w:color w:val="auto"/>
          <w:kern w:val="2"/>
          <w:sz w:val="28"/>
          <w:szCs w:val="28"/>
          <w:highlight w:val="none"/>
          <w:lang w:bidi="ar"/>
        </w:rPr>
        <w:t>第五条 验收要求</w:t>
      </w:r>
      <w:bookmarkEnd w:id="728"/>
      <w:bookmarkEnd w:id="729"/>
      <w:bookmarkEnd w:id="730"/>
      <w:bookmarkEnd w:id="731"/>
      <w:bookmarkEnd w:id="732"/>
      <w:bookmarkEnd w:id="733"/>
      <w:bookmarkEnd w:id="734"/>
    </w:p>
    <w:p w14:paraId="365D1CF5">
      <w:pPr>
        <w:pStyle w:val="18"/>
        <w:widowControl w:val="0"/>
        <w:snapToGrid w:val="0"/>
        <w:spacing w:after="0" w:afterAutospacing="0" w:line="480" w:lineRule="exact"/>
        <w:ind w:left="420" w:firstLine="560" w:firstLineChars="200"/>
        <w:jc w:val="both"/>
        <w:rPr>
          <w:rFonts w:hint="default" w:ascii="仿宋" w:hAnsi="仿宋" w:eastAsia="仿宋" w:cs="仿宋"/>
          <w:color w:val="auto"/>
          <w:kern w:val="2"/>
          <w:sz w:val="28"/>
          <w:szCs w:val="28"/>
          <w:highlight w:val="none"/>
          <w:lang w:val="en-US"/>
        </w:rPr>
      </w:pPr>
      <w:r>
        <w:rPr>
          <w:rFonts w:hint="eastAsia" w:ascii="仿宋" w:hAnsi="仿宋" w:eastAsia="仿宋" w:cs="仿宋"/>
          <w:color w:val="auto"/>
          <w:kern w:val="2"/>
          <w:sz w:val="28"/>
          <w:szCs w:val="28"/>
          <w:highlight w:val="none"/>
          <w:lang w:bidi="ar"/>
        </w:rPr>
        <w:t>1.验收标准：按招标文件中用户需求书、投标文件、本合同及国家</w:t>
      </w:r>
      <w:r>
        <w:rPr>
          <w:rFonts w:hint="eastAsia" w:ascii="仿宋" w:hAnsi="仿宋" w:eastAsia="仿宋" w:cs="仿宋"/>
          <w:color w:val="auto"/>
          <w:kern w:val="2"/>
          <w:sz w:val="28"/>
          <w:szCs w:val="28"/>
          <w:highlight w:val="none"/>
          <w:lang w:val="en-US" w:eastAsia="zh-CN" w:bidi="ar"/>
        </w:rPr>
        <w:t>和东莞市轨道公司施工、防雷、通信等有关</w:t>
      </w:r>
      <w:r>
        <w:rPr>
          <w:rFonts w:hint="eastAsia" w:ascii="仿宋" w:hAnsi="仿宋" w:eastAsia="仿宋" w:cs="仿宋"/>
          <w:color w:val="auto"/>
          <w:kern w:val="2"/>
          <w:sz w:val="28"/>
          <w:szCs w:val="28"/>
          <w:highlight w:val="none"/>
          <w:lang w:bidi="ar"/>
        </w:rPr>
        <w:t>标准</w:t>
      </w:r>
      <w:r>
        <w:rPr>
          <w:rFonts w:hint="eastAsia" w:ascii="仿宋" w:hAnsi="仿宋" w:eastAsia="仿宋" w:cs="仿宋"/>
          <w:color w:val="auto"/>
          <w:kern w:val="2"/>
          <w:sz w:val="28"/>
          <w:szCs w:val="28"/>
          <w:highlight w:val="none"/>
          <w:lang w:val="en-US" w:eastAsia="zh-CN" w:bidi="ar"/>
        </w:rPr>
        <w:t>要求进行验收，确保合法合规。</w:t>
      </w:r>
    </w:p>
    <w:p w14:paraId="49F43B47">
      <w:pPr>
        <w:pStyle w:val="18"/>
        <w:widowControl w:val="0"/>
        <w:snapToGrid w:val="0"/>
        <w:spacing w:after="0" w:afterAutospacing="0" w:line="480" w:lineRule="exact"/>
        <w:ind w:left="42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bidi="ar"/>
        </w:rPr>
        <w:t>2.验收方法：</w:t>
      </w:r>
    </w:p>
    <w:p w14:paraId="6AB9504E">
      <w:pPr>
        <w:pStyle w:val="18"/>
        <w:widowControl w:val="0"/>
        <w:numPr>
          <w:ilvl w:val="0"/>
          <w:numId w:val="5"/>
        </w:numPr>
        <w:snapToGrid w:val="0"/>
        <w:spacing w:after="0" w:afterAutospacing="0" w:line="48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bidi="ar"/>
        </w:rPr>
        <w:t>本项目交工验收采取乙方自检和甲方联合进行（或者委托第三方专业公司）测试、评审的方式进行验收。</w:t>
      </w:r>
    </w:p>
    <w:p w14:paraId="7375F678">
      <w:pPr>
        <w:pStyle w:val="18"/>
        <w:widowControl w:val="0"/>
        <w:numPr>
          <w:ilvl w:val="0"/>
          <w:numId w:val="5"/>
        </w:numPr>
        <w:snapToGrid w:val="0"/>
        <w:spacing w:after="0" w:afterAutospacing="0" w:line="48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bidi="ar"/>
        </w:rPr>
        <w:t>乙方完成整个项目（系统开发、改造、部署、许可，整个系统的集成、测试、联调等项目所有相关工作）的实施，自检通过后向甲方提出最终验收申请，由甲方统筹安排</w:t>
      </w:r>
      <w:r>
        <w:rPr>
          <w:rFonts w:hint="eastAsia" w:ascii="仿宋" w:hAnsi="仿宋" w:eastAsia="仿宋" w:cs="仿宋"/>
          <w:color w:val="auto"/>
          <w:kern w:val="2"/>
          <w:sz w:val="28"/>
          <w:szCs w:val="28"/>
          <w:highlight w:val="none"/>
          <w:lang w:eastAsia="zh-CN" w:bidi="ar"/>
        </w:rPr>
        <w:t>最终</w:t>
      </w:r>
      <w:r>
        <w:rPr>
          <w:rFonts w:hint="eastAsia" w:ascii="仿宋" w:hAnsi="仿宋" w:eastAsia="仿宋" w:cs="仿宋"/>
          <w:color w:val="auto"/>
          <w:kern w:val="2"/>
          <w:sz w:val="28"/>
          <w:szCs w:val="28"/>
          <w:highlight w:val="none"/>
          <w:lang w:bidi="ar"/>
        </w:rPr>
        <w:t>验收工作。</w:t>
      </w:r>
    </w:p>
    <w:p w14:paraId="2BD2999A">
      <w:pPr>
        <w:pStyle w:val="18"/>
        <w:widowControl w:val="0"/>
        <w:numPr>
          <w:ilvl w:val="0"/>
          <w:numId w:val="5"/>
        </w:numPr>
        <w:snapToGrid w:val="0"/>
        <w:spacing w:after="0" w:afterAutospacing="0" w:line="48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bidi="ar"/>
        </w:rPr>
        <w:t>甲方应在收到乙方项目</w:t>
      </w:r>
      <w:r>
        <w:rPr>
          <w:rFonts w:hint="eastAsia" w:ascii="仿宋" w:hAnsi="仿宋" w:eastAsia="仿宋" w:cs="仿宋"/>
          <w:color w:val="auto"/>
          <w:kern w:val="2"/>
          <w:sz w:val="28"/>
          <w:szCs w:val="28"/>
          <w:highlight w:val="none"/>
          <w:lang w:eastAsia="zh-CN" w:bidi="ar"/>
        </w:rPr>
        <w:t>最终</w:t>
      </w:r>
      <w:r>
        <w:rPr>
          <w:rFonts w:hint="eastAsia" w:ascii="仿宋" w:hAnsi="仿宋" w:eastAsia="仿宋" w:cs="仿宋"/>
          <w:color w:val="auto"/>
          <w:kern w:val="2"/>
          <w:sz w:val="28"/>
          <w:szCs w:val="28"/>
          <w:highlight w:val="none"/>
          <w:lang w:bidi="ar"/>
        </w:rPr>
        <w:t>验收申请书后组织项目最终验收工作，形成甲乙双方会签的系统</w:t>
      </w:r>
      <w:r>
        <w:rPr>
          <w:rFonts w:hint="eastAsia" w:ascii="仿宋" w:hAnsi="仿宋" w:eastAsia="仿宋" w:cs="仿宋"/>
          <w:color w:val="auto"/>
          <w:kern w:val="2"/>
          <w:sz w:val="28"/>
          <w:szCs w:val="28"/>
          <w:highlight w:val="none"/>
          <w:lang w:eastAsia="zh-CN" w:bidi="ar"/>
        </w:rPr>
        <w:t>最终</w:t>
      </w:r>
      <w:r>
        <w:rPr>
          <w:rFonts w:hint="eastAsia" w:ascii="仿宋" w:hAnsi="仿宋" w:eastAsia="仿宋" w:cs="仿宋"/>
          <w:color w:val="auto"/>
          <w:kern w:val="2"/>
          <w:sz w:val="28"/>
          <w:szCs w:val="28"/>
          <w:highlight w:val="none"/>
          <w:lang w:bidi="ar"/>
        </w:rPr>
        <w:t>验收报告。如属于乙方原因致使软件未通过系统</w:t>
      </w:r>
      <w:r>
        <w:rPr>
          <w:rFonts w:hint="eastAsia" w:ascii="仿宋" w:hAnsi="仿宋" w:eastAsia="仿宋" w:cs="仿宋"/>
          <w:color w:val="auto"/>
          <w:kern w:val="2"/>
          <w:sz w:val="28"/>
          <w:szCs w:val="28"/>
          <w:highlight w:val="none"/>
          <w:lang w:eastAsia="zh-CN" w:bidi="ar"/>
        </w:rPr>
        <w:t>最终</w:t>
      </w:r>
      <w:r>
        <w:rPr>
          <w:rFonts w:hint="eastAsia" w:ascii="仿宋" w:hAnsi="仿宋" w:eastAsia="仿宋" w:cs="仿宋"/>
          <w:color w:val="auto"/>
          <w:kern w:val="2"/>
          <w:sz w:val="28"/>
          <w:szCs w:val="28"/>
          <w:highlight w:val="none"/>
          <w:lang w:bidi="ar"/>
        </w:rPr>
        <w:t>验收，乙方应排除故障，并承担相关费用，同时相应延长试运行期限，直至系统完全符合验收标准。</w:t>
      </w:r>
    </w:p>
    <w:p w14:paraId="63CCE1E1">
      <w:pPr>
        <w:pStyle w:val="18"/>
        <w:widowControl w:val="0"/>
        <w:snapToGrid w:val="0"/>
        <w:spacing w:after="0" w:afterAutospacing="0" w:line="480" w:lineRule="exact"/>
        <w:ind w:left="420" w:firstLine="560" w:firstLineChars="200"/>
        <w:jc w:val="both"/>
        <w:rPr>
          <w:rFonts w:hint="eastAsia" w:ascii="仿宋" w:hAnsi="仿宋" w:eastAsia="仿宋" w:cs="仿宋"/>
          <w:bCs/>
          <w:color w:val="auto"/>
          <w:kern w:val="2"/>
          <w:sz w:val="28"/>
          <w:szCs w:val="28"/>
          <w:highlight w:val="none"/>
        </w:rPr>
      </w:pPr>
      <w:r>
        <w:rPr>
          <w:rFonts w:hint="eastAsia" w:ascii="仿宋" w:hAnsi="仿宋" w:eastAsia="仿宋" w:cs="仿宋"/>
          <w:color w:val="auto"/>
          <w:kern w:val="2"/>
          <w:sz w:val="28"/>
          <w:szCs w:val="28"/>
          <w:highlight w:val="none"/>
          <w:lang w:bidi="ar"/>
        </w:rPr>
        <w:t>3.</w:t>
      </w:r>
      <w:r>
        <w:rPr>
          <w:rFonts w:hint="eastAsia" w:ascii="仿宋" w:hAnsi="仿宋" w:eastAsia="仿宋" w:cs="仿宋"/>
          <w:bCs/>
          <w:color w:val="auto"/>
          <w:kern w:val="2"/>
          <w:sz w:val="28"/>
          <w:szCs w:val="28"/>
          <w:highlight w:val="none"/>
          <w:lang w:bidi="ar"/>
        </w:rPr>
        <w:t>验收不合格的，乙方应当在【</w:t>
      </w:r>
      <w:r>
        <w:rPr>
          <w:rFonts w:hint="eastAsia" w:ascii="仿宋" w:hAnsi="仿宋" w:eastAsia="仿宋" w:cs="仿宋"/>
          <w:bCs/>
          <w:color w:val="auto"/>
          <w:kern w:val="2"/>
          <w:sz w:val="28"/>
          <w:szCs w:val="28"/>
          <w:highlight w:val="none"/>
          <w:lang w:val="en-US" w:eastAsia="zh-CN" w:bidi="ar"/>
        </w:rPr>
        <w:t>5</w:t>
      </w:r>
      <w:r>
        <w:rPr>
          <w:rFonts w:hint="eastAsia" w:ascii="仿宋" w:hAnsi="仿宋" w:eastAsia="仿宋" w:cs="仿宋"/>
          <w:bCs/>
          <w:color w:val="auto"/>
          <w:kern w:val="2"/>
          <w:sz w:val="28"/>
          <w:szCs w:val="28"/>
          <w:highlight w:val="none"/>
          <w:lang w:bidi="ar"/>
        </w:rPr>
        <w:t>】个工作日内消除不合格情形，并向甲方申请再次验收。乙方连续【</w:t>
      </w:r>
      <w:r>
        <w:rPr>
          <w:rFonts w:hint="eastAsia" w:ascii="仿宋" w:hAnsi="仿宋" w:eastAsia="仿宋" w:cs="仿宋"/>
          <w:bCs/>
          <w:color w:val="auto"/>
          <w:kern w:val="2"/>
          <w:sz w:val="28"/>
          <w:szCs w:val="28"/>
          <w:highlight w:val="none"/>
          <w:lang w:val="en-US" w:eastAsia="zh-CN" w:bidi="ar"/>
        </w:rPr>
        <w:t>3</w:t>
      </w:r>
      <w:r>
        <w:rPr>
          <w:rFonts w:hint="eastAsia" w:ascii="仿宋" w:hAnsi="仿宋" w:eastAsia="仿宋" w:cs="仿宋"/>
          <w:bCs/>
          <w:color w:val="auto"/>
          <w:kern w:val="2"/>
          <w:sz w:val="28"/>
          <w:szCs w:val="28"/>
          <w:highlight w:val="none"/>
          <w:lang w:bidi="ar"/>
        </w:rPr>
        <w:t>】次验收不合格的，甲方有权单方解除本合同，乙方承担违约金及给甲方造成的损失。</w:t>
      </w:r>
    </w:p>
    <w:p w14:paraId="76C15B8B">
      <w:pPr>
        <w:spacing w:line="480" w:lineRule="exact"/>
        <w:ind w:firstLine="840" w:firstLineChars="300"/>
        <w:rPr>
          <w:rFonts w:hint="eastAsia" w:ascii="仿宋" w:hAnsi="仿宋" w:eastAsia="仿宋" w:cs="仿宋"/>
          <w:color w:val="auto"/>
          <w:szCs w:val="21"/>
          <w:highlight w:val="none"/>
        </w:rPr>
      </w:pPr>
      <w:r>
        <w:rPr>
          <w:rFonts w:hint="eastAsia" w:ascii="仿宋" w:hAnsi="仿宋" w:eastAsia="仿宋" w:cs="仿宋"/>
          <w:bCs/>
          <w:color w:val="auto"/>
          <w:sz w:val="28"/>
          <w:szCs w:val="28"/>
          <w:highlight w:val="none"/>
          <w:lang w:bidi="ar"/>
        </w:rPr>
        <w:t>4.验收不合格，甲方有权将款项支付时间向后顺延，直至乙方验收成功后方可向甲方申请付款。</w:t>
      </w:r>
    </w:p>
    <w:p w14:paraId="406E96E2">
      <w:pPr>
        <w:pStyle w:val="18"/>
        <w:widowControl w:val="0"/>
        <w:snapToGrid w:val="0"/>
        <w:spacing w:after="0" w:afterAutospacing="0" w:line="480" w:lineRule="exact"/>
        <w:ind w:left="420" w:leftChars="200" w:firstLine="219" w:firstLineChars="78"/>
        <w:jc w:val="both"/>
        <w:outlineLvl w:val="0"/>
        <w:rPr>
          <w:rFonts w:hint="eastAsia" w:ascii="仿宋" w:hAnsi="仿宋" w:eastAsia="仿宋" w:cs="仿宋"/>
          <w:b/>
          <w:bCs/>
          <w:color w:val="auto"/>
          <w:kern w:val="2"/>
          <w:sz w:val="28"/>
          <w:szCs w:val="28"/>
          <w:highlight w:val="none"/>
        </w:rPr>
      </w:pPr>
      <w:bookmarkStart w:id="735" w:name="_Toc4826"/>
      <w:bookmarkStart w:id="736" w:name="_Toc21068"/>
      <w:bookmarkStart w:id="737" w:name="_Toc3272"/>
      <w:bookmarkStart w:id="738" w:name="_Toc16341"/>
      <w:bookmarkStart w:id="739" w:name="_Toc18442"/>
      <w:bookmarkStart w:id="740" w:name="_Toc7250"/>
      <w:bookmarkStart w:id="741" w:name="_Toc20415"/>
      <w:r>
        <w:rPr>
          <w:rFonts w:hint="eastAsia" w:ascii="仿宋" w:hAnsi="仿宋" w:eastAsia="仿宋" w:cs="仿宋"/>
          <w:b/>
          <w:bCs/>
          <w:color w:val="auto"/>
          <w:kern w:val="2"/>
          <w:sz w:val="28"/>
          <w:szCs w:val="28"/>
          <w:highlight w:val="none"/>
          <w:lang w:bidi="ar"/>
        </w:rPr>
        <w:t>第六条  合同变更</w:t>
      </w:r>
      <w:bookmarkEnd w:id="735"/>
      <w:bookmarkEnd w:id="736"/>
      <w:bookmarkEnd w:id="737"/>
      <w:bookmarkEnd w:id="738"/>
    </w:p>
    <w:p w14:paraId="45A2D141">
      <w:pPr>
        <w:widowControl/>
        <w:spacing w:line="480" w:lineRule="exact"/>
        <w:ind w:firstLine="840" w:firstLineChars="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1.甲方根据工程实际和工程需要，可以在任何时候书面向乙方发出通知，在本合同的一般范围内变更/修改/补充；</w:t>
      </w:r>
    </w:p>
    <w:p w14:paraId="671D4CF1">
      <w:pPr>
        <w:widowControl/>
        <w:spacing w:line="480" w:lineRule="exact"/>
        <w:ind w:firstLine="840" w:firstLineChars="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2.甲方在执行合同期间的任何时间内有权对工程作变更、修改、删除、增加或做其它改变。这些变更应被视为合同的组成部分，乙方应履行这些变更并受同样条件约束；</w:t>
      </w:r>
    </w:p>
    <w:p w14:paraId="12D1065F">
      <w:pPr>
        <w:widowControl/>
        <w:spacing w:line="480" w:lineRule="exact"/>
        <w:ind w:firstLine="840" w:firstLineChars="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3.甲方有权根据实际需要增减工程量。对合同中已有项目的增加或删减，按合同已列明的单价计算调整合同价格；</w:t>
      </w:r>
    </w:p>
    <w:p w14:paraId="288A5F4E">
      <w:pPr>
        <w:widowControl/>
        <w:spacing w:line="480" w:lineRule="exact"/>
        <w:ind w:firstLine="840" w:firstLineChars="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4.如甲方根据本条款要作出合同变更，甲方应将此类变更的性质和方式通知乙方。</w:t>
      </w:r>
    </w:p>
    <w:p w14:paraId="2312FFA7">
      <w:pPr>
        <w:widowControl/>
        <w:spacing w:line="480" w:lineRule="exact"/>
        <w:ind w:firstLine="840" w:firstLineChars="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在收到该通知后，乙方应在十（10）天向甲方提交变更申请报告，内容包括：</w:t>
      </w:r>
    </w:p>
    <w:p w14:paraId="5C065317">
      <w:pPr>
        <w:widowControl/>
        <w:spacing w:line="480" w:lineRule="exact"/>
        <w:ind w:firstLine="840" w:firstLineChars="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）将要实施的工作的说明（如有时）以及工作的实施进度计划；和</w:t>
      </w:r>
    </w:p>
    <w:p w14:paraId="07F7B901">
      <w:pPr>
        <w:widowControl/>
        <w:spacing w:line="480" w:lineRule="exact"/>
        <w:ind w:firstLine="840" w:firstLineChars="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）对进度计划或对本合同项下的乙方义务进行任何必要的修改的建议；和</w:t>
      </w:r>
    </w:p>
    <w:p w14:paraId="0BE6B773">
      <w:pPr>
        <w:widowControl/>
        <w:spacing w:line="480" w:lineRule="exact"/>
        <w:ind w:firstLine="840" w:firstLineChars="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 乙方对合同价格调整的建议。</w:t>
      </w:r>
    </w:p>
    <w:p w14:paraId="23B7F4EB">
      <w:pPr>
        <w:widowControl/>
        <w:spacing w:line="480" w:lineRule="exact"/>
        <w:ind w:firstLine="840" w:firstLineChars="300"/>
        <w:jc w:val="left"/>
        <w:rPr>
          <w:rFonts w:hint="eastAsia" w:ascii="仿宋" w:hAnsi="仿宋" w:eastAsia="仿宋" w:cs="仿宋"/>
          <w:color w:val="auto"/>
          <w:sz w:val="28"/>
          <w:szCs w:val="28"/>
          <w:highlight w:val="none"/>
        </w:rPr>
      </w:pPr>
    </w:p>
    <w:p w14:paraId="6BDFB026">
      <w:pPr>
        <w:pStyle w:val="18"/>
        <w:widowControl w:val="0"/>
        <w:snapToGrid w:val="0"/>
        <w:spacing w:after="0" w:afterAutospacing="0" w:line="480" w:lineRule="exact"/>
        <w:ind w:left="420" w:leftChars="200" w:firstLine="219" w:firstLineChars="78"/>
        <w:jc w:val="both"/>
        <w:outlineLvl w:val="0"/>
        <w:rPr>
          <w:rFonts w:hint="eastAsia" w:ascii="仿宋" w:hAnsi="仿宋" w:eastAsia="仿宋" w:cs="仿宋"/>
          <w:b/>
          <w:bCs/>
          <w:color w:val="auto"/>
          <w:kern w:val="2"/>
          <w:sz w:val="28"/>
          <w:szCs w:val="28"/>
          <w:highlight w:val="none"/>
        </w:rPr>
      </w:pPr>
      <w:bookmarkStart w:id="742" w:name="_Toc26027"/>
      <w:bookmarkStart w:id="743" w:name="_Toc18137"/>
      <w:bookmarkStart w:id="744" w:name="_Toc10562"/>
      <w:bookmarkStart w:id="745" w:name="_Toc20202"/>
      <w:r>
        <w:rPr>
          <w:rFonts w:hint="eastAsia" w:ascii="仿宋" w:hAnsi="仿宋" w:eastAsia="仿宋" w:cs="仿宋"/>
          <w:b/>
          <w:bCs/>
          <w:color w:val="auto"/>
          <w:kern w:val="2"/>
          <w:sz w:val="28"/>
          <w:szCs w:val="28"/>
          <w:highlight w:val="none"/>
          <w:lang w:bidi="ar"/>
        </w:rPr>
        <w:t xml:space="preserve">第七条  </w:t>
      </w:r>
      <w:r>
        <w:rPr>
          <w:rFonts w:hint="eastAsia" w:ascii="仿宋" w:hAnsi="仿宋" w:eastAsia="仿宋" w:cs="仿宋"/>
          <w:b/>
          <w:bCs/>
          <w:color w:val="auto"/>
          <w:kern w:val="2"/>
          <w:sz w:val="28"/>
          <w:szCs w:val="28"/>
          <w:highlight w:val="none"/>
          <w:lang w:val="en-US" w:eastAsia="zh-CN" w:bidi="ar"/>
        </w:rPr>
        <w:t>质保</w:t>
      </w:r>
      <w:r>
        <w:rPr>
          <w:rFonts w:hint="eastAsia" w:ascii="仿宋" w:hAnsi="仿宋" w:eastAsia="仿宋" w:cs="仿宋"/>
          <w:b/>
          <w:bCs/>
          <w:color w:val="auto"/>
          <w:kern w:val="2"/>
          <w:sz w:val="28"/>
          <w:szCs w:val="28"/>
          <w:highlight w:val="none"/>
          <w:lang w:bidi="ar"/>
        </w:rPr>
        <w:t>及售后服务</w:t>
      </w:r>
      <w:bookmarkEnd w:id="739"/>
      <w:bookmarkEnd w:id="740"/>
      <w:bookmarkEnd w:id="741"/>
      <w:bookmarkEnd w:id="742"/>
      <w:bookmarkEnd w:id="743"/>
      <w:bookmarkEnd w:id="744"/>
      <w:bookmarkEnd w:id="745"/>
    </w:p>
    <w:p w14:paraId="5F0248FD">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w:t>
      </w:r>
      <w:r>
        <w:rPr>
          <w:rFonts w:hint="eastAsia" w:ascii="仿宋" w:hAnsi="仿宋" w:eastAsia="仿宋" w:cs="仿宋"/>
          <w:b/>
          <w:bCs/>
          <w:color w:val="auto"/>
          <w:sz w:val="28"/>
          <w:szCs w:val="28"/>
          <w:highlight w:val="none"/>
          <w:lang w:val="en-US" w:eastAsia="zh-CN" w:bidi="ar"/>
        </w:rPr>
        <w:t>质保期</w:t>
      </w:r>
      <w:r>
        <w:rPr>
          <w:rFonts w:hint="eastAsia" w:ascii="仿宋" w:hAnsi="仿宋" w:eastAsia="仿宋" w:cs="仿宋"/>
          <w:color w:val="auto"/>
          <w:sz w:val="28"/>
          <w:szCs w:val="28"/>
          <w:highlight w:val="none"/>
          <w:lang w:bidi="ar"/>
        </w:rPr>
        <w:t>年限为【3】年，从</w:t>
      </w:r>
      <w:r>
        <w:rPr>
          <w:rFonts w:hint="eastAsia" w:ascii="仿宋" w:hAnsi="仿宋" w:eastAsia="仿宋" w:cs="仿宋"/>
          <w:color w:val="auto"/>
          <w:sz w:val="28"/>
          <w:szCs w:val="28"/>
          <w:highlight w:val="none"/>
          <w:lang w:val="en-US" w:eastAsia="zh-CN" w:bidi="ar"/>
        </w:rPr>
        <w:t>预</w:t>
      </w:r>
      <w:r>
        <w:rPr>
          <w:rFonts w:hint="eastAsia" w:ascii="仿宋" w:hAnsi="仿宋" w:eastAsia="仿宋" w:cs="仿宋"/>
          <w:color w:val="auto"/>
          <w:sz w:val="28"/>
          <w:szCs w:val="28"/>
          <w:highlight w:val="none"/>
          <w:lang w:bidi="ar"/>
        </w:rPr>
        <w:t>验收合格开始之日起算。</w:t>
      </w:r>
      <w:r>
        <w:rPr>
          <w:rFonts w:hint="eastAsia" w:ascii="仿宋" w:hAnsi="仿宋" w:eastAsia="仿宋" w:cs="仿宋"/>
          <w:color w:val="auto"/>
          <w:sz w:val="28"/>
          <w:szCs w:val="28"/>
          <w:highlight w:val="none"/>
          <w:lang w:val="en-US" w:eastAsia="zh-CN" w:bidi="ar"/>
        </w:rPr>
        <w:t>质保期间</w:t>
      </w:r>
      <w:r>
        <w:rPr>
          <w:rFonts w:hint="eastAsia" w:ascii="仿宋" w:hAnsi="仿宋" w:eastAsia="仿宋" w:cs="仿宋"/>
          <w:color w:val="auto"/>
          <w:sz w:val="28"/>
          <w:szCs w:val="28"/>
          <w:highlight w:val="none"/>
          <w:lang w:bidi="ar"/>
        </w:rPr>
        <w:t>内乙方应免费提供软件、硬件、设施设备的质量缺陷修复和免费维保等服务</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val="en-US" w:eastAsia="zh-CN" w:bidi="ar"/>
        </w:rPr>
        <w:t>人员培训、办理证书、飞行空域申请和计划申报、</w:t>
      </w:r>
      <w:r>
        <w:rPr>
          <w:rFonts w:hint="eastAsia" w:ascii="仿宋" w:hAnsi="仿宋" w:eastAsia="仿宋" w:cs="仿宋"/>
          <w:bCs/>
          <w:color w:val="auto"/>
          <w:sz w:val="28"/>
          <w:szCs w:val="28"/>
          <w:highlight w:val="none"/>
          <w:lang w:val="en-US" w:eastAsia="zh-CN"/>
        </w:rPr>
        <w:t>无人机场和无人机维护、系统维护和相关辅材配件等，</w:t>
      </w:r>
      <w:r>
        <w:rPr>
          <w:rFonts w:hint="eastAsia" w:ascii="仿宋" w:hAnsi="仿宋" w:eastAsia="仿宋" w:cs="仿宋"/>
          <w:color w:val="auto"/>
          <w:sz w:val="28"/>
          <w:szCs w:val="28"/>
          <w:highlight w:val="none"/>
          <w:lang w:bidi="ar"/>
        </w:rPr>
        <w:t>提供免费服务以纠正、修复或更换制造和设计上的缺陷，应完善制造和设计上疏漏的内容，</w:t>
      </w:r>
      <w:r>
        <w:rPr>
          <w:rFonts w:hint="eastAsia" w:ascii="仿宋" w:hAnsi="仿宋" w:eastAsia="仿宋" w:cs="仿宋"/>
          <w:color w:val="auto"/>
          <w:sz w:val="28"/>
          <w:szCs w:val="28"/>
          <w:highlight w:val="none"/>
          <w:lang w:val="en-US" w:eastAsia="zh-CN" w:bidi="ar"/>
        </w:rPr>
        <w:t>确保系统的稳定性，保证设备的正常运行，和相关配件辅材等一切项目相关的费用，</w:t>
      </w:r>
      <w:r>
        <w:rPr>
          <w:rFonts w:hint="eastAsia" w:ascii="仿宋" w:hAnsi="仿宋" w:eastAsia="仿宋" w:cs="仿宋"/>
          <w:color w:val="auto"/>
          <w:sz w:val="28"/>
          <w:szCs w:val="28"/>
          <w:highlight w:val="none"/>
          <w:lang w:bidi="ar"/>
        </w:rPr>
        <w:t>由此引起的额外费用全部由乙方负担，并在</w:t>
      </w:r>
      <w:r>
        <w:rPr>
          <w:rFonts w:hint="eastAsia" w:ascii="仿宋" w:hAnsi="仿宋" w:eastAsia="仿宋" w:cs="仿宋"/>
          <w:color w:val="auto"/>
          <w:sz w:val="28"/>
          <w:szCs w:val="28"/>
          <w:highlight w:val="none"/>
          <w:lang w:val="en-US" w:eastAsia="zh-CN" w:bidi="ar"/>
        </w:rPr>
        <w:t>质保期</w:t>
      </w:r>
      <w:r>
        <w:rPr>
          <w:rFonts w:hint="eastAsia" w:ascii="仿宋" w:hAnsi="仿宋" w:eastAsia="仿宋" w:cs="仿宋"/>
          <w:color w:val="auto"/>
          <w:sz w:val="28"/>
          <w:szCs w:val="28"/>
          <w:highlight w:val="none"/>
          <w:lang w:bidi="ar"/>
        </w:rPr>
        <w:t>内提供软件功能的升级、功能应用扩展、系统集成开发等服务。</w:t>
      </w:r>
      <w:r>
        <w:rPr>
          <w:rFonts w:hint="eastAsia" w:ascii="仿宋" w:hAnsi="仿宋" w:eastAsia="仿宋" w:cs="仿宋"/>
          <w:color w:val="auto"/>
          <w:sz w:val="28"/>
          <w:szCs w:val="28"/>
          <w:highlight w:val="none"/>
          <w:lang w:val="en-US" w:eastAsia="zh-CN" w:bidi="ar"/>
        </w:rPr>
        <w:t>质保期间</w:t>
      </w:r>
      <w:r>
        <w:rPr>
          <w:rFonts w:hint="eastAsia" w:ascii="仿宋" w:hAnsi="仿宋" w:eastAsia="仿宋" w:cs="仿宋"/>
          <w:color w:val="auto"/>
          <w:sz w:val="28"/>
          <w:szCs w:val="28"/>
          <w:highlight w:val="none"/>
          <w:lang w:bidi="ar"/>
        </w:rPr>
        <w:t>内甲方无需向乙方支付任何费用。</w:t>
      </w:r>
    </w:p>
    <w:p w14:paraId="31BCC3C1">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w:t>
      </w:r>
      <w:r>
        <w:rPr>
          <w:rFonts w:hint="eastAsia" w:ascii="仿宋" w:hAnsi="仿宋" w:eastAsia="仿宋" w:cs="仿宋"/>
          <w:color w:val="auto"/>
          <w:sz w:val="28"/>
          <w:szCs w:val="28"/>
          <w:highlight w:val="none"/>
          <w:lang w:val="en-US" w:eastAsia="zh-CN" w:bidi="ar"/>
        </w:rPr>
        <w:t>售后服务</w:t>
      </w:r>
      <w:r>
        <w:rPr>
          <w:rFonts w:hint="eastAsia" w:ascii="仿宋" w:hAnsi="仿宋" w:eastAsia="仿宋" w:cs="仿宋"/>
          <w:color w:val="auto"/>
          <w:sz w:val="28"/>
          <w:szCs w:val="28"/>
          <w:highlight w:val="none"/>
          <w:lang w:bidi="ar"/>
        </w:rPr>
        <w:t>方式包括</w:t>
      </w:r>
      <w:r>
        <w:rPr>
          <w:rFonts w:hint="eastAsia" w:ascii="仿宋" w:hAnsi="仿宋" w:eastAsia="仿宋" w:cs="仿宋"/>
          <w:color w:val="auto"/>
          <w:sz w:val="28"/>
          <w:szCs w:val="28"/>
          <w:highlight w:val="none"/>
          <w:lang w:val="en-US" w:eastAsia="zh-CN" w:bidi="ar"/>
        </w:rPr>
        <w:t>24小时全天候</w:t>
      </w:r>
      <w:r>
        <w:rPr>
          <w:rFonts w:hint="eastAsia" w:ascii="仿宋" w:hAnsi="仿宋" w:eastAsia="仿宋" w:cs="仿宋"/>
          <w:color w:val="auto"/>
          <w:sz w:val="28"/>
          <w:szCs w:val="28"/>
          <w:highlight w:val="none"/>
          <w:lang w:bidi="ar"/>
        </w:rPr>
        <w:t>电话支持、现场响应、优先级服务、远程电话拨入分析、专门客户支持等。</w:t>
      </w:r>
    </w:p>
    <w:p w14:paraId="1DAFCD05">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w:t>
      </w:r>
      <w:r>
        <w:rPr>
          <w:rFonts w:hint="eastAsia" w:ascii="仿宋" w:hAnsi="仿宋" w:eastAsia="仿宋" w:cs="仿宋"/>
          <w:color w:val="auto"/>
          <w:sz w:val="28"/>
          <w:szCs w:val="28"/>
          <w:highlight w:val="none"/>
          <w:lang w:val="en-US" w:eastAsia="zh-CN" w:bidi="ar"/>
        </w:rPr>
        <w:t>质保期间</w:t>
      </w:r>
      <w:r>
        <w:rPr>
          <w:rFonts w:hint="eastAsia" w:ascii="仿宋" w:hAnsi="仿宋" w:eastAsia="仿宋" w:cs="仿宋"/>
          <w:color w:val="auto"/>
          <w:sz w:val="28"/>
          <w:szCs w:val="28"/>
          <w:highlight w:val="none"/>
          <w:lang w:bidi="ar"/>
        </w:rPr>
        <w:t>内，当甲方提出售后服务</w:t>
      </w:r>
      <w:r>
        <w:rPr>
          <w:rFonts w:hint="eastAsia" w:ascii="仿宋" w:hAnsi="仿宋" w:eastAsia="仿宋" w:cs="仿宋"/>
          <w:color w:val="auto"/>
          <w:sz w:val="28"/>
          <w:szCs w:val="28"/>
          <w:highlight w:val="none"/>
          <w:lang w:val="en-US" w:eastAsia="zh-CN" w:bidi="ar"/>
        </w:rPr>
        <w:t>要</w:t>
      </w:r>
      <w:r>
        <w:rPr>
          <w:rFonts w:hint="eastAsia" w:ascii="仿宋" w:hAnsi="仿宋" w:eastAsia="仿宋" w:cs="仿宋"/>
          <w:color w:val="auto"/>
          <w:sz w:val="28"/>
          <w:szCs w:val="28"/>
          <w:highlight w:val="none"/>
          <w:lang w:bidi="ar"/>
        </w:rPr>
        <w:t>求，乙方必须在2小时内给予解决方案，如需到达现场，应在24小时内到达现场。在重大紧急情况下，乙方应在4小时内到达现场，8小时内解决问题。如乙方无法在约定时间内解决问题或提出相应的解决方案等，甲方有权委托第三方进行</w:t>
      </w:r>
      <w:r>
        <w:rPr>
          <w:rFonts w:hint="eastAsia" w:ascii="仿宋" w:hAnsi="仿宋" w:eastAsia="仿宋" w:cs="仿宋"/>
          <w:color w:val="auto"/>
          <w:sz w:val="28"/>
          <w:szCs w:val="28"/>
          <w:highlight w:val="none"/>
          <w:lang w:val="en-US" w:eastAsia="zh-CN" w:bidi="ar"/>
        </w:rPr>
        <w:t>处理</w:t>
      </w:r>
      <w:r>
        <w:rPr>
          <w:rFonts w:hint="eastAsia" w:ascii="仿宋" w:hAnsi="仿宋" w:eastAsia="仿宋" w:cs="仿宋"/>
          <w:color w:val="auto"/>
          <w:sz w:val="28"/>
          <w:szCs w:val="28"/>
          <w:highlight w:val="none"/>
          <w:lang w:bidi="ar"/>
        </w:rPr>
        <w:t>，所产生的费用由乙方承担。</w:t>
      </w:r>
    </w:p>
    <w:p w14:paraId="61AD7066">
      <w:pPr>
        <w:spacing w:line="480" w:lineRule="exact"/>
        <w:ind w:firstLine="560" w:firstLineChars="200"/>
        <w:rPr>
          <w:rFonts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4.如乙方开发的软件系统有明显瑕疵或是隐含缺陷显现或因专利问题，给甲方造成损失的，不论软件系统是否在质保期，乙方都有义务及时排除障碍，并承担相应的违约责任。</w:t>
      </w:r>
    </w:p>
    <w:p w14:paraId="1E33C720">
      <w:pPr>
        <w:spacing w:line="480" w:lineRule="exact"/>
        <w:ind w:firstLine="560" w:firstLineChars="200"/>
        <w:rPr>
          <w:rFonts w:ascii="仿宋" w:hAnsi="仿宋" w:eastAsia="仿宋"/>
          <w:color w:val="auto"/>
          <w:sz w:val="28"/>
          <w:szCs w:val="28"/>
          <w:highlight w:val="none"/>
        </w:rPr>
      </w:pPr>
      <w:r>
        <w:rPr>
          <w:rFonts w:hint="eastAsia" w:ascii="仿宋" w:hAnsi="仿宋" w:eastAsia="仿宋" w:cs="仿宋"/>
          <w:color w:val="auto"/>
          <w:sz w:val="28"/>
          <w:szCs w:val="28"/>
          <w:highlight w:val="none"/>
          <w:lang w:bidi="ar"/>
        </w:rPr>
        <w:t>5.</w:t>
      </w:r>
      <w:r>
        <w:rPr>
          <w:rFonts w:hint="eastAsia" w:ascii="仿宋" w:hAnsi="仿宋" w:eastAsia="仿宋"/>
          <w:color w:val="auto"/>
          <w:sz w:val="28"/>
          <w:szCs w:val="28"/>
          <w:highlight w:val="none"/>
        </w:rPr>
        <w:t xml:space="preserve"> </w:t>
      </w:r>
      <w:r>
        <w:rPr>
          <w:rFonts w:hint="eastAsia" w:ascii="仿宋" w:hAnsi="仿宋" w:eastAsia="仿宋" w:cs="仿宋"/>
          <w:b/>
          <w:bCs/>
          <w:color w:val="auto"/>
          <w:kern w:val="2"/>
          <w:sz w:val="28"/>
          <w:szCs w:val="28"/>
          <w:highlight w:val="none"/>
          <w:lang w:val="en-US" w:eastAsia="zh-CN" w:bidi="ar"/>
        </w:rPr>
        <w:t>质保期</w:t>
      </w:r>
      <w:r>
        <w:rPr>
          <w:rFonts w:hint="eastAsia" w:ascii="仿宋" w:hAnsi="仿宋" w:eastAsia="仿宋"/>
          <w:color w:val="auto"/>
          <w:sz w:val="28"/>
          <w:szCs w:val="28"/>
          <w:highlight w:val="none"/>
        </w:rPr>
        <w:t>满后，</w:t>
      </w:r>
      <w:r>
        <w:rPr>
          <w:rFonts w:hint="eastAsia" w:ascii="仿宋" w:hAnsi="仿宋" w:eastAsia="仿宋"/>
          <w:color w:val="auto"/>
          <w:sz w:val="28"/>
          <w:szCs w:val="28"/>
          <w:highlight w:val="none"/>
          <w:lang w:val="en-US" w:eastAsia="zh-CN"/>
        </w:rPr>
        <w:t>如甲方仍需</w:t>
      </w:r>
      <w:r>
        <w:rPr>
          <w:rFonts w:hint="eastAsia" w:ascii="仿宋" w:hAnsi="仿宋" w:eastAsia="仿宋"/>
          <w:color w:val="auto"/>
          <w:sz w:val="28"/>
          <w:szCs w:val="28"/>
          <w:highlight w:val="none"/>
        </w:rPr>
        <w:t>乙方对软件系统</w:t>
      </w:r>
      <w:r>
        <w:rPr>
          <w:rFonts w:hint="eastAsia" w:ascii="仿宋" w:hAnsi="仿宋" w:eastAsia="仿宋"/>
          <w:color w:val="auto"/>
          <w:sz w:val="28"/>
          <w:szCs w:val="28"/>
          <w:highlight w:val="none"/>
          <w:lang w:val="en-US" w:eastAsia="zh-CN"/>
        </w:rPr>
        <w:t>或设备</w:t>
      </w:r>
      <w:r>
        <w:rPr>
          <w:rFonts w:hint="eastAsia" w:ascii="仿宋" w:hAnsi="仿宋" w:eastAsia="仿宋"/>
          <w:color w:val="auto"/>
          <w:sz w:val="28"/>
          <w:szCs w:val="28"/>
          <w:highlight w:val="none"/>
        </w:rPr>
        <w:t>进行基础维护</w:t>
      </w:r>
      <w:r>
        <w:rPr>
          <w:rFonts w:hint="eastAsia" w:ascii="仿宋" w:hAnsi="仿宋" w:eastAsia="仿宋"/>
          <w:color w:val="auto"/>
          <w:sz w:val="28"/>
          <w:szCs w:val="28"/>
          <w:highlight w:val="none"/>
          <w:lang w:val="en-US" w:eastAsia="zh-CN"/>
        </w:rPr>
        <w:t>或</w:t>
      </w:r>
      <w:r>
        <w:rPr>
          <w:rFonts w:hint="eastAsia" w:ascii="仿宋" w:hAnsi="仿宋" w:eastAsia="仿宋"/>
          <w:color w:val="auto"/>
          <w:sz w:val="28"/>
          <w:szCs w:val="28"/>
          <w:highlight w:val="none"/>
        </w:rPr>
        <w:t>更新替代</w:t>
      </w:r>
      <w:r>
        <w:rPr>
          <w:rFonts w:hint="eastAsia" w:ascii="仿宋" w:hAnsi="仿宋" w:eastAsia="仿宋"/>
          <w:color w:val="auto"/>
          <w:sz w:val="28"/>
          <w:szCs w:val="28"/>
          <w:highlight w:val="none"/>
          <w:lang w:val="en-US" w:eastAsia="zh-CN"/>
        </w:rPr>
        <w:t>或技术支持等工作</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乙方须无条件配合，费用由甲方承担。</w:t>
      </w:r>
    </w:p>
    <w:p w14:paraId="52EF8005">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olor w:val="auto"/>
          <w:sz w:val="28"/>
          <w:szCs w:val="28"/>
          <w:highlight w:val="none"/>
        </w:rPr>
        <w:t>6.如1号线</w:t>
      </w:r>
      <w:r>
        <w:rPr>
          <w:rFonts w:ascii="仿宋" w:hAnsi="仿宋" w:eastAsia="仿宋"/>
          <w:color w:val="auto"/>
          <w:sz w:val="28"/>
          <w:szCs w:val="28"/>
          <w:highlight w:val="none"/>
        </w:rPr>
        <w:t>二、三期</w:t>
      </w:r>
      <w:r>
        <w:rPr>
          <w:rFonts w:hint="eastAsia" w:ascii="仿宋" w:hAnsi="仿宋" w:eastAsia="仿宋"/>
          <w:color w:val="auto"/>
          <w:sz w:val="28"/>
          <w:szCs w:val="28"/>
          <w:highlight w:val="none"/>
          <w:lang w:eastAsia="zh-CN"/>
        </w:rPr>
        <w:t>和</w:t>
      </w:r>
      <w:r>
        <w:rPr>
          <w:rFonts w:hint="eastAsia" w:ascii="仿宋" w:hAnsi="仿宋" w:eastAsia="仿宋"/>
          <w:color w:val="auto"/>
          <w:sz w:val="28"/>
          <w:szCs w:val="28"/>
          <w:highlight w:val="none"/>
          <w:lang w:val="en-US" w:eastAsia="zh-CN"/>
        </w:rPr>
        <w:t>远期建设线路若</w:t>
      </w:r>
      <w:r>
        <w:rPr>
          <w:rFonts w:hint="eastAsia" w:ascii="仿宋" w:hAnsi="仿宋" w:eastAsia="仿宋"/>
          <w:color w:val="auto"/>
          <w:sz w:val="28"/>
          <w:szCs w:val="28"/>
          <w:highlight w:val="none"/>
        </w:rPr>
        <w:t>涉及综合管理系统及无人机并入无人机巡查系统运行的</w:t>
      </w:r>
      <w:r>
        <w:rPr>
          <w:rFonts w:hint="eastAsia" w:ascii="仿宋" w:hAnsi="仿宋" w:eastAsia="仿宋"/>
          <w:color w:val="auto"/>
          <w:sz w:val="28"/>
          <w:szCs w:val="28"/>
          <w:highlight w:val="none"/>
          <w:lang w:eastAsia="zh-CN"/>
        </w:rPr>
        <w:t>接入</w:t>
      </w:r>
      <w:r>
        <w:rPr>
          <w:rFonts w:hint="eastAsia" w:ascii="仿宋" w:hAnsi="仿宋" w:eastAsia="仿宋"/>
          <w:color w:val="auto"/>
          <w:sz w:val="28"/>
          <w:szCs w:val="28"/>
          <w:highlight w:val="none"/>
        </w:rPr>
        <w:t>工作在</w:t>
      </w:r>
      <w:r>
        <w:rPr>
          <w:rFonts w:hint="eastAsia" w:ascii="仿宋" w:hAnsi="仿宋" w:eastAsia="仿宋" w:cs="仿宋"/>
          <w:b/>
          <w:bCs/>
          <w:color w:val="auto"/>
          <w:kern w:val="2"/>
          <w:sz w:val="28"/>
          <w:szCs w:val="28"/>
          <w:highlight w:val="none"/>
          <w:lang w:val="en-US" w:eastAsia="zh-CN" w:bidi="ar"/>
        </w:rPr>
        <w:t>质保期</w:t>
      </w:r>
      <w:r>
        <w:rPr>
          <w:rFonts w:hint="eastAsia" w:ascii="仿宋" w:hAnsi="仿宋" w:eastAsia="仿宋"/>
          <w:color w:val="auto"/>
          <w:sz w:val="28"/>
          <w:szCs w:val="28"/>
          <w:highlight w:val="none"/>
        </w:rPr>
        <w:t>满后实施，乙方必须无偿按照甲方要求</w:t>
      </w:r>
      <w:r>
        <w:rPr>
          <w:rFonts w:hint="eastAsia" w:ascii="仿宋" w:hAnsi="仿宋" w:eastAsia="仿宋"/>
          <w:color w:val="auto"/>
          <w:sz w:val="28"/>
          <w:szCs w:val="28"/>
          <w:highlight w:val="none"/>
          <w:lang w:val="en-US" w:eastAsia="zh-CN"/>
        </w:rPr>
        <w:t>进行配合</w:t>
      </w:r>
      <w:r>
        <w:rPr>
          <w:rFonts w:hint="eastAsia" w:ascii="仿宋" w:hAnsi="仿宋" w:eastAsia="仿宋"/>
          <w:color w:val="auto"/>
          <w:sz w:val="28"/>
          <w:szCs w:val="28"/>
          <w:highlight w:val="none"/>
        </w:rPr>
        <w:t>，并确保系统正常运行。</w:t>
      </w:r>
    </w:p>
    <w:p w14:paraId="2717C119">
      <w:pPr>
        <w:spacing w:line="480" w:lineRule="exact"/>
        <w:ind w:firstLine="562" w:firstLineChars="200"/>
        <w:outlineLvl w:val="0"/>
        <w:rPr>
          <w:rFonts w:hint="eastAsia" w:ascii="仿宋" w:hAnsi="仿宋" w:eastAsia="仿宋" w:cs="仿宋"/>
          <w:b/>
          <w:color w:val="auto"/>
          <w:sz w:val="28"/>
          <w:szCs w:val="28"/>
          <w:highlight w:val="none"/>
        </w:rPr>
      </w:pPr>
      <w:bookmarkStart w:id="746" w:name="_Toc19800"/>
      <w:bookmarkStart w:id="747" w:name="_Toc24739"/>
      <w:bookmarkStart w:id="748" w:name="_Toc27895"/>
      <w:bookmarkStart w:id="749" w:name="_Toc29607"/>
      <w:bookmarkStart w:id="750" w:name="_Toc14696"/>
      <w:bookmarkStart w:id="751" w:name="_Toc11065"/>
      <w:bookmarkStart w:id="752" w:name="_Toc1571"/>
      <w:r>
        <w:rPr>
          <w:rFonts w:hint="eastAsia" w:ascii="仿宋" w:hAnsi="仿宋" w:eastAsia="仿宋" w:cs="仿宋"/>
          <w:b/>
          <w:color w:val="auto"/>
          <w:sz w:val="28"/>
          <w:szCs w:val="28"/>
          <w:highlight w:val="none"/>
          <w:lang w:bidi="ar"/>
        </w:rPr>
        <w:t>第八条  双方的权利与义务</w:t>
      </w:r>
      <w:bookmarkEnd w:id="746"/>
      <w:bookmarkEnd w:id="747"/>
      <w:bookmarkEnd w:id="748"/>
      <w:bookmarkEnd w:id="749"/>
      <w:bookmarkEnd w:id="750"/>
      <w:bookmarkEnd w:id="751"/>
      <w:bookmarkEnd w:id="752"/>
    </w:p>
    <w:p w14:paraId="6E2C9DC9">
      <w:pPr>
        <w:widowControl w:val="0"/>
        <w:snapToGrid w:val="0"/>
        <w:spacing w:after="0" w:afterAutospacing="0" w:line="480" w:lineRule="exact"/>
        <w:ind w:firstLine="638" w:firstLineChars="228"/>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（一）甲方的权利与义务</w:t>
      </w:r>
    </w:p>
    <w:p w14:paraId="155A1778">
      <w:pPr>
        <w:widowControl w:val="0"/>
        <w:snapToGrid/>
        <w:spacing w:after="0" w:afterAutospacing="0" w:line="480" w:lineRule="exact"/>
        <w:ind w:firstLine="638" w:firstLineChars="228"/>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1.甲方应在本合同生效后【</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】个工作日内向乙方提供本项目研发所必须的技术资料。</w:t>
      </w:r>
    </w:p>
    <w:p w14:paraId="2D3D84AB">
      <w:pPr>
        <w:widowControl w:val="0"/>
        <w:snapToGrid/>
        <w:spacing w:after="0" w:afterAutospacing="0" w:line="480" w:lineRule="exact"/>
        <w:ind w:firstLine="638" w:firstLineChars="228"/>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2.甲方</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提供清晰、完整、有效的技术资料。如</w:t>
      </w:r>
      <w:r>
        <w:rPr>
          <w:rFonts w:hint="eastAsia" w:ascii="仿宋" w:hAnsi="仿宋" w:eastAsia="仿宋" w:cs="仿宋"/>
          <w:color w:val="auto"/>
          <w:sz w:val="28"/>
          <w:szCs w:val="28"/>
          <w:highlight w:val="none"/>
          <w:lang w:val="en-US" w:eastAsia="zh-CN"/>
        </w:rPr>
        <w:t>乙方对资料有疑问或补充，</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须进行配合</w:t>
      </w:r>
      <w:r>
        <w:rPr>
          <w:rFonts w:hint="eastAsia" w:ascii="仿宋" w:hAnsi="仿宋" w:eastAsia="仿宋" w:cs="仿宋"/>
          <w:color w:val="auto"/>
          <w:sz w:val="28"/>
          <w:szCs w:val="28"/>
          <w:highlight w:val="none"/>
        </w:rPr>
        <w:t>。</w:t>
      </w:r>
    </w:p>
    <w:p w14:paraId="10CE09B3">
      <w:pPr>
        <w:spacing w:line="480" w:lineRule="exact"/>
        <w:ind w:firstLine="638" w:firstLineChars="22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3.指派专人及时负责本项目相关工作。</w:t>
      </w:r>
    </w:p>
    <w:p w14:paraId="1D5053EF">
      <w:pPr>
        <w:spacing w:line="480" w:lineRule="exact"/>
        <w:ind w:firstLine="638" w:firstLineChars="22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4.在规定期限内向乙方按本合同支付费用。</w:t>
      </w:r>
    </w:p>
    <w:p w14:paraId="2D8B293C">
      <w:pPr>
        <w:pStyle w:val="18"/>
        <w:widowControl w:val="0"/>
        <w:snapToGrid w:val="0"/>
        <w:spacing w:after="0" w:afterAutospacing="0" w:line="48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bidi="ar"/>
        </w:rPr>
        <w:t>（二）乙方的权利与义务</w:t>
      </w:r>
    </w:p>
    <w:p w14:paraId="4949D3A0">
      <w:pPr>
        <w:widowControl w:val="0"/>
        <w:snapToGrid/>
        <w:spacing w:after="0" w:afterAutospacing="0" w:line="480" w:lineRule="exact"/>
        <w:ind w:firstLine="638" w:firstLineChars="228"/>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1.按照招标文件及本合同规定的范围、工期、附件等，实施本项目。甲方提出需求及整改要求的，乙方应当及时响应。</w:t>
      </w:r>
    </w:p>
    <w:p w14:paraId="7B710762">
      <w:pPr>
        <w:widowControl w:val="0"/>
        <w:snapToGrid/>
        <w:spacing w:after="0" w:afterAutospacing="0" w:line="480" w:lineRule="exact"/>
        <w:ind w:firstLine="638" w:firstLineChars="228"/>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2.乙方按照本合同约定及甲方提出的需求，配备足够的技术人员，按时按量完成全部服务工作并通过甲方</w:t>
      </w:r>
      <w:r>
        <w:rPr>
          <w:rFonts w:hint="eastAsia" w:ascii="仿宋" w:hAnsi="仿宋" w:eastAsia="仿宋" w:cs="仿宋"/>
          <w:color w:val="auto"/>
          <w:sz w:val="28"/>
          <w:szCs w:val="28"/>
          <w:highlight w:val="none"/>
          <w:lang w:eastAsia="zh-CN"/>
        </w:rPr>
        <w:t>最终</w:t>
      </w:r>
      <w:r>
        <w:rPr>
          <w:rFonts w:hint="eastAsia" w:ascii="仿宋" w:hAnsi="仿宋" w:eastAsia="仿宋" w:cs="仿宋"/>
          <w:color w:val="auto"/>
          <w:sz w:val="28"/>
          <w:szCs w:val="28"/>
          <w:highlight w:val="none"/>
        </w:rPr>
        <w:t>验收。</w:t>
      </w:r>
    </w:p>
    <w:p w14:paraId="2E50F0EA">
      <w:pPr>
        <w:widowControl w:val="0"/>
        <w:snapToGrid/>
        <w:spacing w:after="0" w:afterAutospacing="0" w:line="480" w:lineRule="exact"/>
        <w:ind w:firstLine="638" w:firstLineChars="228"/>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3.服务期间，乙方及派驻人员应遵守甲方及相关单位的管理制度，乙方应对其派驻人员人身、财产安全负责，乙方及派驻人员违法、违规行为所造成的损失，由乙方承担全部责任。</w:t>
      </w:r>
    </w:p>
    <w:p w14:paraId="4C18BCD0">
      <w:pPr>
        <w:widowControl w:val="0"/>
        <w:snapToGrid/>
        <w:spacing w:after="0" w:afterAutospacing="0" w:line="480" w:lineRule="exact"/>
        <w:ind w:firstLine="638" w:firstLineChars="228"/>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乙方应为其派驻人员购买【社保】和【意外保险】。乙方人员不论何时何地因工作致伤、致残、致死或发生意外事故、患病、非因工死亡等，由乙方按有关规定处理并承担责任，与甲方无关。因乙方没有为工作人员缴纳保险费用或办理待遇申领手续而造成的损失，由乙方承担；超出保险范围的赔偿责任由乙方承担，与甲方无关。</w:t>
      </w:r>
    </w:p>
    <w:p w14:paraId="45AB619F">
      <w:pPr>
        <w:widowControl w:val="0"/>
        <w:snapToGrid/>
        <w:spacing w:after="0" w:afterAutospacing="0" w:line="480" w:lineRule="exact"/>
        <w:ind w:firstLine="638" w:firstLineChars="228"/>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5.服务期间所需技术工具、设备等由乙方负责，所需费用由乙方承担。</w:t>
      </w:r>
    </w:p>
    <w:p w14:paraId="45C70CD7">
      <w:pPr>
        <w:spacing w:line="480" w:lineRule="exact"/>
        <w:ind w:firstLine="638" w:firstLineChars="228"/>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6.质保期间，乙方包括但不限于对用户需求书中的人员培训取证、办理证书、飞行空域申请和计划申报、无人机场和无人机维护、系统维护和相关辅材配件等作出响应，所需费用由乙方承担。</w:t>
      </w:r>
    </w:p>
    <w:p w14:paraId="1AA0CE21">
      <w:pPr>
        <w:spacing w:line="480" w:lineRule="exact"/>
        <w:ind w:firstLine="638" w:firstLineChars="22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.其他：</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1B85AFD9">
      <w:pPr>
        <w:spacing w:line="480" w:lineRule="exact"/>
        <w:ind w:firstLine="562" w:firstLineChars="200"/>
        <w:outlineLvl w:val="0"/>
        <w:rPr>
          <w:rFonts w:hint="eastAsia" w:ascii="仿宋" w:hAnsi="仿宋" w:eastAsia="仿宋" w:cs="仿宋"/>
          <w:b/>
          <w:bCs/>
          <w:color w:val="auto"/>
          <w:sz w:val="28"/>
          <w:szCs w:val="28"/>
          <w:highlight w:val="none"/>
        </w:rPr>
      </w:pPr>
      <w:bookmarkStart w:id="753" w:name="_Toc32304"/>
      <w:bookmarkStart w:id="754" w:name="_Toc31157"/>
      <w:bookmarkStart w:id="755" w:name="_Toc11885"/>
      <w:bookmarkStart w:id="756" w:name="_Toc15365"/>
      <w:bookmarkStart w:id="757" w:name="_Toc24220"/>
      <w:bookmarkStart w:id="758" w:name="_Toc24458"/>
      <w:bookmarkStart w:id="759" w:name="_Toc23372"/>
      <w:r>
        <w:rPr>
          <w:rFonts w:hint="eastAsia" w:ascii="仿宋" w:hAnsi="仿宋" w:eastAsia="仿宋" w:cs="仿宋"/>
          <w:b/>
          <w:bCs/>
          <w:color w:val="auto"/>
          <w:sz w:val="28"/>
          <w:szCs w:val="28"/>
          <w:highlight w:val="none"/>
          <w:lang w:bidi="ar"/>
        </w:rPr>
        <w:t>第九条  保密</w:t>
      </w:r>
      <w:bookmarkEnd w:id="753"/>
      <w:bookmarkEnd w:id="754"/>
      <w:bookmarkEnd w:id="755"/>
      <w:bookmarkEnd w:id="756"/>
      <w:bookmarkEnd w:id="757"/>
      <w:bookmarkEnd w:id="758"/>
      <w:bookmarkEnd w:id="759"/>
    </w:p>
    <w:p w14:paraId="2F412253">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乙方对甲方提供的所有资料以及在本合同签订、履行过程中所接触到的甲方及其关联公司的技术资料、客户信息等资料和信息(统称“保密资料”）负有保密义务。未经甲方书面许可，乙方不得向任何第三方披露，不得将保密资料的部分或全部用于本合同约定事项以外的其他用途。</w:t>
      </w:r>
    </w:p>
    <w:p w14:paraId="0FD52B3B">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乙方有义务对保密资料采取不低于对其本身商业秘密所采取的保护手段予以保护。乙方仅可为本合同目的向其内部有知悉保密资料必要的雇员披露保密资料，但同时须指示其雇员遵守本条规定的保密及不披露义务。乙方应当妥善保管保密资料，并对保密资料在乙方期间发生的被盗、泄露或其他有损保密资料保密性的事件承担全部责任，因此造成甲方损失的，乙方应负责赔偿。</w:t>
      </w:r>
    </w:p>
    <w:p w14:paraId="48269277">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w:t>
      </w:r>
    </w:p>
    <w:p w14:paraId="61FDF484">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4.</w:t>
      </w:r>
      <w:r>
        <w:rPr>
          <w:rFonts w:hint="eastAsia" w:ascii="仿宋" w:hAnsi="仿宋" w:eastAsia="仿宋" w:cs="仿宋"/>
          <w:color w:val="auto"/>
          <w:sz w:val="28"/>
          <w:szCs w:val="28"/>
          <w:highlight w:val="none"/>
          <w:lang w:bidi="ar"/>
        </w:rPr>
        <w:t>对于乙方在本合同签订及履行过程中依法获得的个人信息和重要数据，乙方应当依法在境内存储，且不得向境外提供。</w:t>
      </w:r>
    </w:p>
    <w:p w14:paraId="42E9C3FD">
      <w:pPr>
        <w:widowControl/>
        <w:autoSpaceDE w:val="0"/>
        <w:autoSpaceDN w:val="0"/>
        <w:spacing w:line="480" w:lineRule="exact"/>
        <w:ind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5.当出现下述情况时，本条对保密资料的限制不适用。当保密资料：</w:t>
      </w:r>
    </w:p>
    <w:p w14:paraId="1E283E44">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（1）并非乙方的过错而已经进入公有领域的，且乙方已尽到警示义务的。</w:t>
      </w:r>
    </w:p>
    <w:p w14:paraId="086BBA0F">
      <w:pPr>
        <w:widowControl/>
        <w:autoSpaceDE w:val="0"/>
        <w:autoSpaceDN w:val="0"/>
        <w:spacing w:line="480" w:lineRule="exact"/>
        <w:ind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（2）已通过该方的有关记录证明是由乙方独立开发的。</w:t>
      </w:r>
    </w:p>
    <w:p w14:paraId="604352BA">
      <w:pPr>
        <w:widowControl/>
        <w:autoSpaceDE w:val="0"/>
        <w:autoSpaceDN w:val="0"/>
        <w:spacing w:line="480" w:lineRule="exact"/>
        <w:ind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（3）由乙方从没有违反对甲方的保密义务的人合法取得的。</w:t>
      </w:r>
    </w:p>
    <w:p w14:paraId="52473EF7">
      <w:pPr>
        <w:widowControl/>
        <w:autoSpaceDE w:val="0"/>
        <w:autoSpaceDN w:val="0"/>
        <w:spacing w:line="480" w:lineRule="exact"/>
        <w:ind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（4）法律要求乙方披露的，但乙方应在合理的时间提前通知甲方，使其得以采取其认为必要的保护措施。</w:t>
      </w:r>
    </w:p>
    <w:p w14:paraId="7199D4EF">
      <w:pPr>
        <w:widowControl/>
        <w:autoSpaceDE w:val="0"/>
        <w:autoSpaceDN w:val="0"/>
        <w:spacing w:line="480" w:lineRule="exact"/>
        <w:ind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6.如乙方违反本合同关于保密的约定，乙方应赔偿因此而给甲方造成的一切损失。</w:t>
      </w:r>
    </w:p>
    <w:p w14:paraId="3B00F45A">
      <w:pPr>
        <w:widowControl/>
        <w:autoSpaceDE w:val="0"/>
        <w:autoSpaceDN w:val="0"/>
        <w:spacing w:line="480" w:lineRule="exact"/>
        <w:ind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7.无论本合同是否生效、被撤销、变更、解除或终止，本合同之保密条款不受其限制而继续有效。</w:t>
      </w:r>
    </w:p>
    <w:p w14:paraId="3F2CBFAA">
      <w:pPr>
        <w:pStyle w:val="18"/>
        <w:widowControl w:val="0"/>
        <w:snapToGrid w:val="0"/>
        <w:spacing w:after="0" w:afterAutospacing="0" w:line="480" w:lineRule="exact"/>
        <w:ind w:left="420" w:firstLine="219" w:firstLineChars="78"/>
        <w:jc w:val="both"/>
        <w:outlineLvl w:val="0"/>
        <w:rPr>
          <w:rFonts w:hint="eastAsia" w:ascii="仿宋" w:hAnsi="仿宋" w:eastAsia="仿宋" w:cs="仿宋"/>
          <w:b/>
          <w:bCs/>
          <w:color w:val="auto"/>
          <w:kern w:val="2"/>
          <w:sz w:val="28"/>
          <w:szCs w:val="28"/>
          <w:highlight w:val="none"/>
        </w:rPr>
      </w:pPr>
      <w:bookmarkStart w:id="760" w:name="_Toc15780"/>
      <w:bookmarkStart w:id="761" w:name="_Toc18594"/>
      <w:bookmarkStart w:id="762" w:name="_Toc7913"/>
      <w:bookmarkStart w:id="763" w:name="_Toc16262"/>
      <w:bookmarkStart w:id="764" w:name="_Toc31444"/>
      <w:bookmarkStart w:id="765" w:name="_Toc23633"/>
      <w:bookmarkStart w:id="766" w:name="_Toc3101"/>
      <w:r>
        <w:rPr>
          <w:rFonts w:hint="eastAsia" w:ascii="仿宋" w:hAnsi="仿宋" w:eastAsia="仿宋" w:cs="仿宋"/>
          <w:b/>
          <w:bCs/>
          <w:color w:val="auto"/>
          <w:kern w:val="2"/>
          <w:sz w:val="28"/>
          <w:szCs w:val="28"/>
          <w:highlight w:val="none"/>
          <w:lang w:bidi="ar"/>
        </w:rPr>
        <w:t>第十条  侵权责任</w:t>
      </w:r>
      <w:bookmarkEnd w:id="760"/>
      <w:bookmarkEnd w:id="761"/>
      <w:bookmarkEnd w:id="762"/>
      <w:bookmarkEnd w:id="763"/>
      <w:bookmarkEnd w:id="764"/>
      <w:bookmarkEnd w:id="765"/>
      <w:bookmarkEnd w:id="766"/>
    </w:p>
    <w:p w14:paraId="43BF2C54">
      <w:pPr>
        <w:widowControl/>
        <w:autoSpaceDE w:val="0"/>
        <w:autoSpaceDN w:val="0"/>
        <w:spacing w:line="480" w:lineRule="exact"/>
        <w:ind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未得到对方的书面许可，一方均不得以广告或在公共场合使用或模仿对方的商业名称、商标、图案、服务标志、符号、代码、型号或缩写，任何一方均不得声称对对方的商业名称、商标、图案、服务标志、符号、代码、型号或缩写拥有所有权。违约方应承担相应的侵权责任。</w:t>
      </w:r>
    </w:p>
    <w:p w14:paraId="4C982764">
      <w:pPr>
        <w:widowControl/>
        <w:autoSpaceDE w:val="0"/>
        <w:autoSpaceDN w:val="0"/>
        <w:spacing w:line="480" w:lineRule="exact"/>
        <w:ind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乙方应当保证，其按本合同要求为甲方提供技术服务过程中和/或其为甲方提供的服务成果不侵犯任何第三人的合法权益。如有任何第三方提出法律或行政程序(合称“侵权指控”)，声称甲方侵犯了其知识产权等合法权益的，乙方应当及时解决，否则甲方有权中止支付未付费用。如因此导致甲方需要垫付相关费用的，乙方除应向甲方返还垫付费用外，还应当按照垫付款项每日【千分之一】的标准向甲方支付违约金，甲方有权按照本合同约定向乙方追偿损失。</w:t>
      </w:r>
    </w:p>
    <w:p w14:paraId="27FAAF47">
      <w:pPr>
        <w:widowControl/>
        <w:autoSpaceDE w:val="0"/>
        <w:autoSpaceDN w:val="0"/>
        <w:spacing w:line="480" w:lineRule="exact"/>
        <w:ind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3.如果在侵权指控的审理过程中有关机关禁止甲方继续使用技术服务成果的部分或全部，乙方应当采取以下措施之一：</w:t>
      </w:r>
    </w:p>
    <w:p w14:paraId="5C27A8F4">
      <w:pPr>
        <w:widowControl/>
        <w:autoSpaceDE w:val="0"/>
        <w:autoSpaceDN w:val="0"/>
        <w:spacing w:line="480" w:lineRule="exact"/>
        <w:ind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（1）使甲方重新免费获得使用上述技术服务成果的权利。</w:t>
      </w:r>
    </w:p>
    <w:p w14:paraId="46616AB2">
      <w:pPr>
        <w:widowControl/>
        <w:autoSpaceDE w:val="0"/>
        <w:autoSpaceDN w:val="0"/>
        <w:spacing w:line="480" w:lineRule="exact"/>
        <w:ind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（2）免费更换或改造上述技术服务成果，使甲方不受上述禁令限制继续使用技术服务成果。</w:t>
      </w:r>
    </w:p>
    <w:p w14:paraId="510F249C">
      <w:pPr>
        <w:widowControl/>
        <w:autoSpaceDE w:val="0"/>
        <w:autoSpaceDN w:val="0"/>
        <w:spacing w:line="480" w:lineRule="exact"/>
        <w:ind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（3）其它使甲方对技术服务成果拥有合法使用权，或其他弥补甲方受损利益、实现合同目的合理方式。</w:t>
      </w:r>
    </w:p>
    <w:p w14:paraId="4A2C0456">
      <w:pPr>
        <w:widowControl/>
        <w:autoSpaceDE w:val="0"/>
        <w:autoSpaceDN w:val="0"/>
        <w:spacing w:line="480" w:lineRule="exact"/>
        <w:ind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乙方采取上述措施不能免除乙方就甲方因此遭受的损失进行赔偿的义务。</w:t>
      </w:r>
    </w:p>
    <w:p w14:paraId="127876A2">
      <w:pPr>
        <w:widowControl/>
        <w:autoSpaceDE w:val="0"/>
        <w:autoSpaceDN w:val="0"/>
        <w:spacing w:line="480" w:lineRule="exact"/>
        <w:ind w:firstLine="56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如乙方在合理期限内，采取上述措施仍无法实现合同目的，甲方可使用部分技术服务成果的，乙方需退还给甲方剩余被禁止部分已支付费用并赔偿损失，如乙方提供给甲方的技术服务成果全部被禁止，乙方需退还甲方已支付的全部费用并赔偿损失。</w:t>
      </w:r>
    </w:p>
    <w:p w14:paraId="74F51627">
      <w:pPr>
        <w:widowControl/>
        <w:autoSpaceDE w:val="0"/>
        <w:autoSpaceDN w:val="0"/>
        <w:spacing w:line="480" w:lineRule="exact"/>
        <w:ind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4.乙方承诺遵守国家相关法律法规，本合同项下技术服务若涉及可能影响国家安全的内容，乙方提供的技术服务必须首先通过国家相关部门的安全审查。</w:t>
      </w:r>
    </w:p>
    <w:p w14:paraId="49554B79">
      <w:pPr>
        <w:pStyle w:val="18"/>
        <w:widowControl w:val="0"/>
        <w:snapToGrid w:val="0"/>
        <w:spacing w:after="0" w:afterAutospacing="0" w:line="480" w:lineRule="exact"/>
        <w:ind w:left="420" w:firstLine="219" w:firstLineChars="78"/>
        <w:jc w:val="both"/>
        <w:outlineLvl w:val="0"/>
        <w:rPr>
          <w:rFonts w:hint="eastAsia" w:ascii="仿宋" w:hAnsi="仿宋" w:eastAsia="仿宋" w:cs="仿宋"/>
          <w:b/>
          <w:bCs/>
          <w:color w:val="auto"/>
          <w:kern w:val="2"/>
          <w:sz w:val="28"/>
          <w:szCs w:val="28"/>
          <w:highlight w:val="none"/>
        </w:rPr>
      </w:pPr>
      <w:bookmarkStart w:id="767" w:name="_Toc32052"/>
      <w:bookmarkStart w:id="768" w:name="_Toc28174"/>
      <w:bookmarkStart w:id="769" w:name="_Toc10399"/>
      <w:bookmarkStart w:id="770" w:name="_Toc8644"/>
      <w:bookmarkStart w:id="771" w:name="_Toc2536"/>
      <w:bookmarkStart w:id="772" w:name="_Toc7272"/>
      <w:bookmarkStart w:id="773" w:name="_Toc19880"/>
      <w:r>
        <w:rPr>
          <w:rFonts w:hint="eastAsia" w:ascii="仿宋" w:hAnsi="仿宋" w:eastAsia="仿宋" w:cs="仿宋"/>
          <w:b/>
          <w:bCs/>
          <w:color w:val="auto"/>
          <w:kern w:val="2"/>
          <w:sz w:val="28"/>
          <w:szCs w:val="28"/>
          <w:highlight w:val="none"/>
          <w:lang w:bidi="ar"/>
        </w:rPr>
        <w:t>第十一条  违约责任</w:t>
      </w:r>
      <w:bookmarkEnd w:id="767"/>
      <w:bookmarkEnd w:id="768"/>
      <w:bookmarkEnd w:id="769"/>
      <w:bookmarkEnd w:id="770"/>
      <w:bookmarkEnd w:id="771"/>
      <w:bookmarkEnd w:id="772"/>
      <w:bookmarkEnd w:id="773"/>
    </w:p>
    <w:p w14:paraId="273B3921">
      <w:pPr>
        <w:pStyle w:val="18"/>
        <w:spacing w:before="0" w:beforeAutospacing="0" w:after="0" w:afterAutospacing="0" w:line="48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1.乙方未能按本合同约定按期提供技术开发服务的，每逾期[ 1</w:t>
      </w:r>
      <w:r>
        <w:rPr>
          <w:rFonts w:hint="eastAsia" w:ascii="仿宋" w:hAnsi="仿宋" w:eastAsia="仿宋" w:cs="仿宋"/>
          <w:color w:val="auto"/>
          <w:sz w:val="28"/>
          <w:szCs w:val="28"/>
          <w:highlight w:val="none"/>
          <w:lang w:val="en-US" w:eastAsia="zh-CN" w:bidi="ar"/>
        </w:rPr>
        <w:t xml:space="preserve"> </w:t>
      </w:r>
      <w:r>
        <w:rPr>
          <w:rFonts w:hint="eastAsia" w:ascii="仿宋" w:hAnsi="仿宋" w:eastAsia="仿宋" w:cs="仿宋"/>
          <w:color w:val="auto"/>
          <w:sz w:val="28"/>
          <w:szCs w:val="28"/>
          <w:highlight w:val="none"/>
          <w:lang w:bidi="ar"/>
        </w:rPr>
        <w:t>]日，乙方应当按照合同</w:t>
      </w:r>
      <w:r>
        <w:rPr>
          <w:rFonts w:hint="eastAsia" w:ascii="仿宋" w:hAnsi="仿宋" w:eastAsia="仿宋" w:cs="仿宋"/>
          <w:bCs/>
          <w:color w:val="auto"/>
          <w:sz w:val="28"/>
          <w:szCs w:val="28"/>
          <w:highlight w:val="none"/>
          <w:lang w:bidi="ar"/>
        </w:rPr>
        <w:t>总额</w:t>
      </w:r>
      <w:r>
        <w:rPr>
          <w:rFonts w:hint="eastAsia" w:ascii="仿宋" w:hAnsi="仿宋" w:eastAsia="仿宋" w:cs="仿宋"/>
          <w:color w:val="auto"/>
          <w:sz w:val="28"/>
          <w:szCs w:val="28"/>
          <w:highlight w:val="none"/>
          <w:lang w:bidi="ar"/>
        </w:rPr>
        <w:t>的【千分之一】向甲方支付违约金；逾期超过【30】日的，甲方有权单方解除本合同，如甲方确认不需要乙方已开发内容的，乙方应退还全部甲方已支付款项，还应向甲方赔偿损失。</w:t>
      </w:r>
    </w:p>
    <w:p w14:paraId="23C843E1">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2.乙方提供技术开发服务不符合本合同要求的，应当按照甲方要求及时更正和修改，并承担由此产生的额外费用，因此造成逾期的，甲方有权要求乙方按本条第1款约定承担违约责任。</w:t>
      </w:r>
    </w:p>
    <w:p w14:paraId="6B4BA0FB">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3.如发生以下情形之一时，甲方有权</w:t>
      </w:r>
      <w:bookmarkStart w:id="774" w:name="OLE_LINK16"/>
      <w:r>
        <w:rPr>
          <w:rFonts w:hint="eastAsia" w:ascii="仿宋" w:hAnsi="仿宋" w:eastAsia="仿宋" w:cs="仿宋"/>
          <w:color w:val="auto"/>
          <w:sz w:val="28"/>
          <w:szCs w:val="28"/>
          <w:highlight w:val="none"/>
          <w:lang w:bidi="ar"/>
        </w:rPr>
        <w:t>单方</w:t>
      </w:r>
      <w:bookmarkEnd w:id="774"/>
      <w:r>
        <w:rPr>
          <w:rFonts w:hint="eastAsia" w:ascii="仿宋" w:hAnsi="仿宋" w:eastAsia="仿宋" w:cs="仿宋"/>
          <w:color w:val="auto"/>
          <w:sz w:val="28"/>
          <w:szCs w:val="28"/>
          <w:highlight w:val="none"/>
          <w:lang w:bidi="ar"/>
        </w:rPr>
        <w:t>解除合同并要求乙方承担合同总额【20】%的违约金，如甲方确认不需要乙方已开发内容的，乙方应退还全部甲方已支付的款项，因此给甲方造成损失的，乙方还应承担赔偿责任：</w:t>
      </w:r>
    </w:p>
    <w:p w14:paraId="6BFC22BF">
      <w:pPr>
        <w:spacing w:line="48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（1）乙方侵犯第三方的所有权或知识产权而导致权属纠纷的；</w:t>
      </w:r>
    </w:p>
    <w:p w14:paraId="54B3ECB7">
      <w:pPr>
        <w:spacing w:line="48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（2）乙方违反保密条款，泄露甲方秘密的；</w:t>
      </w:r>
    </w:p>
    <w:p w14:paraId="7115F558">
      <w:pPr>
        <w:spacing w:line="48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（3）乙方擅自转包、分包或委派人员不能满足甲方项目需求不能及时整改的；</w:t>
      </w:r>
    </w:p>
    <w:p w14:paraId="6F143699">
      <w:pPr>
        <w:spacing w:line="48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（4）乙方开发的项目及后续维护服务不能满足甲方实际需要的；</w:t>
      </w:r>
    </w:p>
    <w:p w14:paraId="0F1EA3DE">
      <w:pPr>
        <w:spacing w:line="480" w:lineRule="exact"/>
        <w:ind w:firstLine="560"/>
        <w:rPr>
          <w:rFonts w:hint="eastAsia" w:ascii="仿宋" w:hAnsi="仿宋" w:eastAsia="仿宋" w:cs="仿宋"/>
          <w:color w:val="auto"/>
          <w:sz w:val="28"/>
          <w:szCs w:val="28"/>
          <w:highlight w:val="none"/>
          <w:lang w:eastAsia="zh-CN" w:bidi="ar"/>
        </w:rPr>
      </w:pPr>
      <w:r>
        <w:rPr>
          <w:rFonts w:hint="eastAsia" w:ascii="仿宋" w:hAnsi="仿宋" w:eastAsia="仿宋" w:cs="仿宋"/>
          <w:color w:val="auto"/>
          <w:sz w:val="28"/>
          <w:szCs w:val="28"/>
          <w:highlight w:val="none"/>
          <w:lang w:bidi="ar"/>
        </w:rPr>
        <w:t>（5）连续【3】次验收不合格的</w:t>
      </w:r>
      <w:r>
        <w:rPr>
          <w:rFonts w:hint="eastAsia" w:ascii="仿宋" w:hAnsi="仿宋" w:eastAsia="仿宋" w:cs="仿宋"/>
          <w:color w:val="auto"/>
          <w:sz w:val="28"/>
          <w:szCs w:val="28"/>
          <w:highlight w:val="none"/>
          <w:lang w:eastAsia="zh-CN" w:bidi="ar"/>
        </w:rPr>
        <w:t>；</w:t>
      </w:r>
    </w:p>
    <w:p w14:paraId="12731C1F">
      <w:pPr>
        <w:spacing w:line="480" w:lineRule="exact"/>
        <w:ind w:firstLine="560"/>
        <w:rPr>
          <w:rFonts w:hint="eastAsia" w:ascii="仿宋" w:hAnsi="仿宋" w:eastAsia="仿宋" w:cs="仿宋"/>
          <w:color w:val="auto"/>
          <w:sz w:val="28"/>
          <w:szCs w:val="28"/>
          <w:highlight w:val="none"/>
          <w:lang w:eastAsia="zh-CN" w:bidi="ar"/>
        </w:rPr>
      </w:pPr>
      <w:r>
        <w:rPr>
          <w:rFonts w:hint="eastAsia" w:ascii="仿宋" w:hAnsi="仿宋" w:eastAsia="仿宋" w:cs="仿宋"/>
          <w:color w:val="auto"/>
          <w:sz w:val="28"/>
          <w:szCs w:val="28"/>
          <w:highlight w:val="none"/>
          <w:lang w:bidi="ar"/>
        </w:rPr>
        <w:t>（</w:t>
      </w:r>
      <w:r>
        <w:rPr>
          <w:rFonts w:hint="eastAsia" w:ascii="仿宋" w:hAnsi="仿宋" w:eastAsia="仿宋" w:cs="仿宋"/>
          <w:color w:val="auto"/>
          <w:sz w:val="28"/>
          <w:szCs w:val="28"/>
          <w:highlight w:val="none"/>
          <w:lang w:val="en-US" w:eastAsia="zh-CN" w:bidi="ar"/>
        </w:rPr>
        <w:t>6</w:t>
      </w:r>
      <w:r>
        <w:rPr>
          <w:rFonts w:hint="eastAsia" w:ascii="仿宋" w:hAnsi="仿宋" w:eastAsia="仿宋" w:cs="仿宋"/>
          <w:color w:val="auto"/>
          <w:sz w:val="28"/>
          <w:szCs w:val="28"/>
          <w:highlight w:val="none"/>
          <w:lang w:bidi="ar"/>
        </w:rPr>
        <w:t>）如甲方认为乙方负责的培训任务未达到合同要求，则甲方有权根据实际培训情况提出乙方应支付的违约金数额</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val="en-US" w:eastAsia="zh-CN" w:bidi="ar"/>
        </w:rPr>
        <w:t>10000元/次</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bidi="ar"/>
        </w:rPr>
        <w:t>及有关意见并要求乙方执行，</w:t>
      </w:r>
      <w:r>
        <w:rPr>
          <w:rFonts w:hint="eastAsia" w:ascii="仿宋" w:hAnsi="仿宋" w:eastAsia="仿宋" w:cs="仿宋"/>
          <w:color w:val="auto"/>
          <w:sz w:val="28"/>
          <w:szCs w:val="28"/>
          <w:highlight w:val="none"/>
          <w:lang w:val="en-US" w:eastAsia="zh-CN" w:bidi="ar"/>
        </w:rPr>
        <w:t>乙方在规定时间内作出整改并</w:t>
      </w:r>
      <w:r>
        <w:rPr>
          <w:rFonts w:hint="eastAsia" w:ascii="仿宋" w:hAnsi="仿宋" w:eastAsia="仿宋" w:cs="仿宋"/>
          <w:color w:val="auto"/>
          <w:sz w:val="28"/>
          <w:szCs w:val="28"/>
          <w:highlight w:val="none"/>
          <w:lang w:bidi="ar"/>
        </w:rPr>
        <w:t>达到合同要求</w:t>
      </w:r>
      <w:r>
        <w:rPr>
          <w:rFonts w:hint="eastAsia" w:ascii="仿宋" w:hAnsi="仿宋" w:eastAsia="仿宋" w:cs="仿宋"/>
          <w:color w:val="auto"/>
          <w:sz w:val="28"/>
          <w:szCs w:val="28"/>
          <w:highlight w:val="none"/>
          <w:lang w:eastAsia="zh-CN" w:bidi="ar"/>
        </w:rPr>
        <w:t>；</w:t>
      </w:r>
    </w:p>
    <w:p w14:paraId="7DAA8440">
      <w:pPr>
        <w:spacing w:line="480" w:lineRule="exact"/>
        <w:ind w:firstLine="560" w:firstLineChars="200"/>
        <w:rPr>
          <w:rFonts w:hint="eastAsia" w:ascii="仿宋" w:hAnsi="仿宋" w:eastAsia="仿宋" w:cs="仿宋"/>
          <w:color w:val="auto"/>
          <w:sz w:val="28"/>
          <w:szCs w:val="28"/>
          <w:highlight w:val="none"/>
          <w:lang w:val="en-US" w:eastAsia="zh-CN" w:bidi="ar"/>
        </w:rPr>
      </w:pP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val="en-US" w:eastAsia="zh-CN" w:bidi="ar"/>
        </w:rPr>
        <w:t>7</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val="en-US" w:eastAsia="zh-CN" w:bidi="ar"/>
        </w:rPr>
        <w:t>在质保期间，乙方未按招标文件、投标文件、合同等文件进行履约，包括但不限于以下内容：对系统</w:t>
      </w:r>
      <w:r>
        <w:rPr>
          <w:rFonts w:hint="eastAsia" w:ascii="仿宋" w:hAnsi="仿宋" w:eastAsia="仿宋" w:cs="仿宋"/>
          <w:color w:val="auto"/>
          <w:sz w:val="28"/>
          <w:szCs w:val="28"/>
          <w:highlight w:val="none"/>
          <w:lang w:bidi="ar"/>
        </w:rPr>
        <w:t>软件、硬件设施设备的质量缺陷修复和免费维保等服务</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val="en-US" w:eastAsia="zh-CN" w:bidi="ar"/>
        </w:rPr>
        <w:t>人员培训取证、办理证书、飞行空域申请和计划申报、</w:t>
      </w:r>
      <w:r>
        <w:rPr>
          <w:rFonts w:hint="eastAsia" w:ascii="仿宋" w:hAnsi="仿宋" w:eastAsia="仿宋" w:cs="仿宋"/>
          <w:bCs/>
          <w:color w:val="auto"/>
          <w:sz w:val="28"/>
          <w:szCs w:val="28"/>
          <w:highlight w:val="none"/>
          <w:lang w:val="en-US" w:eastAsia="zh-CN"/>
        </w:rPr>
        <w:t>无人机场和无人机维护、系统维护和相关辅材配件等工作作出响应的，甲方有权单方解除本合同，</w:t>
      </w:r>
      <w:r>
        <w:rPr>
          <w:rFonts w:hint="eastAsia" w:ascii="仿宋" w:hAnsi="仿宋" w:eastAsia="仿宋" w:cs="仿宋"/>
          <w:color w:val="auto"/>
          <w:sz w:val="28"/>
          <w:szCs w:val="28"/>
          <w:highlight w:val="none"/>
          <w:lang w:bidi="ar"/>
        </w:rPr>
        <w:t>并要求乙方承担合同总额【20】%的违约金</w:t>
      </w:r>
      <w:r>
        <w:rPr>
          <w:rFonts w:hint="eastAsia" w:ascii="仿宋" w:hAnsi="仿宋" w:eastAsia="仿宋" w:cs="仿宋"/>
          <w:color w:val="auto"/>
          <w:sz w:val="28"/>
          <w:szCs w:val="28"/>
          <w:highlight w:val="none"/>
          <w:lang w:eastAsia="zh-CN" w:bidi="ar"/>
        </w:rPr>
        <w:t>。</w:t>
      </w:r>
    </w:p>
    <w:p w14:paraId="7A766E7A">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4.由于乙方故意或过失造成项目提供的数据、信息错误或遗漏，甲方有权要求乙方承担人民币【</w:t>
      </w:r>
      <w:r>
        <w:rPr>
          <w:rFonts w:hint="eastAsia" w:ascii="仿宋" w:hAnsi="仿宋" w:eastAsia="仿宋" w:cs="仿宋"/>
          <w:color w:val="auto"/>
          <w:sz w:val="28"/>
          <w:szCs w:val="28"/>
          <w:highlight w:val="none"/>
          <w:lang w:val="en-US" w:eastAsia="zh-CN" w:bidi="ar"/>
        </w:rPr>
        <w:t>1000</w:t>
      </w:r>
      <w:r>
        <w:rPr>
          <w:rFonts w:hint="eastAsia" w:ascii="仿宋" w:hAnsi="仿宋" w:eastAsia="仿宋" w:cs="仿宋"/>
          <w:color w:val="auto"/>
          <w:sz w:val="28"/>
          <w:szCs w:val="28"/>
          <w:highlight w:val="none"/>
          <w:lang w:bidi="ar"/>
        </w:rPr>
        <w:t>】元/次-【</w:t>
      </w:r>
      <w:r>
        <w:rPr>
          <w:rFonts w:hint="eastAsia" w:ascii="仿宋" w:hAnsi="仿宋" w:eastAsia="仿宋" w:cs="仿宋"/>
          <w:color w:val="auto"/>
          <w:sz w:val="28"/>
          <w:szCs w:val="28"/>
          <w:highlight w:val="none"/>
          <w:lang w:val="en-US" w:eastAsia="zh-CN" w:bidi="ar"/>
        </w:rPr>
        <w:t>5000</w:t>
      </w:r>
      <w:r>
        <w:rPr>
          <w:rFonts w:hint="eastAsia" w:ascii="仿宋" w:hAnsi="仿宋" w:eastAsia="仿宋" w:cs="仿宋"/>
          <w:color w:val="auto"/>
          <w:sz w:val="28"/>
          <w:szCs w:val="28"/>
          <w:highlight w:val="none"/>
          <w:lang w:bidi="ar"/>
        </w:rPr>
        <w:t>】元/次的违约责任，情节严重或造成严重后果的，甲方有权单方解除合同并要求乙方承担合同总额【20】%的违约金，因此给甲方造成损失的，乙方还应承担赔偿责任。</w:t>
      </w:r>
    </w:p>
    <w:p w14:paraId="5F5CF250">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5.乙方违反本合同第【</w:t>
      </w:r>
      <w:r>
        <w:rPr>
          <w:rFonts w:hint="eastAsia" w:ascii="仿宋" w:hAnsi="仿宋" w:eastAsia="仿宋" w:cs="仿宋"/>
          <w:color w:val="auto"/>
          <w:sz w:val="28"/>
          <w:szCs w:val="28"/>
          <w:highlight w:val="none"/>
          <w:lang w:eastAsia="zh-CN" w:bidi="ar"/>
        </w:rPr>
        <w:t>七</w:t>
      </w:r>
      <w:r>
        <w:rPr>
          <w:rFonts w:hint="eastAsia" w:ascii="仿宋" w:hAnsi="仿宋" w:eastAsia="仿宋" w:cs="仿宋"/>
          <w:color w:val="auto"/>
          <w:sz w:val="28"/>
          <w:szCs w:val="28"/>
          <w:highlight w:val="none"/>
          <w:lang w:bidi="ar"/>
        </w:rPr>
        <w:t>】条约定不配合甲方提供后续维护、技术支持的，甲方有权视情节或造成后果的严重情况要求乙方承担人民币【</w:t>
      </w:r>
      <w:r>
        <w:rPr>
          <w:rFonts w:hint="eastAsia" w:ascii="仿宋" w:hAnsi="仿宋" w:eastAsia="仿宋" w:cs="仿宋"/>
          <w:color w:val="auto"/>
          <w:sz w:val="28"/>
          <w:szCs w:val="28"/>
          <w:highlight w:val="none"/>
          <w:lang w:val="en-US" w:eastAsia="zh-CN" w:bidi="ar"/>
        </w:rPr>
        <w:t>10000</w:t>
      </w:r>
      <w:r>
        <w:rPr>
          <w:rFonts w:hint="eastAsia" w:ascii="仿宋" w:hAnsi="仿宋" w:eastAsia="仿宋" w:cs="仿宋"/>
          <w:color w:val="auto"/>
          <w:sz w:val="28"/>
          <w:szCs w:val="28"/>
          <w:highlight w:val="none"/>
          <w:lang w:bidi="ar"/>
        </w:rPr>
        <w:t>】元/次-【</w:t>
      </w:r>
      <w:r>
        <w:rPr>
          <w:rFonts w:hint="eastAsia" w:ascii="仿宋" w:hAnsi="仿宋" w:eastAsia="仿宋" w:cs="仿宋"/>
          <w:color w:val="auto"/>
          <w:sz w:val="28"/>
          <w:szCs w:val="28"/>
          <w:highlight w:val="none"/>
          <w:lang w:val="en-US" w:eastAsia="zh-CN" w:bidi="ar"/>
        </w:rPr>
        <w:t>15000</w:t>
      </w:r>
      <w:r>
        <w:rPr>
          <w:rFonts w:hint="eastAsia" w:ascii="仿宋" w:hAnsi="仿宋" w:eastAsia="仿宋" w:cs="仿宋"/>
          <w:color w:val="auto"/>
          <w:sz w:val="28"/>
          <w:szCs w:val="28"/>
          <w:highlight w:val="none"/>
          <w:lang w:bidi="ar"/>
        </w:rPr>
        <w:t>】元/次的违约责任，情节严重或造成严重后果的，甲方有权要求乙方承担合同总额【20】%的违约金，甲方可委托第三方提供后续服务，相关费用由乙方承担，因此给甲方造成其他损失的，乙方还应承担赔偿责任。</w:t>
      </w:r>
    </w:p>
    <w:p w14:paraId="7683D421">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bidi="ar"/>
        </w:rPr>
        <w:t>6</w:t>
      </w:r>
      <w:r>
        <w:rPr>
          <w:rFonts w:hint="eastAsia" w:ascii="仿宋" w:hAnsi="仿宋" w:eastAsia="仿宋" w:cs="仿宋"/>
          <w:color w:val="auto"/>
          <w:sz w:val="28"/>
          <w:szCs w:val="28"/>
          <w:highlight w:val="none"/>
          <w:lang w:bidi="ar"/>
        </w:rPr>
        <w:t>.若根据本合同约定乙方应当支付违约金和/或承担赔偿责任等，甲方有权直接从应付乙方的款项和/或保证金中扣除相应金额。甲方追偿的违约金、损害赔偿等款项，如无甲方书面通知的，按照如下顺序抵充：追偿费用、违约金或利息、损害赔偿费用、合同价款/合同费用。甲方仅需就扣除款项向乙方开具相应数额的收据作为凭证，乙方无权要求甲方开具发票。</w:t>
      </w:r>
    </w:p>
    <w:p w14:paraId="39BCA72A">
      <w:pPr>
        <w:pStyle w:val="18"/>
        <w:widowControl w:val="0"/>
        <w:snapToGrid w:val="0"/>
        <w:spacing w:after="0" w:afterAutospacing="0" w:line="48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7</w:t>
      </w:r>
      <w:r>
        <w:rPr>
          <w:rFonts w:hint="eastAsia" w:ascii="仿宋" w:hAnsi="仿宋" w:eastAsia="仿宋" w:cs="仿宋"/>
          <w:color w:val="auto"/>
          <w:kern w:val="2"/>
          <w:sz w:val="28"/>
          <w:szCs w:val="28"/>
          <w:highlight w:val="none"/>
          <w:lang w:bidi="ar"/>
        </w:rPr>
        <w:t>.因法律、法规或政策原因需暂停履行或终止本合同的，甲方可随时解除本合同并不承担违约或赔偿责任。乙方对此无异议，并负有配合向甲方及甲方指定的第三方移交本合同项下所有技术资料、实施服务资料、数据信息资料等有关资料的义务，双方另行协商结算费用。</w:t>
      </w:r>
    </w:p>
    <w:p w14:paraId="685A5BC9">
      <w:pPr>
        <w:pStyle w:val="18"/>
        <w:spacing w:before="0" w:beforeAutospacing="0" w:after="0" w:afterAutospacing="0"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bidi="ar"/>
        </w:rPr>
        <w:t>8</w:t>
      </w:r>
      <w:r>
        <w:rPr>
          <w:rFonts w:hint="eastAsia" w:ascii="仿宋" w:hAnsi="仿宋" w:eastAsia="仿宋" w:cs="仿宋"/>
          <w:color w:val="auto"/>
          <w:sz w:val="28"/>
          <w:szCs w:val="28"/>
          <w:highlight w:val="none"/>
          <w:lang w:bidi="ar"/>
        </w:rPr>
        <w:t>.除本合同另有约定之外，本合同解除权行使期间为知道或应当知道解除事由之日起3年内，合同解除后，违约方仍应承担违约责任。</w:t>
      </w:r>
    </w:p>
    <w:p w14:paraId="6F6D1845">
      <w:pPr>
        <w:pStyle w:val="18"/>
        <w:spacing w:before="0" w:beforeAutospacing="0" w:after="0" w:afterAutospacing="0" w:line="480" w:lineRule="exact"/>
        <w:ind w:firstLine="562" w:firstLineChars="20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bidi="ar"/>
        </w:rPr>
        <w:t>9</w:t>
      </w:r>
      <w:r>
        <w:rPr>
          <w:rFonts w:hint="eastAsia" w:ascii="仿宋" w:hAnsi="仿宋" w:eastAsia="仿宋" w:cs="仿宋"/>
          <w:b/>
          <w:bCs/>
          <w:color w:val="auto"/>
          <w:sz w:val="28"/>
          <w:szCs w:val="28"/>
          <w:highlight w:val="none"/>
          <w:lang w:bidi="ar"/>
        </w:rPr>
        <w:t>.乙方对上述违约责任及违约情形已充分认知，并承诺不再发生违约行为时请求对违约责任进行减免。乙方违约时，甲方有权向乙方追偿的损失包括但不限于直接、间接损失，还包括诉讼费、律师费、保全费、误工费、交通费等甲方为向乙方追偿而支出的费用。</w:t>
      </w:r>
    </w:p>
    <w:p w14:paraId="67BB8049">
      <w:pPr>
        <w:pStyle w:val="18"/>
        <w:spacing w:before="0" w:beforeAutospacing="0" w:after="0" w:afterAutospacing="0" w:line="480" w:lineRule="exact"/>
        <w:ind w:firstLine="562" w:firstLineChars="20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bidi="ar"/>
        </w:rPr>
        <w:t>1</w:t>
      </w:r>
      <w:r>
        <w:rPr>
          <w:rFonts w:hint="eastAsia" w:ascii="仿宋" w:hAnsi="仿宋" w:eastAsia="仿宋" w:cs="仿宋"/>
          <w:b/>
          <w:bCs/>
          <w:color w:val="auto"/>
          <w:sz w:val="28"/>
          <w:szCs w:val="28"/>
          <w:highlight w:val="none"/>
          <w:lang w:val="en-US" w:eastAsia="zh-CN" w:bidi="ar"/>
        </w:rPr>
        <w:t>0</w:t>
      </w:r>
      <w:r>
        <w:rPr>
          <w:rFonts w:hint="eastAsia" w:ascii="仿宋" w:hAnsi="仿宋" w:eastAsia="仿宋" w:cs="仿宋"/>
          <w:b/>
          <w:bCs/>
          <w:color w:val="auto"/>
          <w:sz w:val="28"/>
          <w:szCs w:val="28"/>
          <w:highlight w:val="none"/>
          <w:lang w:bidi="ar"/>
        </w:rPr>
        <w:t>.在本合同履行期间，甲方对乙方的任何违约行为施以任何宽限或延缓执行本合同内甲方应享有的权利，均不能损害、影响或限制甲方依有关法律规定和本合同作为债权人应享有的一切权益和权利，不能作为甲方对任何违反本合同行为的许可或认可，也不能视为甲方放弃对现有或将来违约行为采取行动的权利。</w:t>
      </w:r>
    </w:p>
    <w:p w14:paraId="3AC516F9">
      <w:pPr>
        <w:pStyle w:val="18"/>
        <w:spacing w:before="0" w:beforeAutospacing="0" w:after="0" w:afterAutospacing="0" w:line="480" w:lineRule="exact"/>
        <w:ind w:firstLine="562" w:firstLineChars="200"/>
        <w:outlineLvl w:val="0"/>
        <w:rPr>
          <w:rFonts w:hint="eastAsia" w:ascii="仿宋" w:hAnsi="仿宋" w:eastAsia="仿宋" w:cs="仿宋"/>
          <w:b/>
          <w:bCs/>
          <w:color w:val="auto"/>
          <w:sz w:val="28"/>
          <w:szCs w:val="28"/>
          <w:highlight w:val="none"/>
        </w:rPr>
      </w:pPr>
      <w:bookmarkStart w:id="775" w:name="_Toc30473"/>
      <w:bookmarkStart w:id="776" w:name="_Toc26949"/>
      <w:bookmarkStart w:id="777" w:name="_Toc6956"/>
      <w:bookmarkStart w:id="778" w:name="_Toc28317"/>
      <w:bookmarkStart w:id="779" w:name="_Toc10529"/>
      <w:bookmarkStart w:id="780" w:name="_Toc14312"/>
      <w:bookmarkStart w:id="781" w:name="_Toc25947"/>
      <w:r>
        <w:rPr>
          <w:rFonts w:hint="eastAsia" w:ascii="仿宋" w:hAnsi="仿宋" w:eastAsia="仿宋" w:cs="仿宋"/>
          <w:b/>
          <w:bCs/>
          <w:color w:val="auto"/>
          <w:sz w:val="28"/>
          <w:szCs w:val="28"/>
          <w:highlight w:val="none"/>
          <w:lang w:bidi="ar"/>
        </w:rPr>
        <w:t>第十二条  开发内容权属</w:t>
      </w:r>
      <w:bookmarkEnd w:id="775"/>
      <w:bookmarkEnd w:id="776"/>
      <w:bookmarkEnd w:id="777"/>
      <w:bookmarkEnd w:id="778"/>
      <w:bookmarkEnd w:id="779"/>
      <w:bookmarkEnd w:id="780"/>
      <w:bookmarkEnd w:id="781"/>
    </w:p>
    <w:p w14:paraId="61EB0A4E">
      <w:pPr>
        <w:pStyle w:val="18"/>
        <w:spacing w:before="0" w:beforeAutospacing="0" w:after="0" w:afterAutospacing="0"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双方经协商同意，对与本项目相关的由甲方委托乙方定制开发的项目知识产权（包括发明、专利、著作权）由甲方享有，具体包括但不限于：应用程序源代码及载体、程序可执行代码及载体、技术文档等。经甲方书面许可后，乙方可在许可范围内自行使用，但禁止乙方将上述内容授权给任何第三方。</w:t>
      </w:r>
    </w:p>
    <w:p w14:paraId="49B3C2A7">
      <w:pPr>
        <w:pStyle w:val="18"/>
        <w:spacing w:before="0" w:beforeAutospacing="0" w:after="0" w:afterAutospacing="0"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2.本合同的签订不视为甲方赋予乙方知识产权（包括但不限于专利、著作权、技术秘密、商号、商标）许可，乙方需要甲方项目软件的知识产权许可的，需要另行签署许可协议。</w:t>
      </w:r>
    </w:p>
    <w:p w14:paraId="11DF0148">
      <w:pPr>
        <w:pStyle w:val="18"/>
        <w:spacing w:before="0" w:beforeAutospacing="0" w:after="0" w:afterAutospacing="0"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3.本条约定于本合同终止、解除或变更后仍然有效。</w:t>
      </w:r>
    </w:p>
    <w:p w14:paraId="216054D5">
      <w:pPr>
        <w:pStyle w:val="18"/>
        <w:widowControl w:val="0"/>
        <w:snapToGrid w:val="0"/>
        <w:spacing w:after="0" w:afterAutospacing="0" w:line="480" w:lineRule="exact"/>
        <w:ind w:left="420" w:firstLine="219" w:firstLineChars="78"/>
        <w:outlineLvl w:val="0"/>
        <w:rPr>
          <w:rFonts w:hint="eastAsia" w:ascii="仿宋" w:hAnsi="仿宋" w:eastAsia="仿宋" w:cs="仿宋"/>
          <w:b/>
          <w:bCs/>
          <w:color w:val="auto"/>
          <w:kern w:val="2"/>
          <w:sz w:val="28"/>
          <w:szCs w:val="28"/>
          <w:highlight w:val="none"/>
          <w:lang w:val="en-US" w:eastAsia="zh-CN" w:bidi="ar"/>
        </w:rPr>
      </w:pPr>
      <w:bookmarkStart w:id="782" w:name="_Toc26878"/>
      <w:bookmarkStart w:id="783" w:name="_Toc3892"/>
      <w:bookmarkStart w:id="784" w:name="_Toc31715"/>
      <w:bookmarkStart w:id="785" w:name="_Toc32624"/>
      <w:bookmarkStart w:id="786" w:name="_Toc20245"/>
      <w:bookmarkStart w:id="787" w:name="_Toc4342"/>
      <w:bookmarkStart w:id="788" w:name="_Toc2547"/>
      <w:r>
        <w:rPr>
          <w:rFonts w:hint="eastAsia" w:ascii="仿宋" w:hAnsi="仿宋" w:eastAsia="仿宋" w:cs="仿宋"/>
          <w:b/>
          <w:bCs/>
          <w:color w:val="auto"/>
          <w:kern w:val="2"/>
          <w:sz w:val="28"/>
          <w:szCs w:val="28"/>
          <w:highlight w:val="none"/>
          <w:lang w:bidi="ar"/>
        </w:rPr>
        <w:t xml:space="preserve">第十三条  </w:t>
      </w:r>
      <w:r>
        <w:rPr>
          <w:rFonts w:hint="eastAsia" w:ascii="仿宋" w:hAnsi="仿宋" w:eastAsia="仿宋" w:cs="仿宋"/>
          <w:b/>
          <w:bCs/>
          <w:color w:val="auto"/>
          <w:kern w:val="2"/>
          <w:sz w:val="28"/>
          <w:szCs w:val="28"/>
          <w:highlight w:val="none"/>
          <w:lang w:val="en-US" w:eastAsia="zh-CN" w:bidi="ar"/>
        </w:rPr>
        <w:t>人员培训及人员考核</w:t>
      </w:r>
      <w:bookmarkEnd w:id="782"/>
      <w:bookmarkEnd w:id="783"/>
      <w:bookmarkEnd w:id="784"/>
    </w:p>
    <w:p w14:paraId="407994B7">
      <w:pPr>
        <w:widowControl/>
        <w:spacing w:line="480" w:lineRule="exact"/>
        <w:ind w:firstLine="560" w:firstLineChars="200"/>
        <w:jc w:val="left"/>
        <w:outlineLvl w:val="9"/>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一、人员培训</w:t>
      </w:r>
    </w:p>
    <w:p w14:paraId="5FC88F7C">
      <w:pPr>
        <w:widowControl/>
        <w:spacing w:line="480" w:lineRule="exact"/>
        <w:ind w:firstLine="560" w:firstLineChars="200"/>
        <w:jc w:val="left"/>
        <w:outlineLvl w:val="9"/>
        <w:rPr>
          <w:b w:val="0"/>
          <w:bCs w:val="0"/>
          <w:color w:val="auto"/>
          <w:sz w:val="28"/>
          <w:szCs w:val="28"/>
          <w:highlight w:val="none"/>
        </w:rPr>
      </w:pPr>
      <w:r>
        <w:rPr>
          <w:rFonts w:hint="default"/>
          <w:b w:val="0"/>
          <w:bCs w:val="0"/>
          <w:color w:val="auto"/>
          <w:sz w:val="28"/>
          <w:szCs w:val="28"/>
          <w:highlight w:val="none"/>
          <w:lang w:eastAsia="zh-CN"/>
        </w:rPr>
        <w:t>（</w:t>
      </w:r>
      <w:r>
        <w:rPr>
          <w:rFonts w:hint="default"/>
          <w:b w:val="0"/>
          <w:bCs w:val="0"/>
          <w:color w:val="auto"/>
          <w:sz w:val="28"/>
          <w:szCs w:val="28"/>
          <w:highlight w:val="none"/>
          <w:lang w:val="en-US" w:eastAsia="zh-CN"/>
        </w:rPr>
        <w:t>1</w:t>
      </w:r>
      <w:r>
        <w:rPr>
          <w:rFonts w:hint="default"/>
          <w:b w:val="0"/>
          <w:bCs w:val="0"/>
          <w:color w:val="auto"/>
          <w:sz w:val="28"/>
          <w:szCs w:val="28"/>
          <w:highlight w:val="none"/>
          <w:lang w:eastAsia="zh-CN"/>
        </w:rPr>
        <w:t>）</w:t>
      </w:r>
      <w:r>
        <w:rPr>
          <w:b w:val="0"/>
          <w:bCs w:val="0"/>
          <w:color w:val="auto"/>
          <w:sz w:val="28"/>
          <w:szCs w:val="28"/>
          <w:highlight w:val="none"/>
        </w:rPr>
        <w:t>培训要求</w:t>
      </w:r>
      <w:r>
        <w:rPr>
          <w:rFonts w:hint="eastAsia" w:ascii="仿宋" w:hAnsi="仿宋" w:eastAsia="仿宋" w:cs="仿宋"/>
          <w:b w:val="0"/>
          <w:bCs w:val="0"/>
          <w:color w:val="auto"/>
          <w:kern w:val="2"/>
          <w:sz w:val="28"/>
          <w:szCs w:val="28"/>
          <w:highlight w:val="none"/>
          <w:lang w:eastAsia="zh-CN" w:bidi="ar"/>
        </w:rPr>
        <w:t>：</w:t>
      </w:r>
    </w:p>
    <w:p w14:paraId="4D37F8F9">
      <w:pPr>
        <w:widowControl/>
        <w:spacing w:line="480" w:lineRule="exact"/>
        <w:ind w:firstLine="560" w:firstLineChars="200"/>
        <w:jc w:val="left"/>
        <w:rPr>
          <w:color w:val="auto"/>
          <w:sz w:val="28"/>
          <w:szCs w:val="28"/>
          <w:highlight w:val="none"/>
        </w:rPr>
      </w:pPr>
      <w:r>
        <w:rPr>
          <w:rFonts w:hint="eastAsia"/>
          <w:color w:val="auto"/>
          <w:sz w:val="28"/>
          <w:szCs w:val="28"/>
          <w:highlight w:val="none"/>
          <w:lang w:val="en-US" w:eastAsia="zh-CN"/>
        </w:rPr>
        <w:t>乙方</w:t>
      </w:r>
      <w:r>
        <w:rPr>
          <w:color w:val="auto"/>
          <w:sz w:val="28"/>
          <w:szCs w:val="28"/>
          <w:highlight w:val="none"/>
        </w:rPr>
        <w:t>须提前制定培训计划，详细说明培训的对象、内容、方式、时间和培训环境等，提供培训所需的资料、文档，针对培训，还需要制定培训用的PPT讲演稿。培训材料和培训计划应科学合理，保障</w:t>
      </w:r>
      <w:r>
        <w:rPr>
          <w:rFonts w:hint="eastAsia"/>
          <w:color w:val="auto"/>
          <w:sz w:val="28"/>
          <w:szCs w:val="28"/>
          <w:highlight w:val="none"/>
          <w:lang w:val="en-US" w:eastAsia="zh-CN"/>
        </w:rPr>
        <w:t>甲方</w:t>
      </w:r>
      <w:r>
        <w:rPr>
          <w:color w:val="auto"/>
          <w:sz w:val="28"/>
          <w:szCs w:val="28"/>
          <w:highlight w:val="none"/>
        </w:rPr>
        <w:t>业务人员和技术人员能够熟悉相关操作。</w:t>
      </w:r>
    </w:p>
    <w:p w14:paraId="3014B37A">
      <w:pPr>
        <w:widowControl/>
        <w:spacing w:line="480" w:lineRule="exact"/>
        <w:ind w:firstLine="560" w:firstLineChars="200"/>
        <w:jc w:val="left"/>
        <w:rPr>
          <w:color w:val="auto"/>
          <w:sz w:val="28"/>
          <w:szCs w:val="28"/>
          <w:highlight w:val="none"/>
        </w:rPr>
      </w:pPr>
      <w:r>
        <w:rPr>
          <w:color w:val="auto"/>
          <w:sz w:val="28"/>
          <w:szCs w:val="28"/>
          <w:highlight w:val="none"/>
        </w:rPr>
        <w:t>对于所有培训，</w:t>
      </w:r>
      <w:r>
        <w:rPr>
          <w:rFonts w:hint="eastAsia"/>
          <w:color w:val="auto"/>
          <w:sz w:val="28"/>
          <w:szCs w:val="28"/>
          <w:highlight w:val="none"/>
          <w:lang w:val="en-US" w:eastAsia="zh-CN"/>
        </w:rPr>
        <w:t>乙方</w:t>
      </w:r>
      <w:r>
        <w:rPr>
          <w:color w:val="auto"/>
          <w:sz w:val="28"/>
          <w:szCs w:val="28"/>
          <w:highlight w:val="none"/>
        </w:rPr>
        <w:t>须派出相应专业的具有实际工作经验的人员进行培训。培训所使用的语言和书面教材必须是中文。</w:t>
      </w:r>
    </w:p>
    <w:p w14:paraId="7503D033">
      <w:pPr>
        <w:widowControl/>
        <w:numPr>
          <w:ilvl w:val="255"/>
          <w:numId w:val="0"/>
        </w:numPr>
        <w:spacing w:line="480" w:lineRule="exact"/>
        <w:ind w:firstLine="560" w:firstLineChars="200"/>
        <w:jc w:val="left"/>
        <w:rPr>
          <w:color w:val="auto"/>
          <w:sz w:val="28"/>
          <w:szCs w:val="28"/>
          <w:highlight w:val="none"/>
        </w:rPr>
      </w:pPr>
      <w:r>
        <w:rPr>
          <w:color w:val="auto"/>
          <w:sz w:val="28"/>
          <w:szCs w:val="28"/>
          <w:highlight w:val="none"/>
        </w:rPr>
        <w:t>培训次数按照</w:t>
      </w:r>
      <w:r>
        <w:rPr>
          <w:rFonts w:hint="eastAsia"/>
          <w:color w:val="auto"/>
          <w:sz w:val="28"/>
          <w:szCs w:val="28"/>
          <w:highlight w:val="none"/>
          <w:lang w:eastAsia="zh-CN"/>
        </w:rPr>
        <w:t>招标人</w:t>
      </w:r>
      <w:r>
        <w:rPr>
          <w:color w:val="auto"/>
          <w:sz w:val="28"/>
          <w:szCs w:val="28"/>
          <w:highlight w:val="none"/>
        </w:rPr>
        <w:t>实际需要确定，但至少不低于6场次（含课件开发制作培训），</w:t>
      </w:r>
      <w:r>
        <w:rPr>
          <w:color w:val="auto"/>
          <w:sz w:val="28"/>
          <w:szCs w:val="28"/>
          <w:highlight w:val="none"/>
          <w:lang w:val="zh-CN"/>
        </w:rPr>
        <w:t>包括组织</w:t>
      </w:r>
      <w:r>
        <w:rPr>
          <w:rFonts w:hint="eastAsia"/>
          <w:color w:val="auto"/>
          <w:sz w:val="28"/>
          <w:szCs w:val="28"/>
          <w:highlight w:val="none"/>
          <w:lang w:val="en-US" w:eastAsia="zh-CN"/>
        </w:rPr>
        <w:t>甲方</w:t>
      </w:r>
      <w:r>
        <w:rPr>
          <w:color w:val="auto"/>
          <w:sz w:val="28"/>
          <w:szCs w:val="28"/>
          <w:highlight w:val="none"/>
          <w:lang w:val="zh-CN"/>
        </w:rPr>
        <w:t>不少于</w:t>
      </w:r>
      <w:r>
        <w:rPr>
          <w:rFonts w:hint="eastAsia"/>
          <w:color w:val="auto"/>
          <w:sz w:val="28"/>
          <w:szCs w:val="28"/>
          <w:highlight w:val="none"/>
          <w:lang w:val="en-US" w:eastAsia="zh-CN"/>
        </w:rPr>
        <w:t>10</w:t>
      </w:r>
      <w:r>
        <w:rPr>
          <w:color w:val="auto"/>
          <w:sz w:val="28"/>
          <w:szCs w:val="28"/>
          <w:highlight w:val="none"/>
          <w:lang w:val="zh-CN"/>
        </w:rPr>
        <w:t>人次的行业调研与考察工作</w:t>
      </w:r>
      <w:r>
        <w:rPr>
          <w:rFonts w:hint="eastAsia"/>
          <w:color w:val="auto"/>
          <w:sz w:val="28"/>
          <w:szCs w:val="28"/>
          <w:highlight w:val="none"/>
          <w:lang w:val="zh-CN"/>
        </w:rPr>
        <w:t>，相关调研可分批次实施，人次和时长不超过需求即可</w:t>
      </w:r>
      <w:r>
        <w:rPr>
          <w:color w:val="auto"/>
          <w:sz w:val="28"/>
          <w:szCs w:val="28"/>
          <w:highlight w:val="none"/>
        </w:rPr>
        <w:t>。</w:t>
      </w:r>
    </w:p>
    <w:p w14:paraId="7BD339AF">
      <w:pPr>
        <w:widowControl/>
        <w:spacing w:line="480" w:lineRule="exact"/>
        <w:ind w:firstLine="560" w:firstLineChars="200"/>
        <w:jc w:val="left"/>
        <w:rPr>
          <w:color w:val="auto"/>
          <w:sz w:val="28"/>
          <w:szCs w:val="28"/>
          <w:highlight w:val="none"/>
          <w:lang w:val="zh-CN"/>
        </w:rPr>
      </w:pPr>
      <w:r>
        <w:rPr>
          <w:color w:val="auto"/>
          <w:sz w:val="28"/>
          <w:szCs w:val="28"/>
          <w:highlight w:val="none"/>
          <w:lang w:val="zh-CN"/>
        </w:rPr>
        <w:t>包括但不限于：</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269"/>
        <w:gridCol w:w="1846"/>
        <w:gridCol w:w="1800"/>
        <w:gridCol w:w="1616"/>
        <w:gridCol w:w="2040"/>
      </w:tblGrid>
      <w:tr w14:paraId="6F8C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1A78A517">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编号</w:t>
            </w:r>
          </w:p>
        </w:tc>
        <w:tc>
          <w:tcPr>
            <w:tcW w:w="1269" w:type="dxa"/>
            <w:vAlign w:val="center"/>
          </w:tcPr>
          <w:p w14:paraId="6DC0F17D">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培训对象</w:t>
            </w:r>
          </w:p>
        </w:tc>
        <w:tc>
          <w:tcPr>
            <w:tcW w:w="1846" w:type="dxa"/>
            <w:vAlign w:val="center"/>
          </w:tcPr>
          <w:p w14:paraId="5F1A0438">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培训目标</w:t>
            </w:r>
          </w:p>
        </w:tc>
        <w:tc>
          <w:tcPr>
            <w:tcW w:w="1800" w:type="dxa"/>
            <w:vAlign w:val="center"/>
          </w:tcPr>
          <w:p w14:paraId="76D4F626">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培训内容</w:t>
            </w:r>
          </w:p>
        </w:tc>
        <w:tc>
          <w:tcPr>
            <w:tcW w:w="1616" w:type="dxa"/>
            <w:vAlign w:val="center"/>
          </w:tcPr>
          <w:p w14:paraId="4BDEFF76">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培训形式</w:t>
            </w:r>
          </w:p>
        </w:tc>
        <w:tc>
          <w:tcPr>
            <w:tcW w:w="2040" w:type="dxa"/>
            <w:vAlign w:val="center"/>
          </w:tcPr>
          <w:p w14:paraId="184DF424">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培训材料</w:t>
            </w:r>
          </w:p>
        </w:tc>
      </w:tr>
      <w:tr w14:paraId="4EE4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07A7AB28">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69" w:type="dxa"/>
          </w:tcPr>
          <w:p w14:paraId="16E71E82">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普通用户</w:t>
            </w:r>
          </w:p>
        </w:tc>
        <w:tc>
          <w:tcPr>
            <w:tcW w:w="1846" w:type="dxa"/>
          </w:tcPr>
          <w:p w14:paraId="182CA702">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掌握系统操作方法</w:t>
            </w:r>
          </w:p>
        </w:tc>
        <w:tc>
          <w:tcPr>
            <w:tcW w:w="1800" w:type="dxa"/>
          </w:tcPr>
          <w:p w14:paraId="20071E02">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日常操作方法</w:t>
            </w:r>
          </w:p>
        </w:tc>
        <w:tc>
          <w:tcPr>
            <w:tcW w:w="1616" w:type="dxa"/>
          </w:tcPr>
          <w:p w14:paraId="361ADC4D">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下发培训资料（或专场培训）</w:t>
            </w:r>
          </w:p>
        </w:tc>
        <w:tc>
          <w:tcPr>
            <w:tcW w:w="2040" w:type="dxa"/>
          </w:tcPr>
          <w:p w14:paraId="01E488FE">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使用说明书、常见问题、操作视频</w:t>
            </w:r>
          </w:p>
        </w:tc>
      </w:tr>
      <w:tr w14:paraId="73D4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5CEE4AD0">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69" w:type="dxa"/>
          </w:tcPr>
          <w:p w14:paraId="2C4BD0DD">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关键用户</w:t>
            </w:r>
          </w:p>
        </w:tc>
        <w:tc>
          <w:tcPr>
            <w:tcW w:w="1846" w:type="dxa"/>
          </w:tcPr>
          <w:p w14:paraId="55D92457">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掌握系统操作方法、常见问题处理</w:t>
            </w:r>
          </w:p>
        </w:tc>
        <w:tc>
          <w:tcPr>
            <w:tcW w:w="1800" w:type="dxa"/>
          </w:tcPr>
          <w:p w14:paraId="23365481">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1、日常操作方法。</w:t>
            </w:r>
          </w:p>
          <w:p w14:paraId="7A911844">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2、常见问题处理</w:t>
            </w:r>
          </w:p>
        </w:tc>
        <w:tc>
          <w:tcPr>
            <w:tcW w:w="1616" w:type="dxa"/>
          </w:tcPr>
          <w:p w14:paraId="7F4E891E">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专场培训</w:t>
            </w:r>
          </w:p>
        </w:tc>
        <w:tc>
          <w:tcPr>
            <w:tcW w:w="2040" w:type="dxa"/>
          </w:tcPr>
          <w:p w14:paraId="356DE9F4">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使用说明书、常见问题、操作视频</w:t>
            </w:r>
          </w:p>
        </w:tc>
      </w:tr>
      <w:tr w14:paraId="6F6E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041BCB10">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69" w:type="dxa"/>
          </w:tcPr>
          <w:p w14:paraId="561B56E0">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系统管理员</w:t>
            </w:r>
          </w:p>
        </w:tc>
        <w:tc>
          <w:tcPr>
            <w:tcW w:w="1846" w:type="dxa"/>
          </w:tcPr>
          <w:p w14:paraId="1A9C6267">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了解系统架构、掌握系统配置方法、常见问题处理</w:t>
            </w:r>
          </w:p>
        </w:tc>
        <w:tc>
          <w:tcPr>
            <w:tcW w:w="1800" w:type="dxa"/>
          </w:tcPr>
          <w:p w14:paraId="3C18A2F8">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1、软件安装配置。</w:t>
            </w:r>
          </w:p>
          <w:p w14:paraId="282D28A8">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2、系统日常维护。</w:t>
            </w:r>
          </w:p>
          <w:p w14:paraId="6B53E01D">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3、系统架构配置。</w:t>
            </w:r>
          </w:p>
        </w:tc>
        <w:tc>
          <w:tcPr>
            <w:tcW w:w="1616" w:type="dxa"/>
          </w:tcPr>
          <w:p w14:paraId="5CD46574">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专场培训/一对一实操培训</w:t>
            </w:r>
          </w:p>
        </w:tc>
        <w:tc>
          <w:tcPr>
            <w:tcW w:w="2040" w:type="dxa"/>
          </w:tcPr>
          <w:p w14:paraId="5AE17C6E">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使用说明书、常见问题、操作视频</w:t>
            </w:r>
          </w:p>
        </w:tc>
      </w:tr>
    </w:tbl>
    <w:p w14:paraId="08580A72">
      <w:pPr>
        <w:widowControl/>
        <w:snapToGrid/>
        <w:spacing w:after="0" w:afterAutospacing="0" w:line="480" w:lineRule="exact"/>
        <w:ind w:left="420" w:firstLine="560" w:firstLineChars="200"/>
        <w:outlineLvl w:val="9"/>
        <w:rPr>
          <w:rFonts w:hint="eastAsia" w:ascii="仿宋" w:hAnsi="仿宋" w:eastAsia="仿宋" w:cs="仿宋"/>
          <w:b w:val="0"/>
          <w:bCs w:val="0"/>
          <w:color w:val="auto"/>
          <w:kern w:val="2"/>
          <w:sz w:val="28"/>
          <w:szCs w:val="28"/>
          <w:highlight w:val="none"/>
          <w:lang w:bidi="ar"/>
        </w:rPr>
      </w:pPr>
      <w:r>
        <w:rPr>
          <w:rFonts w:hint="eastAsia" w:ascii="仿宋" w:hAnsi="仿宋" w:eastAsia="仿宋" w:cs="仿宋"/>
          <w:b w:val="0"/>
          <w:bCs w:val="0"/>
          <w:color w:val="auto"/>
          <w:kern w:val="2"/>
          <w:sz w:val="28"/>
          <w:szCs w:val="28"/>
          <w:highlight w:val="none"/>
          <w:lang w:eastAsia="zh-CN" w:bidi="ar"/>
        </w:rPr>
        <w:t>（</w:t>
      </w:r>
      <w:r>
        <w:rPr>
          <w:rFonts w:hint="eastAsia" w:ascii="仿宋" w:hAnsi="仿宋" w:eastAsia="仿宋" w:cs="仿宋"/>
          <w:b w:val="0"/>
          <w:bCs w:val="0"/>
          <w:color w:val="auto"/>
          <w:kern w:val="2"/>
          <w:sz w:val="28"/>
          <w:szCs w:val="28"/>
          <w:highlight w:val="none"/>
          <w:lang w:val="en-US" w:eastAsia="zh-CN" w:bidi="ar"/>
        </w:rPr>
        <w:t>2</w:t>
      </w:r>
      <w:r>
        <w:rPr>
          <w:rFonts w:hint="eastAsia" w:ascii="仿宋" w:hAnsi="仿宋" w:eastAsia="仿宋" w:cs="仿宋"/>
          <w:b w:val="0"/>
          <w:bCs w:val="0"/>
          <w:color w:val="auto"/>
          <w:kern w:val="2"/>
          <w:sz w:val="28"/>
          <w:szCs w:val="28"/>
          <w:highlight w:val="none"/>
          <w:lang w:eastAsia="zh-CN" w:bidi="ar"/>
        </w:rPr>
        <w:t>）</w:t>
      </w:r>
      <w:r>
        <w:rPr>
          <w:rFonts w:hint="eastAsia" w:ascii="仿宋" w:hAnsi="仿宋" w:eastAsia="仿宋" w:cs="仿宋"/>
          <w:b w:val="0"/>
          <w:bCs w:val="0"/>
          <w:color w:val="auto"/>
          <w:kern w:val="2"/>
          <w:sz w:val="28"/>
          <w:szCs w:val="28"/>
          <w:highlight w:val="none"/>
          <w:lang w:bidi="ar"/>
        </w:rPr>
        <w:t>培训内容</w:t>
      </w:r>
      <w:r>
        <w:rPr>
          <w:rFonts w:hint="eastAsia" w:ascii="仿宋" w:hAnsi="仿宋" w:eastAsia="仿宋" w:cs="仿宋"/>
          <w:b w:val="0"/>
          <w:bCs w:val="0"/>
          <w:color w:val="auto"/>
          <w:kern w:val="2"/>
          <w:sz w:val="28"/>
          <w:szCs w:val="28"/>
          <w:highlight w:val="none"/>
          <w:lang w:eastAsia="zh-CN" w:bidi="ar"/>
        </w:rPr>
        <w:t>：</w:t>
      </w:r>
    </w:p>
    <w:p w14:paraId="5E6A952F">
      <w:pPr>
        <w:widowControl/>
        <w:snapToGrid/>
        <w:spacing w:after="0" w:afterAutospacing="0" w:line="480" w:lineRule="exact"/>
        <w:ind w:left="420" w:firstLine="560" w:firstLineChars="200"/>
        <w:outlineLvl w:val="0"/>
        <w:rPr>
          <w:rFonts w:hint="eastAsia" w:ascii="仿宋" w:hAnsi="仿宋" w:eastAsia="仿宋" w:cs="仿宋"/>
          <w:b w:val="0"/>
          <w:bCs w:val="0"/>
          <w:color w:val="auto"/>
          <w:kern w:val="2"/>
          <w:sz w:val="28"/>
          <w:szCs w:val="28"/>
          <w:highlight w:val="none"/>
          <w:lang w:bidi="ar"/>
        </w:rPr>
      </w:pPr>
      <w:bookmarkStart w:id="789" w:name="_Toc26351"/>
      <w:bookmarkStart w:id="790" w:name="_Toc23557"/>
      <w:r>
        <w:rPr>
          <w:rFonts w:hint="eastAsia" w:ascii="仿宋" w:hAnsi="仿宋" w:eastAsia="仿宋" w:cs="仿宋"/>
          <w:b w:val="0"/>
          <w:bCs w:val="0"/>
          <w:color w:val="auto"/>
          <w:kern w:val="2"/>
          <w:sz w:val="28"/>
          <w:szCs w:val="28"/>
          <w:highlight w:val="none"/>
          <w:lang w:bidi="ar"/>
        </w:rPr>
        <w:t>培训应针对系统功能、业务逻辑、权限管理、用户管理、系统使用、系统日常检查、日常维护、课件开发、及各模块关键用户的使用操作和权限管理进行。</w:t>
      </w:r>
      <w:bookmarkEnd w:id="789"/>
      <w:bookmarkEnd w:id="790"/>
    </w:p>
    <w:p w14:paraId="1C33FDE7">
      <w:pPr>
        <w:widowControl/>
        <w:snapToGrid/>
        <w:spacing w:after="0" w:afterAutospacing="0" w:line="480" w:lineRule="exact"/>
        <w:ind w:left="0" w:firstLine="638" w:firstLineChars="228"/>
        <w:outlineLvl w:val="9"/>
        <w:rPr>
          <w:rFonts w:hint="default" w:ascii="仿宋" w:hAnsi="仿宋" w:eastAsia="仿宋" w:cs="仿宋"/>
          <w:b w:val="0"/>
          <w:bCs w:val="0"/>
          <w:color w:val="auto"/>
          <w:kern w:val="2"/>
          <w:sz w:val="28"/>
          <w:szCs w:val="28"/>
          <w:highlight w:val="none"/>
          <w:lang w:val="en-US" w:eastAsia="zh-CN" w:bidi="ar"/>
        </w:rPr>
      </w:pPr>
      <w:r>
        <w:rPr>
          <w:rFonts w:hint="eastAsia" w:ascii="仿宋" w:hAnsi="仿宋" w:eastAsia="仿宋" w:cs="仿宋"/>
          <w:b w:val="0"/>
          <w:bCs w:val="0"/>
          <w:color w:val="auto"/>
          <w:kern w:val="2"/>
          <w:sz w:val="28"/>
          <w:szCs w:val="28"/>
          <w:highlight w:val="none"/>
          <w:lang w:eastAsia="zh-CN" w:bidi="ar"/>
        </w:rPr>
        <w:t>（</w:t>
      </w:r>
      <w:r>
        <w:rPr>
          <w:rFonts w:hint="eastAsia" w:ascii="仿宋" w:hAnsi="仿宋" w:eastAsia="仿宋" w:cs="仿宋"/>
          <w:b w:val="0"/>
          <w:bCs w:val="0"/>
          <w:color w:val="auto"/>
          <w:kern w:val="2"/>
          <w:sz w:val="28"/>
          <w:szCs w:val="28"/>
          <w:highlight w:val="none"/>
          <w:lang w:val="en-US" w:eastAsia="zh-CN" w:bidi="ar"/>
        </w:rPr>
        <w:t>3</w:t>
      </w:r>
      <w:r>
        <w:rPr>
          <w:rFonts w:hint="eastAsia" w:ascii="仿宋" w:hAnsi="仿宋" w:eastAsia="仿宋" w:cs="仿宋"/>
          <w:b w:val="0"/>
          <w:bCs w:val="0"/>
          <w:color w:val="auto"/>
          <w:kern w:val="2"/>
          <w:sz w:val="28"/>
          <w:szCs w:val="28"/>
          <w:highlight w:val="none"/>
          <w:lang w:eastAsia="zh-CN" w:bidi="ar"/>
        </w:rPr>
        <w:t>）</w:t>
      </w:r>
      <w:r>
        <w:rPr>
          <w:rFonts w:hint="eastAsia" w:ascii="仿宋" w:hAnsi="仿宋" w:eastAsia="仿宋" w:cs="仿宋"/>
          <w:b w:val="0"/>
          <w:bCs w:val="0"/>
          <w:color w:val="auto"/>
          <w:kern w:val="2"/>
          <w:sz w:val="28"/>
          <w:szCs w:val="28"/>
          <w:highlight w:val="none"/>
          <w:lang w:val="en-US" w:eastAsia="zh-CN" w:bidi="ar"/>
        </w:rPr>
        <w:t>其他培训内容具体详见用户需求书。</w:t>
      </w:r>
    </w:p>
    <w:p w14:paraId="19865879">
      <w:pPr>
        <w:widowControl/>
        <w:snapToGrid/>
        <w:spacing w:after="0" w:afterAutospacing="0" w:line="480" w:lineRule="exact"/>
        <w:ind w:left="0" w:firstLine="638" w:firstLineChars="228"/>
        <w:outlineLvl w:val="9"/>
        <w:rPr>
          <w:rFonts w:hint="default" w:ascii="仿宋" w:hAnsi="仿宋" w:eastAsia="仿宋" w:cs="仿宋"/>
          <w:b w:val="0"/>
          <w:bCs w:val="0"/>
          <w:color w:val="auto"/>
          <w:kern w:val="2"/>
          <w:sz w:val="28"/>
          <w:szCs w:val="28"/>
          <w:highlight w:val="none"/>
          <w:lang w:val="en-US" w:eastAsia="zh-CN" w:bidi="ar"/>
        </w:rPr>
      </w:pPr>
      <w:r>
        <w:rPr>
          <w:rFonts w:hint="eastAsia" w:ascii="仿宋" w:hAnsi="仿宋" w:eastAsia="仿宋" w:cs="仿宋"/>
          <w:b w:val="0"/>
          <w:bCs w:val="0"/>
          <w:color w:val="auto"/>
          <w:kern w:val="2"/>
          <w:sz w:val="28"/>
          <w:szCs w:val="28"/>
          <w:highlight w:val="none"/>
          <w:lang w:eastAsia="zh-CN" w:bidi="ar"/>
        </w:rPr>
        <w:t>（</w:t>
      </w:r>
      <w:r>
        <w:rPr>
          <w:rFonts w:hint="eastAsia" w:ascii="仿宋" w:hAnsi="仿宋" w:eastAsia="仿宋" w:cs="仿宋"/>
          <w:b w:val="0"/>
          <w:bCs w:val="0"/>
          <w:color w:val="auto"/>
          <w:kern w:val="2"/>
          <w:sz w:val="28"/>
          <w:szCs w:val="28"/>
          <w:highlight w:val="none"/>
          <w:lang w:val="en-US" w:eastAsia="zh-CN" w:bidi="ar"/>
        </w:rPr>
        <w:t>4</w:t>
      </w:r>
      <w:r>
        <w:rPr>
          <w:rFonts w:hint="eastAsia" w:ascii="仿宋" w:hAnsi="仿宋" w:eastAsia="仿宋" w:cs="仿宋"/>
          <w:b w:val="0"/>
          <w:bCs w:val="0"/>
          <w:color w:val="auto"/>
          <w:kern w:val="2"/>
          <w:sz w:val="28"/>
          <w:szCs w:val="28"/>
          <w:highlight w:val="none"/>
          <w:lang w:eastAsia="zh-CN" w:bidi="ar"/>
        </w:rPr>
        <w:t>）</w:t>
      </w:r>
      <w:r>
        <w:rPr>
          <w:rFonts w:hint="eastAsia" w:ascii="仿宋" w:hAnsi="仿宋" w:eastAsia="仿宋" w:cs="仿宋"/>
          <w:b w:val="0"/>
          <w:bCs w:val="0"/>
          <w:color w:val="auto"/>
          <w:kern w:val="2"/>
          <w:sz w:val="28"/>
          <w:szCs w:val="28"/>
          <w:highlight w:val="none"/>
          <w:lang w:val="en-US" w:eastAsia="zh-CN" w:bidi="ar"/>
        </w:rPr>
        <w:t>如乙方在培训过程中不配合或达不到培训目标的要求，甲方有权要求乙方支付的违约金数额（10000元/次），并要求在规定时间内作出整改，如乙方未满足培训目标次数超过3次，甲方有权单方面解除合同，并要求乙方承担合同总额【20】%的违约金。</w:t>
      </w:r>
    </w:p>
    <w:p w14:paraId="20955C10">
      <w:pPr>
        <w:widowControl/>
        <w:spacing w:line="480" w:lineRule="exact"/>
        <w:ind w:firstLine="560" w:firstLineChars="200"/>
        <w:jc w:val="left"/>
        <w:outlineLvl w:val="9"/>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二、人员考核</w:t>
      </w:r>
    </w:p>
    <w:p w14:paraId="0A9E945C">
      <w:pPr>
        <w:widowControl/>
        <w:spacing w:line="480" w:lineRule="exact"/>
        <w:ind w:firstLine="560" w:firstLineChars="200"/>
        <w:jc w:val="left"/>
        <w:outlineLvl w:val="9"/>
        <w:rPr>
          <w:rFonts w:hint="default"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乙方</w:t>
      </w:r>
      <w:r>
        <w:rPr>
          <w:rFonts w:hint="eastAsia" w:ascii="仿宋" w:hAnsi="仿宋" w:eastAsia="仿宋" w:cs="仿宋"/>
          <w:b w:val="0"/>
          <w:bCs w:val="0"/>
          <w:color w:val="auto"/>
          <w:sz w:val="28"/>
          <w:szCs w:val="28"/>
          <w:highlight w:val="none"/>
          <w:lang w:eastAsia="zh-CN"/>
        </w:rPr>
        <w:t>拟投入本工程的项目负责人</w:t>
      </w:r>
      <w:r>
        <w:rPr>
          <w:rFonts w:hint="eastAsia" w:ascii="仿宋" w:hAnsi="仿宋" w:eastAsia="仿宋" w:cs="仿宋"/>
          <w:b w:val="0"/>
          <w:bCs w:val="0"/>
          <w:color w:val="auto"/>
          <w:sz w:val="28"/>
          <w:szCs w:val="28"/>
          <w:highlight w:val="none"/>
          <w:lang w:val="en-US" w:eastAsia="zh-CN"/>
        </w:rPr>
        <w:t>和其他人员在项目建设期间</w:t>
      </w:r>
      <w:r>
        <w:rPr>
          <w:rFonts w:hint="eastAsia" w:ascii="仿宋" w:hAnsi="仿宋" w:eastAsia="仿宋" w:cs="仿宋"/>
          <w:b w:val="0"/>
          <w:bCs w:val="0"/>
          <w:color w:val="auto"/>
          <w:sz w:val="28"/>
          <w:szCs w:val="28"/>
          <w:highlight w:val="none"/>
          <w:lang w:eastAsia="zh-CN"/>
        </w:rPr>
        <w:t>必须常驻</w:t>
      </w:r>
      <w:r>
        <w:rPr>
          <w:rFonts w:hint="eastAsia" w:ascii="仿宋" w:hAnsi="仿宋" w:eastAsia="仿宋" w:cs="仿宋"/>
          <w:b w:val="0"/>
          <w:bCs w:val="0"/>
          <w:color w:val="auto"/>
          <w:sz w:val="28"/>
          <w:szCs w:val="28"/>
          <w:highlight w:val="none"/>
          <w:lang w:val="en-US" w:eastAsia="zh-CN"/>
        </w:rPr>
        <w:t>项目</w:t>
      </w:r>
      <w:r>
        <w:rPr>
          <w:rFonts w:hint="eastAsia" w:ascii="仿宋" w:hAnsi="仿宋" w:eastAsia="仿宋" w:cs="仿宋"/>
          <w:b w:val="0"/>
          <w:bCs w:val="0"/>
          <w:color w:val="auto"/>
          <w:sz w:val="28"/>
          <w:szCs w:val="28"/>
          <w:highlight w:val="none"/>
          <w:lang w:eastAsia="zh-CN"/>
        </w:rPr>
        <w:t>现场</w:t>
      </w:r>
      <w:r>
        <w:rPr>
          <w:rFonts w:hint="eastAsia" w:ascii="仿宋" w:hAnsi="仿宋" w:eastAsia="仿宋" w:cs="仿宋"/>
          <w:color w:val="auto"/>
          <w:sz w:val="28"/>
          <w:szCs w:val="28"/>
          <w:highlight w:val="none"/>
          <w:lang w:eastAsia="zh-CN"/>
        </w:rPr>
        <w:t>，质保期内常驻现场人员不少于</w:t>
      </w:r>
      <w:r>
        <w:rPr>
          <w:rFonts w:hint="eastAsia" w:ascii="仿宋" w:hAnsi="仿宋" w:eastAsia="仿宋" w:cs="仿宋"/>
          <w:color w:val="auto"/>
          <w:sz w:val="28"/>
          <w:szCs w:val="28"/>
          <w:highlight w:val="none"/>
          <w:lang w:val="en-US" w:eastAsia="zh-CN"/>
        </w:rPr>
        <w:t>2人。</w:t>
      </w:r>
    </w:p>
    <w:p w14:paraId="69E0CB30">
      <w:pPr>
        <w:widowControl/>
        <w:spacing w:line="48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乙方</w:t>
      </w:r>
      <w:r>
        <w:rPr>
          <w:rFonts w:hint="eastAsia" w:ascii="仿宋" w:hAnsi="仿宋" w:eastAsia="仿宋" w:cs="仿宋"/>
          <w:b w:val="0"/>
          <w:bCs w:val="0"/>
          <w:color w:val="auto"/>
          <w:sz w:val="28"/>
          <w:szCs w:val="28"/>
          <w:highlight w:val="none"/>
          <w:lang w:eastAsia="zh-CN"/>
        </w:rPr>
        <w:t>拟派驻本项目的项目负责人除发生以下情形之一外，不得更换：因重病或重伤（持有县、区以上医院证明）两个月以上不能履行职责的；主动辞职或调离原工作单位的；因管理原因发生重大工程质量、安全事故；无能力履行合同的责任和义务，造成严重后果，</w:t>
      </w:r>
      <w:r>
        <w:rPr>
          <w:rFonts w:hint="eastAsia" w:ascii="仿宋" w:hAnsi="仿宋" w:eastAsia="仿宋" w:cs="仿宋"/>
          <w:b w:val="0"/>
          <w:bCs w:val="0"/>
          <w:color w:val="auto"/>
          <w:sz w:val="28"/>
          <w:szCs w:val="28"/>
          <w:highlight w:val="none"/>
          <w:lang w:val="en-US" w:eastAsia="zh-CN"/>
        </w:rPr>
        <w:t>甲方</w:t>
      </w:r>
      <w:r>
        <w:rPr>
          <w:rFonts w:hint="eastAsia" w:ascii="仿宋" w:hAnsi="仿宋" w:eastAsia="仿宋" w:cs="仿宋"/>
          <w:b w:val="0"/>
          <w:bCs w:val="0"/>
          <w:color w:val="auto"/>
          <w:sz w:val="28"/>
          <w:szCs w:val="28"/>
          <w:highlight w:val="none"/>
          <w:lang w:eastAsia="zh-CN"/>
        </w:rPr>
        <w:t>要求更换的；因违法被责令停止执业的；被司法机关羁押或判刑的；死亡的。更换项目负责人情形时，更换人员的专业要相符，等级必须不低于被更换的项目负责人</w:t>
      </w:r>
      <w:r>
        <w:rPr>
          <w:rFonts w:hint="eastAsia" w:ascii="仿宋" w:hAnsi="仿宋" w:eastAsia="仿宋" w:cs="仿宋"/>
          <w:b w:val="0"/>
          <w:bCs w:val="0"/>
          <w:color w:val="auto"/>
          <w:sz w:val="28"/>
          <w:szCs w:val="28"/>
          <w:highlight w:val="none"/>
          <w:lang w:val="en-US" w:eastAsia="zh-CN"/>
        </w:rPr>
        <w:t>，须提前15天提供书面资料至甲方，并经甲方签字确认后方可更换</w:t>
      </w:r>
      <w:r>
        <w:rPr>
          <w:rFonts w:hint="eastAsia" w:ascii="仿宋" w:hAnsi="仿宋" w:eastAsia="仿宋" w:cs="仿宋"/>
          <w:b w:val="0"/>
          <w:bCs w:val="0"/>
          <w:color w:val="auto"/>
          <w:sz w:val="28"/>
          <w:szCs w:val="28"/>
          <w:highlight w:val="none"/>
          <w:lang w:eastAsia="zh-CN"/>
        </w:rPr>
        <w:t>。且前述除死亡的情形外</w:t>
      </w:r>
      <w:r>
        <w:rPr>
          <w:rFonts w:hint="eastAsia" w:ascii="仿宋" w:hAnsi="仿宋" w:eastAsia="仿宋" w:cs="仿宋"/>
          <w:color w:val="auto"/>
          <w:sz w:val="28"/>
          <w:szCs w:val="28"/>
          <w:highlight w:val="none"/>
        </w:rPr>
        <w:t>。</w:t>
      </w:r>
    </w:p>
    <w:p w14:paraId="26F1594C">
      <w:pPr>
        <w:widowControl/>
        <w:spacing w:line="48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项目负责人临时离开现场必须向甲方提交书面请假，经批准方可离开，否则视为承包人的违约行为，每次违约，甲方对乙方处予每次人民币10000元的违约金。</w:t>
      </w:r>
    </w:p>
    <w:p w14:paraId="37A862AC">
      <w:pPr>
        <w:widowControl w:val="0"/>
        <w:snapToGrid/>
        <w:spacing w:after="0" w:afterAutospacing="0" w:line="480" w:lineRule="exact"/>
        <w:ind w:left="0" w:firstLine="638" w:firstLineChars="228"/>
        <w:outlineLvl w:val="0"/>
        <w:rPr>
          <w:rFonts w:hint="default"/>
          <w:color w:val="auto"/>
          <w:sz w:val="28"/>
          <w:szCs w:val="28"/>
          <w:highlight w:val="none"/>
          <w:lang w:val="en-US"/>
        </w:rPr>
      </w:pPr>
      <w:bookmarkStart w:id="791" w:name="_Toc20870"/>
      <w:bookmarkStart w:id="792" w:name="_Toc2411"/>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项目拟派人员须与投标文件项目组成人员配置表保持一致，经发现人员不一致的，甲方</w:t>
      </w:r>
      <w:r>
        <w:rPr>
          <w:rFonts w:hint="eastAsia" w:ascii="仿宋" w:hAnsi="仿宋" w:eastAsia="仿宋" w:cs="仿宋"/>
          <w:b w:val="0"/>
          <w:bCs w:val="0"/>
          <w:color w:val="auto"/>
          <w:sz w:val="28"/>
          <w:szCs w:val="28"/>
          <w:highlight w:val="none"/>
          <w:lang w:eastAsia="zh-CN"/>
        </w:rPr>
        <w:t>对</w:t>
      </w:r>
      <w:r>
        <w:rPr>
          <w:rFonts w:hint="eastAsia" w:ascii="仿宋" w:hAnsi="仿宋" w:eastAsia="仿宋" w:cs="仿宋"/>
          <w:b w:val="0"/>
          <w:bCs w:val="0"/>
          <w:color w:val="auto"/>
          <w:sz w:val="28"/>
          <w:szCs w:val="28"/>
          <w:highlight w:val="none"/>
          <w:lang w:val="en-US" w:eastAsia="zh-CN"/>
        </w:rPr>
        <w:t>乙方</w:t>
      </w:r>
      <w:r>
        <w:rPr>
          <w:rFonts w:hint="eastAsia" w:ascii="仿宋" w:hAnsi="仿宋" w:eastAsia="仿宋" w:cs="仿宋"/>
          <w:b w:val="0"/>
          <w:bCs w:val="0"/>
          <w:color w:val="auto"/>
          <w:sz w:val="28"/>
          <w:szCs w:val="28"/>
          <w:highlight w:val="none"/>
          <w:lang w:eastAsia="zh-CN"/>
        </w:rPr>
        <w:t>处予人民币</w:t>
      </w:r>
      <w:r>
        <w:rPr>
          <w:rFonts w:hint="eastAsia" w:ascii="仿宋" w:hAnsi="仿宋" w:eastAsia="仿宋" w:cs="仿宋"/>
          <w:b w:val="0"/>
          <w:bCs w:val="0"/>
          <w:color w:val="auto"/>
          <w:sz w:val="28"/>
          <w:szCs w:val="28"/>
          <w:highlight w:val="none"/>
          <w:lang w:val="en-US" w:eastAsia="zh-CN"/>
        </w:rPr>
        <w:t>每人每次</w:t>
      </w:r>
      <w:r>
        <w:rPr>
          <w:rFonts w:hint="eastAsia" w:ascii="仿宋" w:hAnsi="仿宋" w:eastAsia="仿宋" w:cs="仿宋"/>
          <w:b w:val="0"/>
          <w:bCs w:val="0"/>
          <w:color w:val="auto"/>
          <w:sz w:val="28"/>
          <w:szCs w:val="28"/>
          <w:highlight w:val="none"/>
          <w:lang w:eastAsia="zh-CN"/>
        </w:rPr>
        <w:t>10000元的违约金，</w:t>
      </w:r>
      <w:r>
        <w:rPr>
          <w:rFonts w:hint="eastAsia" w:ascii="仿宋" w:hAnsi="仿宋" w:eastAsia="仿宋" w:cs="仿宋"/>
          <w:b w:val="0"/>
          <w:bCs w:val="0"/>
          <w:color w:val="auto"/>
          <w:sz w:val="28"/>
          <w:szCs w:val="28"/>
          <w:highlight w:val="none"/>
          <w:lang w:val="en-US" w:eastAsia="zh-CN"/>
        </w:rPr>
        <w:t>并要求乙方及时作出整改，未按规定时间内整改的，</w:t>
      </w:r>
      <w:r>
        <w:rPr>
          <w:rFonts w:hint="eastAsia" w:ascii="仿宋" w:hAnsi="仿宋" w:eastAsia="仿宋" w:cs="仿宋"/>
          <w:b w:val="0"/>
          <w:bCs w:val="0"/>
          <w:color w:val="auto"/>
          <w:kern w:val="2"/>
          <w:sz w:val="28"/>
          <w:szCs w:val="28"/>
          <w:highlight w:val="none"/>
          <w:lang w:val="en-US" w:eastAsia="zh-CN" w:bidi="ar"/>
        </w:rPr>
        <w:t>甲方有权单方面解除合同，并要求乙方承担合同总额【20】%的违约金。</w:t>
      </w:r>
      <w:bookmarkEnd w:id="791"/>
      <w:bookmarkEnd w:id="792"/>
    </w:p>
    <w:p w14:paraId="552C978A">
      <w:pPr>
        <w:widowControl w:val="0"/>
        <w:snapToGrid w:val="0"/>
        <w:spacing w:after="0" w:afterAutospacing="0" w:line="480" w:lineRule="exact"/>
        <w:ind w:left="0" w:firstLine="638" w:firstLineChars="228"/>
        <w:outlineLvl w:val="0"/>
        <w:rPr>
          <w:rFonts w:hint="default"/>
          <w:color w:val="auto"/>
          <w:highlight w:val="none"/>
          <w:lang w:val="en-US"/>
        </w:rPr>
      </w:pPr>
      <w:bookmarkStart w:id="793" w:name="_Toc2612"/>
      <w:bookmarkStart w:id="794" w:name="_Toc23680"/>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甲方不定期对现场人员进行检查，并在检查期间签署考核表，经甲方发现人员不到位，违反甲方安全管理制度或施工安全管理规定的，甲方</w:t>
      </w:r>
      <w:r>
        <w:rPr>
          <w:rFonts w:hint="eastAsia" w:ascii="仿宋" w:hAnsi="仿宋" w:eastAsia="仿宋" w:cs="仿宋"/>
          <w:b w:val="0"/>
          <w:bCs w:val="0"/>
          <w:color w:val="auto"/>
          <w:sz w:val="28"/>
          <w:szCs w:val="28"/>
          <w:highlight w:val="none"/>
          <w:lang w:eastAsia="zh-CN"/>
        </w:rPr>
        <w:t>对</w:t>
      </w:r>
      <w:r>
        <w:rPr>
          <w:rFonts w:hint="eastAsia" w:ascii="仿宋" w:hAnsi="仿宋" w:eastAsia="仿宋" w:cs="仿宋"/>
          <w:b w:val="0"/>
          <w:bCs w:val="0"/>
          <w:color w:val="auto"/>
          <w:sz w:val="28"/>
          <w:szCs w:val="28"/>
          <w:highlight w:val="none"/>
          <w:lang w:val="en-US" w:eastAsia="zh-CN"/>
        </w:rPr>
        <w:t>乙方</w:t>
      </w:r>
      <w:r>
        <w:rPr>
          <w:rFonts w:hint="eastAsia" w:ascii="仿宋" w:hAnsi="仿宋" w:eastAsia="仿宋" w:cs="仿宋"/>
          <w:b w:val="0"/>
          <w:bCs w:val="0"/>
          <w:color w:val="auto"/>
          <w:sz w:val="28"/>
          <w:szCs w:val="28"/>
          <w:highlight w:val="none"/>
          <w:lang w:eastAsia="zh-CN"/>
        </w:rPr>
        <w:t>处予人民币</w:t>
      </w:r>
      <w:r>
        <w:rPr>
          <w:rFonts w:hint="eastAsia" w:ascii="仿宋" w:hAnsi="仿宋" w:eastAsia="仿宋" w:cs="仿宋"/>
          <w:b w:val="0"/>
          <w:bCs w:val="0"/>
          <w:color w:val="auto"/>
          <w:sz w:val="28"/>
          <w:szCs w:val="28"/>
          <w:highlight w:val="none"/>
          <w:lang w:val="en-US" w:eastAsia="zh-CN"/>
        </w:rPr>
        <w:t>每人每次</w:t>
      </w:r>
      <w:r>
        <w:rPr>
          <w:rFonts w:hint="eastAsia" w:ascii="仿宋" w:hAnsi="仿宋" w:eastAsia="仿宋" w:cs="仿宋"/>
          <w:b w:val="0"/>
          <w:bCs w:val="0"/>
          <w:color w:val="auto"/>
          <w:sz w:val="28"/>
          <w:szCs w:val="28"/>
          <w:highlight w:val="none"/>
          <w:lang w:eastAsia="zh-CN"/>
        </w:rPr>
        <w:t>10000元的违约金，</w:t>
      </w:r>
      <w:r>
        <w:rPr>
          <w:rFonts w:hint="eastAsia" w:ascii="仿宋" w:hAnsi="仿宋" w:eastAsia="仿宋" w:cs="仿宋"/>
          <w:b w:val="0"/>
          <w:bCs w:val="0"/>
          <w:color w:val="auto"/>
          <w:sz w:val="28"/>
          <w:szCs w:val="28"/>
          <w:highlight w:val="none"/>
          <w:lang w:val="en-US" w:eastAsia="zh-CN"/>
        </w:rPr>
        <w:t>并要求相关人员在规定时间内达到现场，未按要求达到现场的，</w:t>
      </w:r>
      <w:r>
        <w:rPr>
          <w:rFonts w:hint="eastAsia" w:ascii="仿宋" w:hAnsi="仿宋" w:eastAsia="仿宋" w:cs="仿宋"/>
          <w:b w:val="0"/>
          <w:bCs w:val="0"/>
          <w:color w:val="auto"/>
          <w:kern w:val="2"/>
          <w:sz w:val="28"/>
          <w:szCs w:val="28"/>
          <w:highlight w:val="none"/>
          <w:lang w:val="en-US" w:eastAsia="zh-CN" w:bidi="ar"/>
        </w:rPr>
        <w:t>甲方有权单方面解除合同，并要求乙方承担合同总额【20】%的违约金。</w:t>
      </w:r>
      <w:bookmarkEnd w:id="793"/>
      <w:bookmarkEnd w:id="794"/>
    </w:p>
    <w:p w14:paraId="1D599985">
      <w:pPr>
        <w:pStyle w:val="18"/>
        <w:widowControl w:val="0"/>
        <w:snapToGrid w:val="0"/>
        <w:spacing w:after="0" w:afterAutospacing="0" w:line="480" w:lineRule="exact"/>
        <w:ind w:left="420" w:firstLine="219" w:firstLineChars="78"/>
        <w:outlineLvl w:val="0"/>
        <w:rPr>
          <w:rFonts w:hint="eastAsia" w:ascii="仿宋" w:hAnsi="仿宋" w:eastAsia="仿宋" w:cs="仿宋"/>
          <w:b/>
          <w:bCs/>
          <w:color w:val="auto"/>
          <w:kern w:val="2"/>
          <w:sz w:val="28"/>
          <w:szCs w:val="28"/>
          <w:highlight w:val="none"/>
          <w:lang w:val="en-US" w:eastAsia="zh-CN" w:bidi="ar"/>
        </w:rPr>
      </w:pPr>
      <w:bookmarkStart w:id="795" w:name="_Toc9316"/>
      <w:bookmarkStart w:id="796" w:name="_Toc12674"/>
      <w:bookmarkStart w:id="797" w:name="_Toc22427"/>
      <w:r>
        <w:rPr>
          <w:rFonts w:hint="eastAsia" w:ascii="仿宋" w:hAnsi="仿宋" w:eastAsia="仿宋" w:cs="仿宋"/>
          <w:b/>
          <w:bCs/>
          <w:color w:val="auto"/>
          <w:kern w:val="2"/>
          <w:sz w:val="28"/>
          <w:szCs w:val="28"/>
          <w:highlight w:val="none"/>
          <w:lang w:bidi="ar"/>
        </w:rPr>
        <w:t>第十</w:t>
      </w:r>
      <w:r>
        <w:rPr>
          <w:rFonts w:hint="eastAsia" w:ascii="仿宋" w:hAnsi="仿宋" w:eastAsia="仿宋" w:cs="仿宋"/>
          <w:b/>
          <w:bCs/>
          <w:color w:val="auto"/>
          <w:kern w:val="2"/>
          <w:sz w:val="28"/>
          <w:szCs w:val="28"/>
          <w:highlight w:val="none"/>
          <w:lang w:val="en-US" w:eastAsia="zh-CN" w:bidi="ar"/>
        </w:rPr>
        <w:t>四</w:t>
      </w:r>
      <w:r>
        <w:rPr>
          <w:rFonts w:hint="eastAsia" w:ascii="仿宋" w:hAnsi="仿宋" w:eastAsia="仿宋" w:cs="仿宋"/>
          <w:b/>
          <w:bCs/>
          <w:color w:val="auto"/>
          <w:kern w:val="2"/>
          <w:sz w:val="28"/>
          <w:szCs w:val="28"/>
          <w:highlight w:val="none"/>
          <w:lang w:bidi="ar"/>
        </w:rPr>
        <w:t xml:space="preserve">条  </w:t>
      </w:r>
      <w:r>
        <w:rPr>
          <w:rFonts w:hint="eastAsia" w:ascii="仿宋" w:hAnsi="仿宋" w:eastAsia="仿宋" w:cs="仿宋"/>
          <w:b/>
          <w:bCs/>
          <w:color w:val="auto"/>
          <w:kern w:val="2"/>
          <w:sz w:val="28"/>
          <w:szCs w:val="28"/>
          <w:highlight w:val="none"/>
          <w:lang w:val="en-US" w:eastAsia="zh-CN" w:bidi="ar"/>
        </w:rPr>
        <w:t>保险</w:t>
      </w:r>
      <w:bookmarkEnd w:id="795"/>
      <w:bookmarkEnd w:id="796"/>
      <w:bookmarkEnd w:id="797"/>
    </w:p>
    <w:p w14:paraId="217182F4">
      <w:pPr>
        <w:widowControl w:val="0"/>
        <w:snapToGrid/>
        <w:spacing w:after="0" w:afterAutospacing="0" w:line="480" w:lineRule="exact"/>
        <w:ind w:left="0" w:firstLine="638" w:firstLineChars="228"/>
        <w:outlineLvl w:val="0"/>
        <w:rPr>
          <w:rFonts w:hint="eastAsia" w:ascii="仿宋" w:hAnsi="仿宋" w:eastAsia="仿宋" w:cs="仿宋"/>
          <w:color w:val="auto"/>
          <w:sz w:val="28"/>
          <w:szCs w:val="28"/>
          <w:highlight w:val="none"/>
          <w:lang w:val="en-US" w:eastAsia="zh-CN"/>
        </w:rPr>
      </w:pPr>
      <w:bookmarkStart w:id="798" w:name="_Toc27944"/>
      <w:bookmarkStart w:id="799" w:name="_Toc24"/>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在合同履行期间，乙方应按国家社会保险、工伤意外保险等规定，为其履行本合同所雇用的任何人员办理保险，对其雇佣人员的人身安全等负全部责任。因工作致伤、致残、致死或遭遇不测时，乙方应及时按社保局有关规定处理。</w:t>
      </w:r>
      <w:bookmarkEnd w:id="798"/>
      <w:bookmarkEnd w:id="799"/>
    </w:p>
    <w:p w14:paraId="525EF569">
      <w:pPr>
        <w:widowControl w:val="0"/>
        <w:snapToGrid/>
        <w:spacing w:after="0" w:afterAutospacing="0" w:line="480" w:lineRule="exact"/>
        <w:ind w:left="0" w:firstLine="638" w:firstLineChars="228"/>
        <w:outlineLvl w:val="0"/>
        <w:rPr>
          <w:rFonts w:hint="eastAsia" w:ascii="仿宋" w:hAnsi="仿宋" w:eastAsia="仿宋" w:cs="仿宋"/>
          <w:color w:val="auto"/>
          <w:sz w:val="28"/>
          <w:szCs w:val="28"/>
          <w:highlight w:val="none"/>
          <w:lang w:val="en-US" w:eastAsia="zh-CN"/>
        </w:rPr>
      </w:pPr>
      <w:bookmarkStart w:id="800" w:name="_Toc6766"/>
      <w:bookmarkStart w:id="801" w:name="_Toc5306"/>
      <w:r>
        <w:rPr>
          <w:rFonts w:hint="eastAsia" w:ascii="仿宋" w:hAnsi="仿宋" w:eastAsia="仿宋" w:cs="仿宋"/>
          <w:color w:val="auto"/>
          <w:sz w:val="28"/>
          <w:szCs w:val="28"/>
          <w:highlight w:val="none"/>
          <w:lang w:val="en-US" w:eastAsia="zh-CN"/>
        </w:rPr>
        <w:t>（2）在合同履行期间，乙方雇佣人员的生老病死、工伤意外、劳务纠纷等情况，及造成甲方或任何第三方人身、财产损害的，由乙方承担与此有关的索赔、开支、诉讼、损害、指控等经济和法律等全部责任，甲方不承担任何责任。</w:t>
      </w:r>
      <w:bookmarkEnd w:id="800"/>
      <w:bookmarkEnd w:id="801"/>
    </w:p>
    <w:p w14:paraId="75D7460E">
      <w:pPr>
        <w:widowControl w:val="0"/>
        <w:snapToGrid/>
        <w:spacing w:after="0" w:afterAutospacing="0" w:line="480" w:lineRule="exact"/>
        <w:ind w:left="0" w:firstLine="638" w:firstLineChars="228"/>
        <w:outlineLvl w:val="0"/>
        <w:rPr>
          <w:rFonts w:hint="eastAsia" w:ascii="仿宋" w:hAnsi="仿宋" w:eastAsia="仿宋" w:cs="仿宋"/>
          <w:color w:val="auto"/>
          <w:sz w:val="28"/>
          <w:szCs w:val="28"/>
          <w:highlight w:val="none"/>
          <w:lang w:val="en-US" w:eastAsia="zh-CN"/>
        </w:rPr>
      </w:pPr>
      <w:bookmarkStart w:id="802" w:name="_Toc11257"/>
      <w:bookmarkStart w:id="803" w:name="_Toc30845"/>
      <w:r>
        <w:rPr>
          <w:rFonts w:hint="eastAsia" w:ascii="仿宋" w:hAnsi="仿宋" w:eastAsia="仿宋" w:cs="仿宋"/>
          <w:color w:val="auto"/>
          <w:sz w:val="28"/>
          <w:szCs w:val="28"/>
          <w:highlight w:val="none"/>
          <w:lang w:val="en-US" w:eastAsia="zh-CN"/>
        </w:rPr>
        <w:t>（3）建设期及质保期的安全责任（包括拒赔、超额赔付、乙方不当责任造成等情况）均由乙方自行承担，甲方不承担任何责任。</w:t>
      </w:r>
      <w:bookmarkEnd w:id="802"/>
      <w:bookmarkEnd w:id="803"/>
      <w:r>
        <w:rPr>
          <w:rFonts w:hint="eastAsia" w:ascii="仿宋" w:hAnsi="仿宋" w:eastAsia="仿宋" w:cs="仿宋"/>
          <w:color w:val="auto"/>
          <w:sz w:val="28"/>
          <w:szCs w:val="28"/>
          <w:highlight w:val="none"/>
          <w:lang w:val="en-US" w:eastAsia="zh-CN"/>
        </w:rPr>
        <w:tab/>
      </w:r>
    </w:p>
    <w:p w14:paraId="3F611722">
      <w:pPr>
        <w:widowControl w:val="0"/>
        <w:snapToGrid/>
        <w:spacing w:after="0" w:afterAutospacing="0" w:line="480" w:lineRule="exact"/>
        <w:ind w:left="0" w:firstLine="638" w:firstLineChars="228"/>
        <w:outlineLvl w:val="0"/>
        <w:rPr>
          <w:rFonts w:hint="default" w:ascii="仿宋" w:hAnsi="仿宋" w:eastAsia="仿宋" w:cs="仿宋"/>
          <w:color w:val="auto"/>
          <w:sz w:val="28"/>
          <w:szCs w:val="28"/>
          <w:highlight w:val="none"/>
          <w:lang w:val="en-US" w:eastAsia="zh-CN"/>
        </w:rPr>
      </w:pPr>
      <w:bookmarkStart w:id="804" w:name="_Toc10365"/>
      <w:bookmarkStart w:id="805" w:name="_Toc7451"/>
      <w:r>
        <w:rPr>
          <w:rFonts w:hint="eastAsia" w:ascii="仿宋" w:hAnsi="仿宋" w:eastAsia="仿宋" w:cs="仿宋"/>
          <w:color w:val="auto"/>
          <w:sz w:val="28"/>
          <w:szCs w:val="28"/>
          <w:highlight w:val="none"/>
          <w:lang w:val="en-US" w:eastAsia="zh-CN"/>
        </w:rPr>
        <w:t>（4）无人机场和无人机在乙方移交甲方前，相关设备的安全保障和乙方在设备调试过程中造成第三方的损失责任等均由乙方自行承担，甲方不承担任何责任。</w:t>
      </w:r>
      <w:bookmarkEnd w:id="804"/>
      <w:bookmarkEnd w:id="805"/>
    </w:p>
    <w:p w14:paraId="75C31D1F">
      <w:pPr>
        <w:pStyle w:val="18"/>
        <w:widowControl w:val="0"/>
        <w:snapToGrid w:val="0"/>
        <w:spacing w:after="0" w:afterAutospacing="0" w:line="480" w:lineRule="exact"/>
        <w:ind w:left="420" w:firstLine="219" w:firstLineChars="78"/>
        <w:outlineLvl w:val="0"/>
        <w:rPr>
          <w:rFonts w:hint="eastAsia" w:ascii="仿宋" w:hAnsi="仿宋" w:eastAsia="仿宋" w:cs="仿宋"/>
          <w:b/>
          <w:bCs/>
          <w:color w:val="auto"/>
          <w:kern w:val="2"/>
          <w:sz w:val="28"/>
          <w:szCs w:val="28"/>
          <w:highlight w:val="none"/>
        </w:rPr>
      </w:pPr>
      <w:bookmarkStart w:id="806" w:name="_Toc26395"/>
      <w:bookmarkStart w:id="807" w:name="_Toc24975"/>
      <w:bookmarkStart w:id="808" w:name="_Toc9895"/>
      <w:r>
        <w:rPr>
          <w:rFonts w:hint="eastAsia" w:ascii="仿宋" w:hAnsi="仿宋" w:eastAsia="仿宋" w:cs="仿宋"/>
          <w:b/>
          <w:bCs/>
          <w:color w:val="auto"/>
          <w:kern w:val="2"/>
          <w:sz w:val="28"/>
          <w:szCs w:val="28"/>
          <w:highlight w:val="none"/>
          <w:lang w:bidi="ar"/>
        </w:rPr>
        <w:t>第十</w:t>
      </w:r>
      <w:r>
        <w:rPr>
          <w:rFonts w:hint="eastAsia" w:ascii="仿宋" w:hAnsi="仿宋" w:eastAsia="仿宋" w:cs="仿宋"/>
          <w:b/>
          <w:bCs/>
          <w:color w:val="auto"/>
          <w:kern w:val="2"/>
          <w:sz w:val="28"/>
          <w:szCs w:val="28"/>
          <w:highlight w:val="none"/>
          <w:lang w:val="en-US" w:eastAsia="zh-CN" w:bidi="ar"/>
        </w:rPr>
        <w:t>五</w:t>
      </w:r>
      <w:r>
        <w:rPr>
          <w:rFonts w:hint="eastAsia" w:ascii="仿宋" w:hAnsi="仿宋" w:eastAsia="仿宋" w:cs="仿宋"/>
          <w:b/>
          <w:bCs/>
          <w:color w:val="auto"/>
          <w:kern w:val="2"/>
          <w:sz w:val="28"/>
          <w:szCs w:val="28"/>
          <w:highlight w:val="none"/>
          <w:lang w:bidi="ar"/>
        </w:rPr>
        <w:t>条  项目联系人</w:t>
      </w:r>
      <w:bookmarkEnd w:id="785"/>
      <w:bookmarkEnd w:id="786"/>
      <w:bookmarkEnd w:id="787"/>
      <w:bookmarkEnd w:id="788"/>
      <w:bookmarkEnd w:id="806"/>
      <w:bookmarkEnd w:id="807"/>
      <w:bookmarkEnd w:id="808"/>
    </w:p>
    <w:p w14:paraId="5CFFAE3A">
      <w:pPr>
        <w:pStyle w:val="18"/>
        <w:widowControl w:val="0"/>
        <w:snapToGrid w:val="0"/>
        <w:spacing w:after="0" w:afterAutospacing="0" w:line="480" w:lineRule="exact"/>
        <w:ind w:left="42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bidi="ar"/>
        </w:rPr>
        <w:t>双方确定，甲方指定【</w:t>
      </w:r>
      <w:r>
        <w:rPr>
          <w:rFonts w:hint="eastAsia" w:ascii="仿宋" w:hAnsi="仿宋" w:eastAsia="仿宋" w:cs="仿宋"/>
          <w:color w:val="auto"/>
          <w:kern w:val="2"/>
          <w:sz w:val="28"/>
          <w:szCs w:val="28"/>
          <w:highlight w:val="none"/>
          <w:u w:val="single"/>
          <w:lang w:bidi="ar"/>
        </w:rPr>
        <w:t xml:space="preserve">        </w:t>
      </w:r>
      <w:r>
        <w:rPr>
          <w:rFonts w:hint="eastAsia" w:ascii="仿宋" w:hAnsi="仿宋" w:eastAsia="仿宋" w:cs="仿宋"/>
          <w:color w:val="auto"/>
          <w:kern w:val="2"/>
          <w:sz w:val="28"/>
          <w:szCs w:val="28"/>
          <w:highlight w:val="none"/>
          <w:lang w:bidi="ar"/>
        </w:rPr>
        <w:t>，联系电话</w:t>
      </w:r>
      <w:r>
        <w:rPr>
          <w:rFonts w:hint="eastAsia" w:ascii="仿宋" w:hAnsi="仿宋" w:eastAsia="仿宋" w:cs="仿宋"/>
          <w:color w:val="auto"/>
          <w:kern w:val="2"/>
          <w:sz w:val="28"/>
          <w:szCs w:val="28"/>
          <w:highlight w:val="none"/>
          <w:u w:val="single"/>
          <w:lang w:bidi="ar"/>
        </w:rPr>
        <w:t xml:space="preserve">         </w:t>
      </w:r>
      <w:r>
        <w:rPr>
          <w:rFonts w:hint="eastAsia" w:ascii="仿宋" w:hAnsi="仿宋" w:eastAsia="仿宋" w:cs="仿宋"/>
          <w:color w:val="auto"/>
          <w:kern w:val="2"/>
          <w:sz w:val="28"/>
          <w:szCs w:val="28"/>
          <w:highlight w:val="none"/>
          <w:lang w:bidi="ar"/>
        </w:rPr>
        <w:t>，联系地址</w:t>
      </w:r>
      <w:r>
        <w:rPr>
          <w:rFonts w:hint="eastAsia" w:ascii="仿宋" w:hAnsi="仿宋" w:eastAsia="仿宋" w:cs="仿宋"/>
          <w:color w:val="auto"/>
          <w:kern w:val="2"/>
          <w:sz w:val="28"/>
          <w:szCs w:val="28"/>
          <w:highlight w:val="none"/>
          <w:u w:val="single"/>
          <w:lang w:bidi="ar"/>
        </w:rPr>
        <w:t xml:space="preserve">          </w:t>
      </w:r>
      <w:r>
        <w:rPr>
          <w:rFonts w:hint="eastAsia" w:ascii="仿宋" w:hAnsi="仿宋" w:eastAsia="仿宋" w:cs="仿宋"/>
          <w:color w:val="auto"/>
          <w:kern w:val="2"/>
          <w:sz w:val="28"/>
          <w:szCs w:val="28"/>
          <w:highlight w:val="none"/>
          <w:lang w:bidi="ar"/>
        </w:rPr>
        <w:t>】为项目联系人，乙方指定【</w:t>
      </w:r>
      <w:r>
        <w:rPr>
          <w:rFonts w:hint="eastAsia" w:ascii="仿宋" w:hAnsi="仿宋" w:eastAsia="仿宋" w:cs="仿宋"/>
          <w:color w:val="auto"/>
          <w:kern w:val="2"/>
          <w:sz w:val="28"/>
          <w:szCs w:val="28"/>
          <w:highlight w:val="none"/>
          <w:u w:val="single"/>
          <w:lang w:bidi="ar"/>
        </w:rPr>
        <w:t xml:space="preserve">       </w:t>
      </w:r>
      <w:r>
        <w:rPr>
          <w:rFonts w:hint="eastAsia" w:ascii="仿宋" w:hAnsi="仿宋" w:eastAsia="仿宋" w:cs="仿宋"/>
          <w:color w:val="auto"/>
          <w:kern w:val="2"/>
          <w:sz w:val="28"/>
          <w:szCs w:val="28"/>
          <w:highlight w:val="none"/>
          <w:lang w:bidi="ar"/>
        </w:rPr>
        <w:t>，联系电话</w:t>
      </w:r>
      <w:r>
        <w:rPr>
          <w:rFonts w:hint="eastAsia" w:ascii="仿宋" w:hAnsi="仿宋" w:eastAsia="仿宋" w:cs="仿宋"/>
          <w:color w:val="auto"/>
          <w:kern w:val="2"/>
          <w:sz w:val="28"/>
          <w:szCs w:val="28"/>
          <w:highlight w:val="none"/>
          <w:u w:val="single"/>
          <w:lang w:bidi="ar"/>
        </w:rPr>
        <w:t xml:space="preserve">        </w:t>
      </w:r>
      <w:r>
        <w:rPr>
          <w:rFonts w:hint="eastAsia" w:ascii="仿宋" w:hAnsi="仿宋" w:eastAsia="仿宋" w:cs="仿宋"/>
          <w:color w:val="auto"/>
          <w:kern w:val="2"/>
          <w:sz w:val="28"/>
          <w:szCs w:val="28"/>
          <w:highlight w:val="none"/>
          <w:lang w:bidi="ar"/>
        </w:rPr>
        <w:t>，联系地址</w:t>
      </w:r>
      <w:r>
        <w:rPr>
          <w:rFonts w:hint="eastAsia" w:ascii="仿宋" w:hAnsi="仿宋" w:eastAsia="仿宋" w:cs="仿宋"/>
          <w:color w:val="auto"/>
          <w:kern w:val="2"/>
          <w:sz w:val="28"/>
          <w:szCs w:val="28"/>
          <w:highlight w:val="none"/>
          <w:u w:val="single"/>
          <w:lang w:bidi="ar"/>
        </w:rPr>
        <w:t xml:space="preserve">          </w:t>
      </w:r>
      <w:r>
        <w:rPr>
          <w:rFonts w:hint="eastAsia" w:ascii="仿宋" w:hAnsi="仿宋" w:eastAsia="仿宋" w:cs="仿宋"/>
          <w:color w:val="auto"/>
          <w:kern w:val="2"/>
          <w:sz w:val="28"/>
          <w:szCs w:val="28"/>
          <w:highlight w:val="none"/>
          <w:lang w:bidi="ar"/>
        </w:rPr>
        <w:t>】为乙方项目联系人。项目联系人承担以下责任：</w:t>
      </w:r>
    </w:p>
    <w:p w14:paraId="2C5EA212">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1.负责项目工作联系，收发函件、文书等文件资料等；</w:t>
      </w:r>
    </w:p>
    <w:p w14:paraId="7D24AA48">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2.负责项目工作的协调和推进项目按计划实施；</w:t>
      </w:r>
    </w:p>
    <w:p w14:paraId="7A1123ED">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3.协助完成项目的验收、维修工作。</w:t>
      </w:r>
    </w:p>
    <w:p w14:paraId="5002237C">
      <w:pPr>
        <w:widowControl/>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一方变更项目联系人的，应当在变更前5个工作日内以书面形式通知另一方，未及时通知并影响本合同履行或造成损失的，应承担相应的责任。一方给另一方的通知或文件以邮寄方式发出的，以收件人签收日为送达日，如按上述地址邮寄文件被退回的，退回之日视为送达日；以电子邮件、微信或短信方式发出的，发出日即视为送达日。如因合同争议发生诉讼的，前述地址同样作为诉讼的送达地址。</w:t>
      </w:r>
    </w:p>
    <w:p w14:paraId="2F30F4CF">
      <w:pPr>
        <w:pStyle w:val="18"/>
        <w:widowControl w:val="0"/>
        <w:snapToGrid w:val="0"/>
        <w:spacing w:after="0" w:afterAutospacing="0" w:line="480" w:lineRule="exact"/>
        <w:ind w:firstLine="562" w:firstLineChars="200"/>
        <w:jc w:val="both"/>
        <w:outlineLvl w:val="0"/>
        <w:rPr>
          <w:rFonts w:hint="eastAsia" w:ascii="仿宋" w:hAnsi="仿宋" w:eastAsia="仿宋" w:cs="仿宋"/>
          <w:b/>
          <w:bCs/>
          <w:color w:val="auto"/>
          <w:kern w:val="2"/>
          <w:sz w:val="28"/>
          <w:szCs w:val="28"/>
          <w:highlight w:val="none"/>
        </w:rPr>
      </w:pPr>
      <w:bookmarkStart w:id="809" w:name="_Toc22869"/>
      <w:bookmarkStart w:id="810" w:name="_Toc6749"/>
      <w:bookmarkStart w:id="811" w:name="_Toc5024"/>
      <w:bookmarkStart w:id="812" w:name="_Toc28989"/>
      <w:bookmarkStart w:id="813" w:name="_Toc24686"/>
      <w:bookmarkStart w:id="814" w:name="_Toc3205"/>
      <w:bookmarkStart w:id="815" w:name="_Toc24051"/>
      <w:r>
        <w:rPr>
          <w:rFonts w:hint="eastAsia" w:ascii="仿宋" w:hAnsi="仿宋" w:eastAsia="仿宋" w:cs="仿宋"/>
          <w:b/>
          <w:bCs/>
          <w:color w:val="auto"/>
          <w:kern w:val="2"/>
          <w:sz w:val="28"/>
          <w:szCs w:val="28"/>
          <w:highlight w:val="none"/>
          <w:lang w:bidi="ar"/>
        </w:rPr>
        <w:t>第十</w:t>
      </w:r>
      <w:r>
        <w:rPr>
          <w:rFonts w:hint="eastAsia" w:ascii="仿宋" w:hAnsi="仿宋" w:eastAsia="仿宋" w:cs="仿宋"/>
          <w:b/>
          <w:bCs/>
          <w:color w:val="auto"/>
          <w:kern w:val="2"/>
          <w:sz w:val="28"/>
          <w:szCs w:val="28"/>
          <w:highlight w:val="none"/>
          <w:lang w:val="en-US" w:eastAsia="zh-CN" w:bidi="ar"/>
        </w:rPr>
        <w:t>六</w:t>
      </w:r>
      <w:r>
        <w:rPr>
          <w:rFonts w:hint="eastAsia" w:ascii="仿宋" w:hAnsi="仿宋" w:eastAsia="仿宋" w:cs="仿宋"/>
          <w:b/>
          <w:bCs/>
          <w:color w:val="auto"/>
          <w:kern w:val="2"/>
          <w:sz w:val="28"/>
          <w:szCs w:val="28"/>
          <w:highlight w:val="none"/>
          <w:lang w:bidi="ar"/>
        </w:rPr>
        <w:t>条  不可抗力</w:t>
      </w:r>
      <w:bookmarkEnd w:id="809"/>
      <w:bookmarkEnd w:id="810"/>
      <w:bookmarkEnd w:id="811"/>
      <w:bookmarkEnd w:id="812"/>
      <w:bookmarkEnd w:id="813"/>
      <w:bookmarkEnd w:id="814"/>
      <w:bookmarkEnd w:id="815"/>
    </w:p>
    <w:p w14:paraId="797F4697">
      <w:pPr>
        <w:pStyle w:val="18"/>
        <w:widowControl w:val="0"/>
        <w:snapToGrid w:val="0"/>
        <w:spacing w:after="0" w:afterAutospacing="0" w:line="48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bidi="ar"/>
        </w:rPr>
        <w:t>1.不可抗力系指以当事人的能力不能预见、不能抗拒、不能避免的客观情况。包括但不限于：地震、山洪、海啸、台风、战争、突发传染病及政府采取的疫情防控措施、政府行为、行业政策变更等。</w:t>
      </w:r>
    </w:p>
    <w:p w14:paraId="65848F53">
      <w:pPr>
        <w:pStyle w:val="18"/>
        <w:widowControl w:val="0"/>
        <w:snapToGrid w:val="0"/>
        <w:spacing w:after="0" w:afterAutospacing="0" w:line="48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bidi="ar"/>
        </w:rPr>
        <w:t xml:space="preserve">2.如遭遇不可抗力情形，遭遇不可抗力的一方应于 7  日内以书面形式通知另一方；受不可抗力影响的当事人应当积极采取措施减少损失，因其怠于采取相应措施而致使损失扩大的，不得就扩大的损失部分主张免责。不可抗力结束后，双方应尽快恢复履行合同约定事项。 </w:t>
      </w:r>
    </w:p>
    <w:p w14:paraId="5CC629CD">
      <w:pPr>
        <w:pStyle w:val="18"/>
        <w:widowControl w:val="0"/>
        <w:snapToGrid w:val="0"/>
        <w:spacing w:after="0" w:afterAutospacing="0" w:line="480" w:lineRule="exact"/>
        <w:ind w:firstLine="562" w:firstLineChars="200"/>
        <w:jc w:val="both"/>
        <w:outlineLvl w:val="0"/>
        <w:rPr>
          <w:rFonts w:hint="eastAsia" w:ascii="仿宋" w:hAnsi="仿宋" w:eastAsia="仿宋" w:cs="仿宋"/>
          <w:b/>
          <w:bCs/>
          <w:color w:val="auto"/>
          <w:kern w:val="2"/>
          <w:sz w:val="28"/>
          <w:szCs w:val="28"/>
          <w:highlight w:val="none"/>
        </w:rPr>
      </w:pPr>
      <w:bookmarkStart w:id="816" w:name="_Toc17472"/>
      <w:bookmarkStart w:id="817" w:name="_Toc3904"/>
      <w:bookmarkStart w:id="818" w:name="_Toc13253"/>
      <w:bookmarkStart w:id="819" w:name="_Toc1155"/>
      <w:bookmarkStart w:id="820" w:name="_Toc22550"/>
      <w:bookmarkStart w:id="821" w:name="_Toc14449"/>
      <w:bookmarkStart w:id="822" w:name="_Toc31523"/>
      <w:r>
        <w:rPr>
          <w:rFonts w:hint="eastAsia" w:ascii="仿宋" w:hAnsi="仿宋" w:eastAsia="仿宋" w:cs="仿宋"/>
          <w:b/>
          <w:bCs/>
          <w:color w:val="auto"/>
          <w:kern w:val="2"/>
          <w:sz w:val="28"/>
          <w:szCs w:val="28"/>
          <w:highlight w:val="none"/>
          <w:lang w:bidi="ar"/>
        </w:rPr>
        <w:t>第十</w:t>
      </w:r>
      <w:r>
        <w:rPr>
          <w:rFonts w:hint="eastAsia" w:ascii="仿宋" w:hAnsi="仿宋" w:eastAsia="仿宋" w:cs="仿宋"/>
          <w:b/>
          <w:bCs/>
          <w:color w:val="auto"/>
          <w:kern w:val="2"/>
          <w:sz w:val="28"/>
          <w:szCs w:val="28"/>
          <w:highlight w:val="none"/>
          <w:lang w:val="en-US" w:eastAsia="zh-CN" w:bidi="ar"/>
        </w:rPr>
        <w:t>七</w:t>
      </w:r>
      <w:r>
        <w:rPr>
          <w:rFonts w:hint="eastAsia" w:ascii="仿宋" w:hAnsi="仿宋" w:eastAsia="仿宋" w:cs="仿宋"/>
          <w:b/>
          <w:bCs/>
          <w:color w:val="auto"/>
          <w:kern w:val="2"/>
          <w:sz w:val="28"/>
          <w:szCs w:val="28"/>
          <w:highlight w:val="none"/>
          <w:lang w:bidi="ar"/>
        </w:rPr>
        <w:t>条  其他事项</w:t>
      </w:r>
      <w:bookmarkEnd w:id="816"/>
      <w:bookmarkEnd w:id="817"/>
      <w:bookmarkEnd w:id="818"/>
      <w:bookmarkEnd w:id="819"/>
      <w:bookmarkEnd w:id="820"/>
      <w:bookmarkEnd w:id="821"/>
      <w:bookmarkEnd w:id="822"/>
    </w:p>
    <w:p w14:paraId="526117B3">
      <w:pPr>
        <w:pStyle w:val="18"/>
        <w:widowControl w:val="0"/>
        <w:snapToGrid w:val="0"/>
        <w:spacing w:after="0" w:afterAutospacing="0" w:line="44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bidi="ar"/>
        </w:rPr>
        <w:t>1.双方本着友好合作原则商定，合同期内，若需变更本合同项下的内容，由双方协商一致，并以书面形式确定。</w:t>
      </w:r>
    </w:p>
    <w:p w14:paraId="624609BC">
      <w:pPr>
        <w:pStyle w:val="18"/>
        <w:widowControl w:val="0"/>
        <w:snapToGrid w:val="0"/>
        <w:spacing w:after="0" w:afterAutospacing="0" w:line="44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bidi="ar"/>
        </w:rPr>
        <w:t>2.甲乙双方如因履行本合同发生纠纷，应当友好协商解决，协商不成的，甲乙双方任何一方均可向东莞市第一人民法院诉讼解决。</w:t>
      </w:r>
    </w:p>
    <w:p w14:paraId="4319C663">
      <w:pPr>
        <w:pStyle w:val="18"/>
        <w:widowControl w:val="0"/>
        <w:snapToGrid w:val="0"/>
        <w:spacing w:after="0" w:afterAutospacing="0" w:line="44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bidi="ar"/>
        </w:rPr>
        <w:t>3.与履行本合同有关的技术文件或本合同未尽事项，可由甲乙双方签订书面补充合同或以附件的形式对本合同的有关问题作出补充、说明、解释，本合同的补充合同和附件与本合同不一致的，以补充合同和附件为准。本合同的补充合同和附件作为本合同不可分割的一部分，与本合同具有同等法律效力。补充合同或附件与本合同有冲突的，以最大程度保障甲方权益为准或由双方另行协商确定。</w:t>
      </w:r>
    </w:p>
    <w:p w14:paraId="692254B5">
      <w:pPr>
        <w:pStyle w:val="18"/>
        <w:widowControl w:val="0"/>
        <w:snapToGrid w:val="0"/>
        <w:spacing w:after="0" w:afterAutospacing="0" w:line="440" w:lineRule="exac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bidi="ar"/>
        </w:rPr>
        <w:t>4.本合同壹式【拾】份，甲方执【柒】份，乙方执【叁】份，均具有同等法律效力，自双方法定代表人或授权代表人签字及加盖单位公章或合同专用章之日起生效。</w:t>
      </w:r>
    </w:p>
    <w:p w14:paraId="6236A878">
      <w:pPr>
        <w:widowControl w:val="0"/>
        <w:snapToGrid w:val="0"/>
        <w:spacing w:after="0" w:afterAutospacing="0" w:line="480" w:lineRule="exact"/>
        <w:ind w:firstLineChars="200"/>
        <w:jc w:val="both"/>
        <w:rPr>
          <w:rFonts w:hint="eastAsia" w:ascii="仿宋" w:hAnsi="仿宋" w:eastAsia="仿宋" w:cs="仿宋"/>
          <w:color w:val="auto"/>
          <w:sz w:val="28"/>
          <w:szCs w:val="28"/>
          <w:highlight w:val="none"/>
          <w:lang w:val="en-US" w:eastAsia="zh-CN"/>
        </w:rPr>
      </w:pPr>
    </w:p>
    <w:p w14:paraId="59CAA0E4">
      <w:pPr>
        <w:widowControl w:val="0"/>
        <w:snapToGrid w:val="0"/>
        <w:spacing w:after="0" w:afterAutospacing="0" w:line="480" w:lineRule="exact"/>
        <w:ind w:firstLine="0" w:firstLineChars="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合同附件（包括但不限于）：</w:t>
      </w:r>
    </w:p>
    <w:p w14:paraId="7F190B09">
      <w:pPr>
        <w:widowControl w:val="0"/>
        <w:snapToGrid w:val="0"/>
        <w:spacing w:after="0" w:afterAutospacing="0" w:line="480" w:lineRule="exact"/>
        <w:ind w:firstLine="3578" w:firstLineChars="1278"/>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（1）中标通知书；</w:t>
      </w:r>
    </w:p>
    <w:p w14:paraId="065F093B">
      <w:pPr>
        <w:widowControl w:val="0"/>
        <w:snapToGrid w:val="0"/>
        <w:spacing w:after="0" w:afterAutospacing="0" w:line="480" w:lineRule="exact"/>
        <w:ind w:firstLine="3578" w:firstLineChars="1278"/>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（2）用户需求书；</w:t>
      </w:r>
    </w:p>
    <w:p w14:paraId="7574A4E2">
      <w:pPr>
        <w:widowControl w:val="0"/>
        <w:snapToGrid w:val="0"/>
        <w:spacing w:after="0" w:afterAutospacing="0" w:line="480" w:lineRule="exact"/>
        <w:ind w:firstLine="3578" w:firstLineChars="1278"/>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（3）报价表；</w:t>
      </w:r>
    </w:p>
    <w:p w14:paraId="3D12010C">
      <w:pPr>
        <w:widowControl w:val="0"/>
        <w:snapToGrid w:val="0"/>
        <w:spacing w:after="0" w:afterAutospacing="0" w:line="480" w:lineRule="exact"/>
        <w:ind w:firstLine="3578" w:firstLineChars="1278"/>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（4）履约保函、承诺函（履约保函）；</w:t>
      </w:r>
    </w:p>
    <w:p w14:paraId="3412C32C">
      <w:pPr>
        <w:widowControl w:val="0"/>
        <w:snapToGrid w:val="0"/>
        <w:spacing w:after="0" w:afterAutospacing="0" w:line="480" w:lineRule="exact"/>
        <w:ind w:firstLine="3578" w:firstLineChars="1278"/>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（5）预付款保函、承诺函（预付款保函）；</w:t>
      </w:r>
    </w:p>
    <w:p w14:paraId="08D81428">
      <w:pPr>
        <w:widowControl w:val="0"/>
        <w:snapToGrid w:val="0"/>
        <w:spacing w:after="0" w:afterAutospacing="0" w:line="480" w:lineRule="exact"/>
        <w:ind w:firstLine="3578" w:firstLineChars="1278"/>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（6）安全协议。</w:t>
      </w:r>
    </w:p>
    <w:p w14:paraId="01D96329">
      <w:pPr>
        <w:pStyle w:val="18"/>
        <w:widowControl w:val="0"/>
        <w:snapToGrid w:val="0"/>
        <w:spacing w:after="0" w:afterAutospacing="0" w:line="480" w:lineRule="exact"/>
        <w:ind w:firstLine="560" w:firstLineChars="200"/>
        <w:jc w:val="both"/>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lang w:bidi="ar"/>
        </w:rPr>
        <w:t>（以下无正文）</w:t>
      </w:r>
    </w:p>
    <w:p w14:paraId="5AED626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br w:type="page"/>
      </w:r>
    </w:p>
    <w:p w14:paraId="042B6E2D">
      <w:pPr>
        <w:spacing w:line="48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（本页无正文，为《东莞市轨道交通1号线运营期地铁控制保护区综合管理系统项目合同》签字页）</w:t>
      </w:r>
    </w:p>
    <w:p w14:paraId="17457832">
      <w:pPr>
        <w:spacing w:line="48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 xml:space="preserve"> </w:t>
      </w:r>
    </w:p>
    <w:p w14:paraId="70149569">
      <w:pPr>
        <w:spacing w:line="48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甲方（盖章）：</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 xml:space="preserve">                </w:t>
      </w:r>
    </w:p>
    <w:p w14:paraId="53762EE7">
      <w:pPr>
        <w:spacing w:line="48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法定代表人或授权代表人（签字）：</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 xml:space="preserve">     </w:t>
      </w:r>
    </w:p>
    <w:p w14:paraId="3FA5D802">
      <w:pPr>
        <w:spacing w:line="48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签订日期：</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年</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月</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 xml:space="preserve">日     </w:t>
      </w:r>
    </w:p>
    <w:p w14:paraId="2B1D1A09">
      <w:pPr>
        <w:spacing w:line="48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 xml:space="preserve"> </w:t>
      </w:r>
    </w:p>
    <w:p w14:paraId="72A2E3B5">
      <w:pPr>
        <w:pStyle w:val="6"/>
        <w:widowControl/>
        <w:ind w:left="142"/>
        <w:rPr>
          <w:rFonts w:hint="eastAsia" w:ascii="仿宋" w:hAnsi="仿宋" w:eastAsia="仿宋" w:cs="仿宋"/>
          <w:bCs w:val="0"/>
          <w:color w:val="auto"/>
          <w:highlight w:val="none"/>
        </w:rPr>
      </w:pPr>
      <w:r>
        <w:rPr>
          <w:rFonts w:hint="eastAsia" w:ascii="仿宋" w:hAnsi="仿宋" w:eastAsia="仿宋" w:cs="仿宋"/>
          <w:bCs w:val="0"/>
          <w:color w:val="auto"/>
          <w:highlight w:val="none"/>
        </w:rPr>
        <w:t xml:space="preserve"> </w:t>
      </w:r>
    </w:p>
    <w:p w14:paraId="5BA730A6">
      <w:pPr>
        <w:spacing w:line="48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bidi="ar"/>
        </w:rPr>
        <w:t>乙方（盖章）：</w:t>
      </w:r>
      <w:r>
        <w:rPr>
          <w:rFonts w:hint="eastAsia" w:ascii="仿宋" w:hAnsi="仿宋" w:eastAsia="仿宋" w:cs="仿宋"/>
          <w:color w:val="auto"/>
          <w:sz w:val="28"/>
          <w:szCs w:val="28"/>
          <w:highlight w:val="none"/>
          <w:u w:val="single"/>
          <w:lang w:bidi="ar"/>
        </w:rPr>
        <w:t xml:space="preserve">                        </w:t>
      </w:r>
    </w:p>
    <w:p w14:paraId="4E4ED84B">
      <w:pPr>
        <w:spacing w:line="48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法定代表人或授权代表人（签字）：</w:t>
      </w:r>
      <w:r>
        <w:rPr>
          <w:rFonts w:hint="eastAsia" w:ascii="仿宋" w:hAnsi="仿宋" w:eastAsia="仿宋" w:cs="仿宋"/>
          <w:color w:val="auto"/>
          <w:sz w:val="28"/>
          <w:szCs w:val="28"/>
          <w:highlight w:val="none"/>
          <w:u w:val="single"/>
          <w:lang w:bidi="ar"/>
        </w:rPr>
        <w:t xml:space="preserve">                </w:t>
      </w:r>
    </w:p>
    <w:p w14:paraId="18B02126">
      <w:pPr>
        <w:spacing w:line="480" w:lineRule="exact"/>
        <w:rPr>
          <w:rFonts w:hint="eastAsia" w:ascii="仿宋" w:hAnsi="仿宋" w:eastAsia="仿宋" w:cs="仿宋"/>
          <w:bCs/>
          <w:color w:val="auto"/>
          <w:szCs w:val="21"/>
          <w:highlight w:val="none"/>
        </w:rPr>
      </w:pPr>
      <w:r>
        <w:rPr>
          <w:rFonts w:hint="eastAsia" w:ascii="仿宋" w:hAnsi="仿宋" w:eastAsia="仿宋" w:cs="仿宋"/>
          <w:color w:val="auto"/>
          <w:sz w:val="28"/>
          <w:szCs w:val="28"/>
          <w:highlight w:val="none"/>
          <w:lang w:bidi="ar"/>
        </w:rPr>
        <w:t>签订日期：</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年</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月</w:t>
      </w:r>
      <w:r>
        <w:rPr>
          <w:rFonts w:hint="eastAsia" w:ascii="仿宋" w:hAnsi="仿宋" w:eastAsia="仿宋" w:cs="仿宋"/>
          <w:color w:val="auto"/>
          <w:sz w:val="28"/>
          <w:szCs w:val="28"/>
          <w:highlight w:val="none"/>
          <w:u w:val="single"/>
          <w:lang w:bidi="ar"/>
        </w:rPr>
        <w:t xml:space="preserve">   </w:t>
      </w:r>
      <w:r>
        <w:rPr>
          <w:rFonts w:hint="eastAsia" w:ascii="仿宋" w:hAnsi="仿宋" w:eastAsia="仿宋" w:cs="仿宋"/>
          <w:color w:val="auto"/>
          <w:sz w:val="28"/>
          <w:szCs w:val="28"/>
          <w:highlight w:val="none"/>
          <w:lang w:bidi="ar"/>
        </w:rPr>
        <w:t>日</w:t>
      </w:r>
    </w:p>
    <w:p w14:paraId="6EB2EF59">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 xml:space="preserve"> </w:t>
      </w:r>
    </w:p>
    <w:p w14:paraId="05A4A689">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 xml:space="preserve"> </w:t>
      </w:r>
    </w:p>
    <w:p w14:paraId="6258DA8D">
      <w:pPr>
        <w:spacing w:line="500" w:lineRule="exact"/>
        <w:rPr>
          <w:rFonts w:hint="eastAsia" w:ascii="仿宋" w:hAnsi="仿宋" w:eastAsia="仿宋" w:cs="仿宋"/>
          <w:color w:val="auto"/>
          <w:sz w:val="28"/>
          <w:szCs w:val="28"/>
          <w:highlight w:val="none"/>
        </w:rPr>
      </w:pPr>
    </w:p>
    <w:p w14:paraId="5873F3EE">
      <w:pPr>
        <w:rPr>
          <w:rFonts w:hint="eastAsia" w:ascii="仿宋" w:hAnsi="仿宋" w:eastAsia="仿宋" w:cs="仿宋"/>
          <w:color w:val="auto"/>
          <w:sz w:val="28"/>
          <w:szCs w:val="28"/>
          <w:highlight w:val="none"/>
        </w:rPr>
      </w:pPr>
    </w:p>
    <w:p w14:paraId="661E795B">
      <w:pPr>
        <w:rPr>
          <w:rFonts w:hint="eastAsia" w:ascii="仿宋" w:hAnsi="仿宋" w:eastAsia="仿宋" w:cs="仿宋"/>
          <w:color w:val="auto"/>
          <w:sz w:val="28"/>
          <w:szCs w:val="28"/>
          <w:highlight w:val="none"/>
        </w:rPr>
      </w:pPr>
    </w:p>
    <w:p w14:paraId="0DB52A4C">
      <w:pPr>
        <w:rPr>
          <w:color w:val="auto"/>
          <w:highlight w:val="none"/>
        </w:rPr>
      </w:pPr>
    </w:p>
    <w:p w14:paraId="61BFE14D">
      <w:pPr>
        <w:pStyle w:val="4"/>
        <w:pageBreakBefore/>
        <w:ind w:firstLine="136"/>
        <w:rPr>
          <w:color w:val="auto"/>
          <w:highlight w:val="none"/>
        </w:rPr>
      </w:pPr>
      <w:bookmarkStart w:id="823" w:name="_Toc27636"/>
      <w:bookmarkStart w:id="824" w:name="_Toc19439"/>
      <w:bookmarkStart w:id="825" w:name="_Toc19379"/>
      <w:bookmarkStart w:id="826" w:name="_Toc24957"/>
      <w:bookmarkStart w:id="827" w:name="_Toc3556"/>
      <w:r>
        <w:rPr>
          <w:rFonts w:hint="eastAsia"/>
          <w:color w:val="auto"/>
          <w:highlight w:val="none"/>
        </w:rPr>
        <w:t>附件一</w:t>
      </w:r>
      <w:r>
        <w:rPr>
          <w:color w:val="auto"/>
          <w:highlight w:val="none"/>
        </w:rPr>
        <w:t>：</w:t>
      </w:r>
      <w:r>
        <w:rPr>
          <w:rFonts w:hint="eastAsia"/>
          <w:color w:val="auto"/>
          <w:highlight w:val="none"/>
        </w:rPr>
        <w:t>履约保函格式</w:t>
      </w:r>
      <w:bookmarkEnd w:id="823"/>
      <w:bookmarkEnd w:id="824"/>
      <w:bookmarkEnd w:id="825"/>
      <w:bookmarkEnd w:id="826"/>
      <w:bookmarkEnd w:id="827"/>
    </w:p>
    <w:p w14:paraId="2010679B">
      <w:pPr>
        <w:spacing w:line="360" w:lineRule="auto"/>
        <w:jc w:val="center"/>
        <w:rPr>
          <w:rFonts w:hint="eastAsia" w:ascii="宋体" w:hAnsi="宋体" w:cs="宋体"/>
          <w:b/>
          <w:color w:val="auto"/>
          <w:sz w:val="24"/>
          <w:highlight w:val="none"/>
        </w:rPr>
      </w:pPr>
    </w:p>
    <w:p w14:paraId="36E9A0FA">
      <w:pPr>
        <w:spacing w:line="4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履约保函</w:t>
      </w:r>
    </w:p>
    <w:p w14:paraId="386404C6">
      <w:pPr>
        <w:tabs>
          <w:tab w:val="left" w:pos="824"/>
        </w:tabs>
        <w:spacing w:line="460" w:lineRule="exact"/>
        <w:ind w:firstLine="6300" w:firstLineChars="3000"/>
        <w:rPr>
          <w:rFonts w:hint="eastAsia" w:ascii="宋体" w:hAnsi="宋体" w:cs="宋体"/>
          <w:color w:val="auto"/>
          <w:highlight w:val="none"/>
        </w:rPr>
      </w:pPr>
      <w:r>
        <w:rPr>
          <w:rFonts w:hint="eastAsia" w:ascii="宋体" w:hAnsi="宋体" w:cs="宋体"/>
          <w:color w:val="auto"/>
          <w:highlight w:val="none"/>
        </w:rPr>
        <w:t>银行编号：</w:t>
      </w:r>
    </w:p>
    <w:p w14:paraId="587BBB99">
      <w:pPr>
        <w:spacing w:line="460" w:lineRule="exact"/>
        <w:contextualSpacing/>
        <w:rPr>
          <w:rFonts w:hint="eastAsia" w:ascii="宋体" w:hAnsi="宋体" w:cs="Courier New"/>
          <w:color w:val="auto"/>
          <w:sz w:val="24"/>
          <w:highlight w:val="none"/>
        </w:rPr>
      </w:pPr>
      <w:r>
        <w:rPr>
          <w:rFonts w:hint="eastAsia" w:ascii="宋体" w:hAnsi="宋体" w:cs="Courier New"/>
          <w:color w:val="auto"/>
          <w:sz w:val="24"/>
          <w:highlight w:val="none"/>
        </w:rPr>
        <w:t>致：</w:t>
      </w:r>
      <w:r>
        <w:rPr>
          <w:rFonts w:hint="eastAsia" w:ascii="宋体" w:hAnsi="宋体" w:cs="Courier New"/>
          <w:color w:val="auto"/>
          <w:sz w:val="24"/>
          <w:highlight w:val="none"/>
          <w:u w:val="single"/>
        </w:rPr>
        <w:t>东莞市轨道一号线建设发展有限公司</w:t>
      </w:r>
      <w:r>
        <w:rPr>
          <w:rFonts w:hint="eastAsia" w:ascii="宋体" w:hAnsi="宋体" w:cs="Courier New"/>
          <w:color w:val="auto"/>
          <w:sz w:val="24"/>
          <w:highlight w:val="none"/>
        </w:rPr>
        <w:t>（下称“受益人”）</w:t>
      </w:r>
    </w:p>
    <w:p w14:paraId="04E94084">
      <w:pPr>
        <w:spacing w:line="460" w:lineRule="exact"/>
        <w:ind w:firstLine="480" w:firstLineChars="200"/>
        <w:contextualSpacing/>
        <w:rPr>
          <w:rFonts w:hint="eastAsia" w:ascii="宋体" w:hAnsi="宋体" w:cs="Courier New"/>
          <w:color w:val="auto"/>
          <w:sz w:val="24"/>
          <w:highlight w:val="none"/>
        </w:rPr>
      </w:pPr>
      <w:r>
        <w:rPr>
          <w:rFonts w:hint="eastAsia" w:ascii="宋体" w:hAnsi="宋体" w:cs="Courier New"/>
          <w:color w:val="auto"/>
          <w:sz w:val="24"/>
          <w:highlight w:val="none"/>
        </w:rPr>
        <w:t>鉴于</w:t>
      </w:r>
      <w:r>
        <w:rPr>
          <w:rFonts w:hint="eastAsia" w:ascii="宋体" w:hAnsi="宋体" w:cs="Courier New"/>
          <w:color w:val="auto"/>
          <w:sz w:val="24"/>
          <w:highlight w:val="none"/>
          <w:u w:val="single"/>
        </w:rPr>
        <w:t>（单位地址）</w:t>
      </w:r>
      <w:r>
        <w:rPr>
          <w:rFonts w:hint="eastAsia" w:ascii="宋体" w:hAnsi="宋体" w:cs="Courier New"/>
          <w:color w:val="auto"/>
          <w:sz w:val="24"/>
          <w:highlight w:val="none"/>
        </w:rPr>
        <w:t>的</w:t>
      </w:r>
      <w:r>
        <w:rPr>
          <w:rFonts w:hint="eastAsia" w:ascii="宋体" w:hAnsi="宋体" w:cs="Courier New"/>
          <w:color w:val="auto"/>
          <w:sz w:val="24"/>
          <w:highlight w:val="none"/>
          <w:u w:val="single"/>
        </w:rPr>
        <w:t>（中标单位名称）</w:t>
      </w:r>
      <w:r>
        <w:rPr>
          <w:rFonts w:hint="eastAsia" w:ascii="宋体" w:hAnsi="宋体" w:cs="Courier New"/>
          <w:color w:val="auto"/>
          <w:sz w:val="24"/>
          <w:highlight w:val="none"/>
        </w:rPr>
        <w:t>(下称“承包人”)，已成为贵公司</w:t>
      </w:r>
      <w:r>
        <w:rPr>
          <w:rFonts w:hint="eastAsia" w:ascii="宋体" w:hAnsi="宋体" w:cs="Courier New"/>
          <w:color w:val="auto"/>
          <w:sz w:val="24"/>
          <w:highlight w:val="none"/>
          <w:u w:val="single"/>
        </w:rPr>
        <w:t>（中标通知书项目名称）</w:t>
      </w:r>
      <w:r>
        <w:rPr>
          <w:rFonts w:hint="eastAsia" w:ascii="宋体" w:hAnsi="宋体" w:cs="Courier New"/>
          <w:color w:val="auto"/>
          <w:sz w:val="24"/>
          <w:highlight w:val="none"/>
        </w:rPr>
        <w:t>的中标人，保证按</w:t>
      </w:r>
      <w:r>
        <w:rPr>
          <w:rFonts w:hint="eastAsia" w:ascii="宋体" w:hAnsi="宋体" w:cs="Courier New"/>
          <w:color w:val="auto"/>
          <w:sz w:val="24"/>
          <w:highlight w:val="none"/>
          <w:u w:val="single"/>
        </w:rPr>
        <w:t>（中标通知书项目名称）</w:t>
      </w:r>
      <w:r>
        <w:rPr>
          <w:rFonts w:hint="eastAsia" w:ascii="宋体" w:hAnsi="宋体" w:cs="Courier New"/>
          <w:color w:val="auto"/>
          <w:sz w:val="24"/>
          <w:highlight w:val="none"/>
        </w:rPr>
        <w:t>中规定的合同条款履行义务。</w:t>
      </w:r>
    </w:p>
    <w:p w14:paraId="5E0EEDDC">
      <w:pPr>
        <w:spacing w:line="460" w:lineRule="exact"/>
        <w:ind w:firstLine="480" w:firstLineChars="200"/>
        <w:contextualSpacing/>
        <w:rPr>
          <w:rFonts w:hint="eastAsia" w:ascii="宋体" w:hAnsi="宋体" w:cs="Courier New"/>
          <w:color w:val="auto"/>
          <w:sz w:val="24"/>
          <w:highlight w:val="none"/>
        </w:rPr>
      </w:pPr>
      <w:r>
        <w:rPr>
          <w:rFonts w:hint="eastAsia" w:ascii="宋体" w:hAnsi="宋体" w:cs="Courier New"/>
          <w:color w:val="auto"/>
          <w:sz w:val="24"/>
          <w:highlight w:val="none"/>
        </w:rPr>
        <w:t>根据</w:t>
      </w:r>
      <w:r>
        <w:rPr>
          <w:rFonts w:hint="eastAsia" w:ascii="宋体" w:hAnsi="宋体" w:cs="Courier New"/>
          <w:color w:val="auto"/>
          <w:sz w:val="24"/>
          <w:highlight w:val="none"/>
          <w:u w:val="single"/>
        </w:rPr>
        <w:t>（中标通知书项目名称）</w:t>
      </w:r>
      <w:r>
        <w:rPr>
          <w:rFonts w:hint="eastAsia" w:ascii="宋体" w:hAnsi="宋体" w:cs="Courier New"/>
          <w:color w:val="auto"/>
          <w:sz w:val="24"/>
          <w:highlight w:val="none"/>
        </w:rPr>
        <w:t>招标文件的规定，承包人应向受益人提供一份金额为中标总价的</w:t>
      </w:r>
      <w:r>
        <w:rPr>
          <w:rFonts w:hint="eastAsia" w:ascii="宋体" w:hAnsi="宋体" w:cs="Courier New"/>
          <w:color w:val="auto"/>
          <w:sz w:val="24"/>
          <w:highlight w:val="none"/>
          <w:u w:val="single"/>
        </w:rPr>
        <w:t xml:space="preserve">  %</w:t>
      </w:r>
      <w:r>
        <w:rPr>
          <w:rFonts w:hint="eastAsia" w:ascii="宋体" w:hAnsi="宋体" w:cs="Courier New"/>
          <w:color w:val="auto"/>
          <w:sz w:val="24"/>
          <w:highlight w:val="none"/>
        </w:rPr>
        <w:t>即人民币</w:t>
      </w:r>
      <w:r>
        <w:rPr>
          <w:rFonts w:hint="eastAsia" w:ascii="宋体" w:hAnsi="宋体" w:cs="Courier New"/>
          <w:color w:val="auto"/>
          <w:sz w:val="24"/>
          <w:highlight w:val="none"/>
          <w:u w:val="single"/>
        </w:rPr>
        <w:t>（大写）</w:t>
      </w:r>
      <w:r>
        <w:rPr>
          <w:rFonts w:hint="eastAsia" w:ascii="宋体" w:hAnsi="宋体" w:cs="Courier New"/>
          <w:color w:val="auto"/>
          <w:sz w:val="24"/>
          <w:highlight w:val="none"/>
        </w:rPr>
        <w:t>元（</w:t>
      </w:r>
      <w:r>
        <w:rPr>
          <w:rFonts w:hint="eastAsia" w:ascii="宋体" w:hAnsi="宋体" w:cs="Courier New"/>
          <w:color w:val="auto"/>
          <w:sz w:val="24"/>
          <w:highlight w:val="none"/>
          <w:u w:val="single"/>
        </w:rPr>
        <w:t>￥（小写）</w:t>
      </w:r>
      <w:r>
        <w:rPr>
          <w:rFonts w:hint="eastAsia" w:ascii="宋体" w:hAnsi="宋体" w:cs="Courier New"/>
          <w:color w:val="auto"/>
          <w:sz w:val="24"/>
          <w:highlight w:val="none"/>
        </w:rPr>
        <w:t>）的无条件、不可撤销、见索即付、独立的银行履约保函（下称“本保函”），作为承包人履行（</w:t>
      </w:r>
      <w:r>
        <w:rPr>
          <w:rFonts w:hint="eastAsia" w:ascii="宋体" w:hAnsi="宋体" w:cs="Courier New"/>
          <w:color w:val="auto"/>
          <w:sz w:val="24"/>
          <w:highlight w:val="none"/>
          <w:u w:val="single"/>
        </w:rPr>
        <w:t>中标通知书项目名称）</w:t>
      </w:r>
      <w:r>
        <w:rPr>
          <w:rFonts w:hint="eastAsia" w:ascii="宋体" w:hAnsi="宋体" w:cs="Courier New"/>
          <w:color w:val="auto"/>
          <w:sz w:val="24"/>
          <w:highlight w:val="none"/>
        </w:rPr>
        <w:t>合同的担保。</w:t>
      </w:r>
    </w:p>
    <w:p w14:paraId="0D7D99EC">
      <w:pPr>
        <w:autoSpaceDE w:val="0"/>
        <w:autoSpaceDN w:val="0"/>
        <w:adjustRightInd w:val="0"/>
        <w:spacing w:line="460" w:lineRule="exact"/>
        <w:ind w:firstLine="465" w:firstLineChars="194"/>
        <w:contextualSpacing/>
        <w:jc w:val="left"/>
        <w:rPr>
          <w:rFonts w:hint="eastAsia" w:ascii="宋体" w:hAnsi="宋体" w:cs="Courier New"/>
          <w:color w:val="auto"/>
          <w:sz w:val="24"/>
          <w:highlight w:val="none"/>
        </w:rPr>
      </w:pPr>
      <w:r>
        <w:rPr>
          <w:rFonts w:hint="eastAsia" w:ascii="宋体" w:hAnsi="宋体" w:cs="Courier New"/>
          <w:color w:val="auto"/>
          <w:sz w:val="24"/>
          <w:highlight w:val="none"/>
        </w:rPr>
        <w:t>注册于</w:t>
      </w:r>
      <w:r>
        <w:rPr>
          <w:rFonts w:hint="eastAsia" w:ascii="宋体" w:hAnsi="宋体" w:cs="Courier New"/>
          <w:color w:val="auto"/>
          <w:sz w:val="24"/>
          <w:highlight w:val="none"/>
          <w:u w:val="single"/>
        </w:rPr>
        <w:t xml:space="preserve"> (银行地址)</w:t>
      </w:r>
      <w:r>
        <w:rPr>
          <w:rFonts w:hint="eastAsia" w:ascii="宋体" w:hAnsi="宋体" w:cs="Courier New"/>
          <w:color w:val="auto"/>
          <w:sz w:val="24"/>
          <w:highlight w:val="none"/>
        </w:rPr>
        <w:t>的</w:t>
      </w:r>
      <w:r>
        <w:rPr>
          <w:rFonts w:hint="eastAsia" w:ascii="宋体" w:hAnsi="宋体" w:cs="Courier New"/>
          <w:color w:val="auto"/>
          <w:sz w:val="24"/>
          <w:highlight w:val="none"/>
          <w:u w:val="single"/>
        </w:rPr>
        <w:t>（银行名称）</w:t>
      </w:r>
      <w:r>
        <w:rPr>
          <w:rFonts w:hint="eastAsia" w:ascii="宋体" w:hAnsi="宋体" w:cs="Courier New"/>
          <w:color w:val="auto"/>
          <w:sz w:val="24"/>
          <w:highlight w:val="none"/>
        </w:rPr>
        <w:t>向受益人保证本行及其继承人和受让人在收到受益人第一次的表明承包人违约的书面通知后五个工作日内，无论承包人有何反对，无条件地、不可撤销地按该通知的规定，向受益人支付不超过</w:t>
      </w:r>
      <w:r>
        <w:rPr>
          <w:rFonts w:hint="eastAsia" w:ascii="宋体" w:hAnsi="宋体" w:cs="Courier New"/>
          <w:color w:val="auto"/>
          <w:kern w:val="0"/>
          <w:sz w:val="24"/>
          <w:highlight w:val="none"/>
        </w:rPr>
        <w:t>人民币</w:t>
      </w:r>
      <w:r>
        <w:rPr>
          <w:rFonts w:hint="eastAsia" w:ascii="宋体" w:hAnsi="宋体" w:cs="Courier New"/>
          <w:color w:val="auto"/>
          <w:kern w:val="0"/>
          <w:sz w:val="24"/>
          <w:highlight w:val="none"/>
          <w:u w:val="single"/>
        </w:rPr>
        <w:t>（大写）</w:t>
      </w:r>
      <w:r>
        <w:rPr>
          <w:rFonts w:hint="eastAsia" w:ascii="宋体" w:hAnsi="宋体" w:cs="Courier New"/>
          <w:color w:val="auto"/>
          <w:kern w:val="0"/>
          <w:sz w:val="24"/>
          <w:highlight w:val="none"/>
        </w:rPr>
        <w:t>元（</w:t>
      </w:r>
      <w:r>
        <w:rPr>
          <w:rFonts w:hint="eastAsia" w:ascii="宋体" w:hAnsi="宋体" w:cs="Courier New"/>
          <w:color w:val="auto"/>
          <w:kern w:val="0"/>
          <w:sz w:val="24"/>
          <w:highlight w:val="none"/>
          <w:u w:val="single"/>
        </w:rPr>
        <w:t>￥（小写）</w:t>
      </w:r>
      <w:r>
        <w:rPr>
          <w:rFonts w:hint="eastAsia" w:ascii="宋体" w:hAnsi="宋体" w:cs="Courier New"/>
          <w:color w:val="auto"/>
          <w:kern w:val="0"/>
          <w:sz w:val="24"/>
          <w:highlight w:val="none"/>
        </w:rPr>
        <w:t>）</w:t>
      </w:r>
      <w:r>
        <w:rPr>
          <w:rFonts w:hint="eastAsia" w:ascii="宋体" w:hAnsi="宋体" w:cs="Courier New"/>
          <w:color w:val="auto"/>
          <w:sz w:val="24"/>
          <w:highlight w:val="none"/>
        </w:rPr>
        <w:t>的金额</w:t>
      </w:r>
      <w:r>
        <w:rPr>
          <w:rFonts w:hint="eastAsia" w:ascii="宋体" w:hAnsi="宋体" w:cs="宋体"/>
          <w:color w:val="auto"/>
          <w:sz w:val="24"/>
          <w:highlight w:val="none"/>
        </w:rPr>
        <w:t>，无需受益人提供任何证明</w:t>
      </w:r>
      <w:r>
        <w:rPr>
          <w:rFonts w:hint="eastAsia" w:ascii="宋体" w:hAnsi="宋体" w:cs="Courier New"/>
          <w:color w:val="auto"/>
          <w:sz w:val="24"/>
          <w:highlight w:val="none"/>
        </w:rPr>
        <w:t>。</w:t>
      </w:r>
    </w:p>
    <w:p w14:paraId="01857608">
      <w:pPr>
        <w:spacing w:line="460" w:lineRule="exact"/>
        <w:ind w:firstLine="480" w:firstLineChars="200"/>
        <w:contextualSpacing/>
        <w:rPr>
          <w:rFonts w:hint="eastAsia" w:ascii="宋体" w:hAnsi="宋体" w:cs="Courier New"/>
          <w:color w:val="auto"/>
          <w:sz w:val="24"/>
          <w:highlight w:val="none"/>
        </w:rPr>
      </w:pPr>
      <w:r>
        <w:rPr>
          <w:rFonts w:hint="eastAsia" w:ascii="宋体" w:hAnsi="宋体" w:cs="Courier New"/>
          <w:color w:val="auto"/>
          <w:sz w:val="24"/>
          <w:highlight w:val="none"/>
        </w:rPr>
        <w:t>我方还同意，任何受益人与承包人之间可能对</w:t>
      </w:r>
      <w:r>
        <w:rPr>
          <w:rFonts w:hint="eastAsia" w:ascii="宋体" w:hAnsi="宋体" w:cs="Courier New"/>
          <w:color w:val="auto"/>
          <w:sz w:val="24"/>
          <w:highlight w:val="none"/>
          <w:u w:val="single"/>
        </w:rPr>
        <w:t>（中标通知书项目名称）</w:t>
      </w:r>
      <w:r>
        <w:rPr>
          <w:rFonts w:hint="eastAsia" w:ascii="宋体" w:hAnsi="宋体" w:cs="Courier New"/>
          <w:color w:val="auto"/>
          <w:sz w:val="24"/>
          <w:highlight w:val="none"/>
        </w:rPr>
        <w:t>合同条款的修改、变动或补充，都不能减少和免除我方按本保函所承担的责任。因此，有关上述修改、变动或补充无须通知我方。</w:t>
      </w:r>
    </w:p>
    <w:p w14:paraId="1D29FE59">
      <w:pPr>
        <w:spacing w:line="460" w:lineRule="exact"/>
        <w:ind w:firstLine="480" w:firstLineChars="200"/>
        <w:contextualSpacing/>
        <w:rPr>
          <w:rFonts w:hint="eastAsia" w:ascii="宋体" w:hAnsi="宋体" w:cs="Courier New"/>
          <w:color w:val="auto"/>
          <w:sz w:val="24"/>
          <w:highlight w:val="none"/>
          <w:u w:val="single"/>
        </w:rPr>
      </w:pPr>
      <w:r>
        <w:rPr>
          <w:rFonts w:hint="eastAsia" w:ascii="宋体" w:hAnsi="宋体" w:cs="Courier New"/>
          <w:color w:val="auto"/>
          <w:sz w:val="24"/>
          <w:highlight w:val="none"/>
        </w:rPr>
        <w:t>本保函从签发之日起生效，直至</w:t>
      </w:r>
      <w:r>
        <w:rPr>
          <w:rFonts w:hint="eastAsia" w:ascii="宋体" w:hAnsi="宋体" w:cs="Courier New"/>
          <w:color w:val="auto"/>
          <w:kern w:val="0"/>
          <w:sz w:val="24"/>
          <w:highlight w:val="none"/>
        </w:rPr>
        <w:t>经相关主管部门按有关规定审核结算后30天内保持有效，但有效期最迟不超过</w:t>
      </w:r>
      <w:r>
        <w:rPr>
          <w:rFonts w:hint="eastAsia" w:ascii="宋体" w:hAnsi="宋体" w:cs="Courier New"/>
          <w:color w:val="auto"/>
          <w:kern w:val="0"/>
          <w:sz w:val="24"/>
          <w:highlight w:val="none"/>
          <w:u w:val="single"/>
        </w:rPr>
        <w:t xml:space="preserve">   </w:t>
      </w:r>
      <w:r>
        <w:rPr>
          <w:rFonts w:hint="eastAsia" w:ascii="宋体" w:hAnsi="宋体" w:cs="Courier New"/>
          <w:color w:val="auto"/>
          <w:kern w:val="0"/>
          <w:sz w:val="24"/>
          <w:highlight w:val="none"/>
        </w:rPr>
        <w:t>年</w:t>
      </w:r>
      <w:r>
        <w:rPr>
          <w:rFonts w:hint="eastAsia" w:ascii="宋体" w:hAnsi="宋体" w:cs="Courier New"/>
          <w:color w:val="auto"/>
          <w:kern w:val="0"/>
          <w:sz w:val="24"/>
          <w:highlight w:val="none"/>
          <w:u w:val="single"/>
        </w:rPr>
        <w:t xml:space="preserve">   </w:t>
      </w:r>
      <w:r>
        <w:rPr>
          <w:rFonts w:hint="eastAsia" w:ascii="宋体" w:hAnsi="宋体" w:cs="Courier New"/>
          <w:color w:val="auto"/>
          <w:kern w:val="0"/>
          <w:sz w:val="24"/>
          <w:highlight w:val="none"/>
        </w:rPr>
        <w:t>月</w:t>
      </w:r>
      <w:r>
        <w:rPr>
          <w:rFonts w:hint="eastAsia" w:ascii="宋体" w:hAnsi="宋体" w:cs="Courier New"/>
          <w:color w:val="auto"/>
          <w:kern w:val="0"/>
          <w:sz w:val="24"/>
          <w:highlight w:val="none"/>
          <w:u w:val="single"/>
        </w:rPr>
        <w:t xml:space="preserve">   </w:t>
      </w:r>
      <w:r>
        <w:rPr>
          <w:rFonts w:hint="eastAsia" w:ascii="宋体" w:hAnsi="宋体" w:cs="Courier New"/>
          <w:color w:val="auto"/>
          <w:kern w:val="0"/>
          <w:sz w:val="24"/>
          <w:highlight w:val="none"/>
        </w:rPr>
        <w:t>日。</w:t>
      </w:r>
    </w:p>
    <w:p w14:paraId="07C66A0C">
      <w:pPr>
        <w:spacing w:line="460" w:lineRule="exact"/>
        <w:ind w:firstLine="3160" w:firstLineChars="1317"/>
        <w:contextualSpacing/>
        <w:rPr>
          <w:rFonts w:hint="eastAsia" w:ascii="宋体" w:hAnsi="宋体" w:cs="Courier New"/>
          <w:color w:val="auto"/>
          <w:sz w:val="24"/>
          <w:highlight w:val="none"/>
        </w:rPr>
      </w:pPr>
    </w:p>
    <w:p w14:paraId="70E11B51">
      <w:pPr>
        <w:spacing w:line="460" w:lineRule="exact"/>
        <w:ind w:firstLine="3160" w:firstLineChars="1317"/>
        <w:contextualSpacing/>
        <w:rPr>
          <w:rFonts w:hint="eastAsia" w:ascii="宋体" w:hAnsi="宋体" w:cs="Courier New"/>
          <w:color w:val="auto"/>
          <w:sz w:val="24"/>
          <w:highlight w:val="none"/>
        </w:rPr>
      </w:pPr>
      <w:r>
        <w:rPr>
          <w:rFonts w:hint="eastAsia" w:ascii="宋体" w:hAnsi="宋体" w:cs="Courier New"/>
          <w:color w:val="auto"/>
          <w:sz w:val="24"/>
          <w:highlight w:val="none"/>
        </w:rPr>
        <w:t>担 保 银行：</w:t>
      </w:r>
      <w:r>
        <w:rPr>
          <w:rFonts w:hint="eastAsia" w:ascii="宋体" w:hAnsi="宋体" w:cs="Courier New"/>
          <w:color w:val="auto"/>
          <w:sz w:val="24"/>
          <w:highlight w:val="none"/>
          <w:u w:val="single"/>
        </w:rPr>
        <w:t>（全称）</w:t>
      </w:r>
      <w:r>
        <w:rPr>
          <w:rFonts w:hint="eastAsia" w:ascii="宋体" w:hAnsi="宋体" w:cs="Courier New"/>
          <w:color w:val="auto"/>
          <w:sz w:val="24"/>
          <w:highlight w:val="none"/>
        </w:rPr>
        <w:t>（盖章）</w:t>
      </w:r>
    </w:p>
    <w:p w14:paraId="40D3A7AD">
      <w:pPr>
        <w:spacing w:line="460" w:lineRule="exact"/>
        <w:ind w:firstLine="3160" w:firstLineChars="1317"/>
        <w:contextualSpacing/>
        <w:rPr>
          <w:rFonts w:hint="eastAsia" w:ascii="宋体" w:hAnsi="宋体" w:cs="Courier New"/>
          <w:color w:val="auto"/>
          <w:sz w:val="24"/>
          <w:highlight w:val="none"/>
        </w:rPr>
      </w:pPr>
      <w:r>
        <w:rPr>
          <w:rFonts w:hint="eastAsia" w:ascii="宋体" w:hAnsi="宋体" w:cs="Courier New"/>
          <w:color w:val="auto"/>
          <w:sz w:val="24"/>
          <w:highlight w:val="none"/>
        </w:rPr>
        <w:t>法定代表人（或负责人）：（签名）</w:t>
      </w:r>
    </w:p>
    <w:p w14:paraId="0626D556">
      <w:pPr>
        <w:spacing w:line="460" w:lineRule="exact"/>
        <w:ind w:firstLine="3160" w:firstLineChars="1317"/>
        <w:contextualSpacing/>
        <w:rPr>
          <w:rFonts w:hint="eastAsia" w:ascii="宋体" w:hAnsi="宋体" w:cs="Courier New"/>
          <w:color w:val="auto"/>
          <w:sz w:val="24"/>
          <w:highlight w:val="none"/>
        </w:rPr>
      </w:pPr>
      <w:r>
        <w:rPr>
          <w:rFonts w:hint="eastAsia" w:ascii="宋体" w:hAnsi="宋体" w:cs="Courier New"/>
          <w:color w:val="auto"/>
          <w:sz w:val="24"/>
          <w:highlight w:val="none"/>
        </w:rPr>
        <w:t>日     期：</w:t>
      </w:r>
      <w:r>
        <w:rPr>
          <w:rFonts w:hint="eastAsia" w:ascii="宋体" w:hAnsi="宋体" w:cs="Courier New"/>
          <w:color w:val="auto"/>
          <w:sz w:val="24"/>
          <w:highlight w:val="none"/>
          <w:lang w:val="en-US" w:eastAsia="zh-CN"/>
        </w:rPr>
        <w:t xml:space="preserve">    </w:t>
      </w:r>
      <w:r>
        <w:rPr>
          <w:rFonts w:hint="eastAsia" w:ascii="宋体" w:hAnsi="宋体" w:cs="Courier New"/>
          <w:color w:val="auto"/>
          <w:sz w:val="24"/>
          <w:highlight w:val="none"/>
        </w:rPr>
        <w:t>年</w:t>
      </w:r>
      <w:r>
        <w:rPr>
          <w:rFonts w:hint="eastAsia" w:ascii="宋体" w:hAnsi="宋体" w:cs="Courier New"/>
          <w:color w:val="auto"/>
          <w:sz w:val="24"/>
          <w:highlight w:val="none"/>
          <w:lang w:val="en-US" w:eastAsia="zh-CN"/>
        </w:rPr>
        <w:t xml:space="preserve">   </w:t>
      </w:r>
      <w:r>
        <w:rPr>
          <w:rFonts w:hint="eastAsia" w:ascii="宋体" w:hAnsi="宋体" w:cs="Courier New"/>
          <w:color w:val="auto"/>
          <w:sz w:val="24"/>
          <w:highlight w:val="none"/>
        </w:rPr>
        <w:t>月</w:t>
      </w:r>
      <w:r>
        <w:rPr>
          <w:rFonts w:hint="eastAsia" w:ascii="宋体" w:hAnsi="宋体" w:cs="Courier New"/>
          <w:color w:val="auto"/>
          <w:sz w:val="24"/>
          <w:highlight w:val="none"/>
          <w:lang w:val="en-US" w:eastAsia="zh-CN"/>
        </w:rPr>
        <w:t xml:space="preserve">    </w:t>
      </w:r>
      <w:r>
        <w:rPr>
          <w:rFonts w:hint="eastAsia" w:ascii="宋体" w:hAnsi="宋体" w:cs="Courier New"/>
          <w:color w:val="auto"/>
          <w:sz w:val="24"/>
          <w:highlight w:val="none"/>
        </w:rPr>
        <w:t>日</w:t>
      </w:r>
    </w:p>
    <w:p w14:paraId="0672EFAB">
      <w:pPr>
        <w:spacing w:line="460" w:lineRule="exact"/>
        <w:ind w:firstLine="3160" w:firstLineChars="1317"/>
        <w:contextualSpacing/>
        <w:rPr>
          <w:rFonts w:hint="eastAsia" w:ascii="宋体" w:hAnsi="宋体" w:cs="Courier New"/>
          <w:color w:val="auto"/>
          <w:sz w:val="24"/>
          <w:highlight w:val="none"/>
        </w:rPr>
      </w:pPr>
      <w:r>
        <w:rPr>
          <w:rFonts w:hint="eastAsia" w:ascii="宋体" w:hAnsi="宋体" w:cs="Courier New"/>
          <w:color w:val="auto"/>
          <w:sz w:val="24"/>
          <w:highlight w:val="none"/>
        </w:rPr>
        <w:t>银行地址：</w:t>
      </w:r>
    </w:p>
    <w:p w14:paraId="269AC731">
      <w:pPr>
        <w:spacing w:line="460" w:lineRule="exact"/>
        <w:ind w:firstLine="3160" w:firstLineChars="1317"/>
        <w:contextualSpacing/>
        <w:rPr>
          <w:rFonts w:hint="eastAsia" w:ascii="宋体" w:hAnsi="宋体" w:cs="Courier New"/>
          <w:color w:val="auto"/>
          <w:sz w:val="24"/>
          <w:highlight w:val="none"/>
        </w:rPr>
      </w:pPr>
      <w:r>
        <w:rPr>
          <w:rFonts w:hint="eastAsia" w:ascii="宋体" w:hAnsi="宋体" w:cs="Courier New"/>
          <w:color w:val="auto"/>
          <w:sz w:val="24"/>
          <w:highlight w:val="none"/>
        </w:rPr>
        <w:t>银行联系电话：</w:t>
      </w:r>
    </w:p>
    <w:p w14:paraId="3CF71503">
      <w:pPr>
        <w:pStyle w:val="7"/>
        <w:ind w:firstLine="480"/>
        <w:rPr>
          <w:rFonts w:hint="eastAsia" w:ascii="宋体" w:hAnsi="宋体" w:cs="Courier New"/>
          <w:color w:val="auto"/>
          <w:sz w:val="24"/>
          <w:highlight w:val="none"/>
        </w:rPr>
      </w:pPr>
    </w:p>
    <w:p w14:paraId="38A7A6A2">
      <w:pPr>
        <w:pStyle w:val="7"/>
        <w:ind w:firstLine="480"/>
        <w:rPr>
          <w:rFonts w:hint="eastAsia" w:ascii="宋体" w:hAnsi="宋体" w:cs="Courier New"/>
          <w:color w:val="auto"/>
          <w:sz w:val="24"/>
          <w:highlight w:val="none"/>
        </w:rPr>
      </w:pPr>
    </w:p>
    <w:p w14:paraId="74269553">
      <w:pPr>
        <w:spacing w:line="460" w:lineRule="exact"/>
        <w:contextualSpacing/>
        <w:rPr>
          <w:rFonts w:hint="eastAsia" w:ascii="宋体" w:hAnsi="宋体" w:cs="Courier New"/>
          <w:color w:val="auto"/>
          <w:sz w:val="24"/>
          <w:highlight w:val="none"/>
        </w:rPr>
      </w:pPr>
      <w:r>
        <w:rPr>
          <w:rFonts w:hint="eastAsia" w:ascii="宋体" w:hAnsi="宋体" w:cs="Courier New"/>
          <w:color w:val="auto"/>
          <w:sz w:val="24"/>
          <w:highlight w:val="none"/>
        </w:rPr>
        <w:t>备注：保函应由国有商业银行或股份制商业银行支行一级以上机构出具，非东莞市行政区域内的担保机构出具的履约保函需经担保机构所在地公证机关公证并出具公证书，执行本款所发生的费用由承包人承担。</w:t>
      </w:r>
    </w:p>
    <w:p w14:paraId="5C4313B8">
      <w:pPr>
        <w:pStyle w:val="7"/>
        <w:ind w:firstLine="562"/>
        <w:jc w:val="center"/>
        <w:rPr>
          <w:b/>
          <w:bCs/>
          <w:color w:val="auto"/>
          <w:sz w:val="28"/>
          <w:szCs w:val="28"/>
          <w:highlight w:val="none"/>
        </w:rPr>
      </w:pPr>
      <w:r>
        <w:rPr>
          <w:rFonts w:hint="eastAsia"/>
          <w:b/>
          <w:bCs/>
          <w:color w:val="auto"/>
          <w:sz w:val="28"/>
          <w:szCs w:val="28"/>
          <w:highlight w:val="none"/>
        </w:rPr>
        <w:t>承诺函（履约保函）</w:t>
      </w:r>
    </w:p>
    <w:p w14:paraId="3D330C24">
      <w:pPr>
        <w:pStyle w:val="7"/>
        <w:rPr>
          <w:color w:val="auto"/>
          <w:highlight w:val="none"/>
        </w:rPr>
      </w:pPr>
    </w:p>
    <w:p w14:paraId="73BB2871">
      <w:pPr>
        <w:pStyle w:val="7"/>
        <w:spacing w:line="360" w:lineRule="auto"/>
        <w:ind w:firstLine="480"/>
        <w:rPr>
          <w:rFonts w:hint="eastAsia" w:ascii="宋体" w:hAnsi="宋体" w:cs="Courier New"/>
          <w:color w:val="auto"/>
          <w:sz w:val="24"/>
          <w:szCs w:val="24"/>
          <w:highlight w:val="none"/>
          <w:lang w:val="zh-CN"/>
        </w:rPr>
      </w:pPr>
      <w:r>
        <w:rPr>
          <w:rFonts w:hint="eastAsia" w:ascii="宋体" w:hAnsi="宋体" w:cs="Courier New"/>
          <w:color w:val="auto"/>
          <w:sz w:val="24"/>
          <w:szCs w:val="24"/>
          <w:highlight w:val="none"/>
          <w:lang w:val="zh-CN"/>
        </w:rPr>
        <w:t>东莞市轨道一号线建设发展有限公司：</w:t>
      </w:r>
    </w:p>
    <w:p w14:paraId="7A6F0287">
      <w:pPr>
        <w:pStyle w:val="7"/>
        <w:spacing w:line="360" w:lineRule="auto"/>
        <w:ind w:firstLine="480"/>
        <w:rPr>
          <w:rFonts w:hint="eastAsia" w:ascii="宋体" w:hAnsi="宋体" w:cs="Courier New"/>
          <w:color w:val="auto"/>
          <w:sz w:val="24"/>
          <w:szCs w:val="24"/>
          <w:highlight w:val="none"/>
          <w:lang w:val="zh-CN"/>
        </w:rPr>
      </w:pPr>
      <w:r>
        <w:rPr>
          <w:rFonts w:hint="eastAsia" w:ascii="宋体" w:hAnsi="宋体" w:cs="Courier New"/>
          <w:color w:val="auto"/>
          <w:sz w:val="24"/>
          <w:szCs w:val="24"/>
          <w:highlight w:val="none"/>
          <w:lang w:val="zh-CN"/>
        </w:rPr>
        <w:t>承包人公司名称（以下称“本公司”）现已中标贵司招标的（中标通知书项目名称），并拟签订正式合同。按合同规定，本公司需向贵司提供一份担保金额为人民币（大 写）元（￥ （小 写））的《履约保函》，有效期至  年  月  日。</w:t>
      </w:r>
    </w:p>
    <w:p w14:paraId="394F40A7">
      <w:pPr>
        <w:pStyle w:val="7"/>
        <w:spacing w:line="360" w:lineRule="auto"/>
        <w:ind w:firstLine="480"/>
        <w:rPr>
          <w:rFonts w:hint="eastAsia" w:ascii="宋体" w:hAnsi="宋体" w:cs="Courier New"/>
          <w:color w:val="auto"/>
          <w:sz w:val="24"/>
          <w:szCs w:val="24"/>
          <w:highlight w:val="none"/>
          <w:lang w:val="zh-CN"/>
        </w:rPr>
      </w:pPr>
      <w:r>
        <w:rPr>
          <w:rFonts w:hint="eastAsia" w:ascii="宋体" w:hAnsi="宋体" w:cs="Courier New"/>
          <w:color w:val="auto"/>
          <w:sz w:val="24"/>
          <w:szCs w:val="24"/>
          <w:highlight w:val="none"/>
          <w:lang w:val="zh-CN"/>
        </w:rPr>
        <w:t>现本公司的开户银行（银行名称）已经开具一份以贵司为受益人的《履约保函》，保函编号为（保函编号），保函有效期至  年  月  日。</w:t>
      </w:r>
    </w:p>
    <w:p w14:paraId="4419C498">
      <w:pPr>
        <w:pStyle w:val="7"/>
        <w:spacing w:line="360" w:lineRule="auto"/>
        <w:ind w:firstLine="480"/>
        <w:rPr>
          <w:rFonts w:hint="eastAsia" w:ascii="宋体" w:hAnsi="宋体" w:cs="Courier New"/>
          <w:color w:val="auto"/>
          <w:sz w:val="24"/>
          <w:szCs w:val="24"/>
          <w:highlight w:val="none"/>
          <w:lang w:val="zh-CN"/>
        </w:rPr>
      </w:pPr>
      <w:r>
        <w:rPr>
          <w:rFonts w:hint="eastAsia" w:ascii="宋体" w:hAnsi="宋体" w:cs="Courier New"/>
          <w:color w:val="auto"/>
          <w:sz w:val="24"/>
          <w:szCs w:val="24"/>
          <w:highlight w:val="none"/>
          <w:lang w:val="zh-CN"/>
        </w:rPr>
        <w:t>本公司现向贵司郑重承诺，如上述保函到期日仍未到合同约定之日起并经相关主管部门按有关规定审核结算完毕后30天，本公司将在保函到期前15天，无条件延长保函有效期至合同规定的有效期期满，具体日期可按届时的工程进度经双方协商后确定。如未及时向贵司提供符合规定的履约保函，我司承担违约责任。</w:t>
      </w:r>
    </w:p>
    <w:p w14:paraId="501F84B0">
      <w:pPr>
        <w:pStyle w:val="7"/>
        <w:spacing w:line="360" w:lineRule="auto"/>
        <w:ind w:firstLine="480"/>
        <w:rPr>
          <w:rFonts w:hint="eastAsia" w:ascii="宋体" w:hAnsi="宋体" w:cs="Courier New"/>
          <w:color w:val="auto"/>
          <w:sz w:val="24"/>
          <w:szCs w:val="24"/>
          <w:highlight w:val="none"/>
          <w:lang w:val="zh-CN"/>
        </w:rPr>
      </w:pPr>
      <w:r>
        <w:rPr>
          <w:rFonts w:hint="eastAsia" w:ascii="宋体" w:hAnsi="宋体" w:cs="Courier New"/>
          <w:color w:val="auto"/>
          <w:sz w:val="24"/>
          <w:szCs w:val="24"/>
          <w:highlight w:val="none"/>
          <w:lang w:val="zh-CN"/>
        </w:rPr>
        <w:t>特此承诺。</w:t>
      </w:r>
    </w:p>
    <w:p w14:paraId="3FA3B3D6">
      <w:pPr>
        <w:pStyle w:val="7"/>
        <w:rPr>
          <w:color w:val="auto"/>
          <w:highlight w:val="none"/>
        </w:rPr>
      </w:pPr>
    </w:p>
    <w:p w14:paraId="4CCFD6FB">
      <w:pPr>
        <w:pStyle w:val="7"/>
        <w:rPr>
          <w:color w:val="auto"/>
          <w:highlight w:val="none"/>
        </w:rPr>
      </w:pPr>
    </w:p>
    <w:p w14:paraId="483F8446">
      <w:pPr>
        <w:pStyle w:val="7"/>
        <w:rPr>
          <w:color w:val="auto"/>
          <w:highlight w:val="none"/>
        </w:rPr>
      </w:pPr>
    </w:p>
    <w:p w14:paraId="04296A09">
      <w:pPr>
        <w:pStyle w:val="7"/>
        <w:ind w:firstLine="480"/>
        <w:rPr>
          <w:rFonts w:hint="eastAsia" w:ascii="宋体" w:hAnsi="宋体" w:cs="宋体"/>
          <w:color w:val="auto"/>
          <w:sz w:val="24"/>
          <w:szCs w:val="24"/>
          <w:highlight w:val="none"/>
        </w:rPr>
      </w:pPr>
    </w:p>
    <w:p w14:paraId="3EE3D79B">
      <w:pPr>
        <w:pStyle w:val="7"/>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公司名称：（公章） </w:t>
      </w:r>
    </w:p>
    <w:p w14:paraId="7CFC7280">
      <w:pPr>
        <w:pStyle w:val="7"/>
        <w:ind w:firstLine="480"/>
        <w:rPr>
          <w:rFonts w:hint="eastAsia" w:ascii="宋体" w:hAnsi="宋体" w:cs="宋体"/>
          <w:color w:val="auto"/>
          <w:sz w:val="24"/>
          <w:szCs w:val="24"/>
          <w:highlight w:val="none"/>
        </w:rPr>
      </w:pPr>
    </w:p>
    <w:p w14:paraId="7D8E889A">
      <w:pPr>
        <w:pStyle w:val="7"/>
        <w:ind w:firstLine="480"/>
        <w:rPr>
          <w:rFonts w:hint="eastAsia" w:ascii="宋体" w:hAnsi="宋体" w:cs="宋体"/>
          <w:color w:val="auto"/>
          <w:sz w:val="24"/>
          <w:szCs w:val="24"/>
          <w:highlight w:val="none"/>
        </w:rPr>
      </w:pPr>
    </w:p>
    <w:p w14:paraId="5FD06045">
      <w:pPr>
        <w:pStyle w:val="7"/>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日期：</w:t>
      </w:r>
    </w:p>
    <w:p w14:paraId="0F4F5BA8">
      <w:pPr>
        <w:spacing w:line="360" w:lineRule="auto"/>
        <w:rPr>
          <w:rFonts w:hint="eastAsia" w:ascii="宋体" w:hAnsi="宋体" w:cs="宋体"/>
          <w:color w:val="auto"/>
          <w:sz w:val="24"/>
          <w:highlight w:val="none"/>
          <w:lang w:val="zh-CN"/>
        </w:rPr>
      </w:pPr>
    </w:p>
    <w:p w14:paraId="363BB5BF">
      <w:pPr>
        <w:spacing w:line="360" w:lineRule="auto"/>
        <w:rPr>
          <w:rFonts w:hint="eastAsia" w:ascii="宋体" w:hAnsi="宋体" w:cs="宋体"/>
          <w:color w:val="auto"/>
          <w:sz w:val="24"/>
          <w:highlight w:val="none"/>
          <w:lang w:val="zh-CN"/>
        </w:rPr>
      </w:pPr>
    </w:p>
    <w:p w14:paraId="048A5382">
      <w:pPr>
        <w:spacing w:line="360" w:lineRule="auto"/>
        <w:rPr>
          <w:rFonts w:hint="eastAsia" w:ascii="宋体" w:hAnsi="宋体" w:cs="宋体"/>
          <w:color w:val="auto"/>
          <w:sz w:val="24"/>
          <w:highlight w:val="none"/>
          <w:lang w:val="zh-CN"/>
        </w:rPr>
      </w:pPr>
    </w:p>
    <w:p w14:paraId="606B5B1E">
      <w:pPr>
        <w:spacing w:line="360" w:lineRule="auto"/>
        <w:rPr>
          <w:rFonts w:hint="eastAsia" w:ascii="宋体" w:hAnsi="宋体" w:cs="宋体"/>
          <w:color w:val="auto"/>
          <w:sz w:val="24"/>
          <w:highlight w:val="none"/>
          <w:lang w:val="zh-CN"/>
        </w:rPr>
      </w:pPr>
    </w:p>
    <w:p w14:paraId="3A499837">
      <w:pPr>
        <w:spacing w:line="360" w:lineRule="auto"/>
        <w:rPr>
          <w:rFonts w:hint="eastAsia" w:ascii="宋体" w:hAnsi="宋体" w:cs="宋体"/>
          <w:color w:val="auto"/>
          <w:sz w:val="24"/>
          <w:highlight w:val="none"/>
          <w:lang w:val="zh-CN"/>
        </w:rPr>
      </w:pPr>
    </w:p>
    <w:p w14:paraId="7051763F">
      <w:pPr>
        <w:spacing w:line="360" w:lineRule="auto"/>
        <w:rPr>
          <w:rFonts w:hint="eastAsia" w:ascii="宋体" w:hAnsi="宋体" w:cs="宋体"/>
          <w:color w:val="auto"/>
          <w:sz w:val="24"/>
          <w:highlight w:val="none"/>
          <w:lang w:val="zh-CN"/>
        </w:rPr>
      </w:pPr>
    </w:p>
    <w:p w14:paraId="69A444BE">
      <w:pPr>
        <w:spacing w:line="360" w:lineRule="auto"/>
        <w:rPr>
          <w:rFonts w:hint="eastAsia" w:ascii="宋体" w:hAnsi="宋体" w:cs="宋体"/>
          <w:color w:val="auto"/>
          <w:sz w:val="24"/>
          <w:highlight w:val="none"/>
          <w:lang w:val="zh-CN"/>
        </w:rPr>
      </w:pPr>
    </w:p>
    <w:p w14:paraId="10EC4A72">
      <w:pPr>
        <w:spacing w:line="360" w:lineRule="auto"/>
        <w:rPr>
          <w:rFonts w:hint="eastAsia" w:ascii="宋体" w:hAnsi="宋体" w:cs="宋体"/>
          <w:color w:val="auto"/>
          <w:sz w:val="24"/>
          <w:highlight w:val="none"/>
          <w:lang w:val="zh-CN"/>
        </w:rPr>
      </w:pPr>
    </w:p>
    <w:p w14:paraId="43D3013E">
      <w:pPr>
        <w:spacing w:line="360" w:lineRule="auto"/>
        <w:rPr>
          <w:rFonts w:hint="eastAsia" w:ascii="宋体" w:hAnsi="宋体" w:cs="宋体"/>
          <w:color w:val="auto"/>
          <w:sz w:val="24"/>
          <w:highlight w:val="none"/>
          <w:lang w:val="zh-CN"/>
        </w:rPr>
      </w:pPr>
    </w:p>
    <w:p w14:paraId="611A93A2">
      <w:pPr>
        <w:rPr>
          <w:rFonts w:hint="eastAsia"/>
          <w:color w:val="auto"/>
          <w:highlight w:val="none"/>
        </w:rPr>
      </w:pPr>
      <w:bookmarkStart w:id="828" w:name="_Toc13052"/>
      <w:bookmarkStart w:id="829" w:name="_Toc22822"/>
      <w:bookmarkStart w:id="830" w:name="_Toc20052"/>
      <w:bookmarkStart w:id="831" w:name="_Toc21569"/>
      <w:bookmarkStart w:id="832" w:name="_Toc27501"/>
      <w:bookmarkStart w:id="833" w:name="_Toc14963"/>
      <w:bookmarkStart w:id="834" w:name="_Toc32542"/>
      <w:bookmarkStart w:id="835" w:name="_Toc10922"/>
      <w:bookmarkStart w:id="836" w:name="_Toc9487"/>
      <w:bookmarkStart w:id="837" w:name="_Toc21075"/>
      <w:bookmarkStart w:id="838" w:name="_Toc263"/>
      <w:bookmarkStart w:id="839" w:name="_Toc30478"/>
      <w:bookmarkStart w:id="840" w:name="_Toc1269301023"/>
      <w:bookmarkStart w:id="841" w:name="_Toc17348"/>
      <w:bookmarkStart w:id="842" w:name="_Toc15057"/>
      <w:bookmarkStart w:id="843" w:name="_Toc31810"/>
      <w:bookmarkStart w:id="844" w:name="_Toc11009"/>
      <w:bookmarkStart w:id="845" w:name="_Toc840"/>
      <w:bookmarkStart w:id="846" w:name="_Toc92"/>
      <w:bookmarkStart w:id="847" w:name="_Toc30341"/>
      <w:bookmarkStart w:id="848" w:name="_Toc18218"/>
      <w:bookmarkStart w:id="849" w:name="_Toc27327"/>
      <w:bookmarkStart w:id="850" w:name="_Toc11233605"/>
      <w:bookmarkStart w:id="851" w:name="_Toc32701"/>
      <w:bookmarkStart w:id="852" w:name="_Toc9608"/>
      <w:bookmarkStart w:id="853" w:name="_Toc2551"/>
      <w:bookmarkStart w:id="854" w:name="_Toc18465"/>
      <w:bookmarkStart w:id="855" w:name="_Toc32138"/>
      <w:bookmarkStart w:id="856" w:name="_Toc24870"/>
      <w:bookmarkStart w:id="857" w:name="_Toc119249328"/>
      <w:bookmarkStart w:id="858" w:name="_Toc1375"/>
      <w:bookmarkStart w:id="859" w:name="_Toc24376"/>
      <w:bookmarkStart w:id="860" w:name="_Toc10985"/>
      <w:bookmarkStart w:id="861" w:name="_Toc16684"/>
      <w:bookmarkStart w:id="862" w:name="_Toc1459"/>
      <w:bookmarkStart w:id="863" w:name="_Toc29489"/>
      <w:bookmarkStart w:id="864" w:name="_Toc119516203"/>
      <w:bookmarkStart w:id="865" w:name="_Toc31418"/>
      <w:bookmarkStart w:id="866" w:name="_Toc3849"/>
      <w:bookmarkStart w:id="867" w:name="_Toc1245"/>
      <w:r>
        <w:rPr>
          <w:rFonts w:hint="eastAsia"/>
          <w:color w:val="auto"/>
          <w:highlight w:val="none"/>
        </w:rPr>
        <w:br w:type="page"/>
      </w:r>
    </w:p>
    <w:p w14:paraId="7A247C69">
      <w:pPr>
        <w:pStyle w:val="4"/>
        <w:ind w:firstLine="137"/>
        <w:rPr>
          <w:color w:val="auto"/>
          <w:highlight w:val="none"/>
        </w:rPr>
      </w:pPr>
      <w:bookmarkStart w:id="868" w:name="_Toc27559"/>
      <w:bookmarkStart w:id="869" w:name="_Toc7294"/>
      <w:r>
        <w:rPr>
          <w:rFonts w:hint="eastAsia"/>
          <w:color w:val="auto"/>
          <w:highlight w:val="none"/>
        </w:rPr>
        <w:t>附件二</w:t>
      </w:r>
      <w:r>
        <w:rPr>
          <w:color w:val="auto"/>
          <w:highlight w:val="none"/>
        </w:rPr>
        <w:t>：</w:t>
      </w:r>
      <w:r>
        <w:rPr>
          <w:rFonts w:hint="eastAsia"/>
          <w:color w:val="auto"/>
          <w:highlight w:val="none"/>
        </w:rPr>
        <w:t>预付款银行保函格式</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14:paraId="24F0136B">
      <w:pPr>
        <w:spacing w:line="360" w:lineRule="auto"/>
        <w:ind w:firstLine="3078" w:firstLineChars="1095"/>
        <w:rPr>
          <w:rFonts w:hint="eastAsia" w:ascii="宋体" w:hAnsi="宋体" w:cs="宋体"/>
          <w:b/>
          <w:color w:val="auto"/>
          <w:sz w:val="28"/>
          <w:szCs w:val="28"/>
          <w:highlight w:val="none"/>
        </w:rPr>
      </w:pPr>
      <w:r>
        <w:rPr>
          <w:rFonts w:hint="eastAsia" w:ascii="宋体" w:hAnsi="宋体" w:cs="宋体"/>
          <w:b/>
          <w:color w:val="auto"/>
          <w:sz w:val="28"/>
          <w:szCs w:val="28"/>
          <w:highlight w:val="none"/>
        </w:rPr>
        <w:t>预付款保函</w:t>
      </w:r>
    </w:p>
    <w:p w14:paraId="1D55EA74">
      <w:pPr>
        <w:autoSpaceDE w:val="0"/>
        <w:autoSpaceDN w:val="0"/>
        <w:adjustRightInd w:val="0"/>
        <w:spacing w:line="360" w:lineRule="auto"/>
        <w:ind w:left="237" w:leftChars="113" w:firstLine="6460" w:firstLineChars="2692"/>
        <w:jc w:val="left"/>
        <w:rPr>
          <w:rFonts w:hint="eastAsia" w:ascii="宋体" w:hAnsi="宋体" w:cs="Courier New"/>
          <w:color w:val="auto"/>
          <w:sz w:val="24"/>
          <w:highlight w:val="none"/>
        </w:rPr>
      </w:pPr>
      <w:r>
        <w:rPr>
          <w:rFonts w:hint="eastAsia" w:ascii="宋体" w:hAnsi="宋体" w:cs="Courier New"/>
          <w:color w:val="auto"/>
          <w:sz w:val="24"/>
          <w:highlight w:val="none"/>
        </w:rPr>
        <w:t>银行编号：</w:t>
      </w:r>
    </w:p>
    <w:p w14:paraId="05AAE387">
      <w:pPr>
        <w:autoSpaceDE w:val="0"/>
        <w:autoSpaceDN w:val="0"/>
        <w:adjustRightInd w:val="0"/>
        <w:spacing w:line="360" w:lineRule="auto"/>
        <w:ind w:left="17" w:hanging="16" w:hangingChars="7"/>
        <w:jc w:val="left"/>
        <w:rPr>
          <w:rFonts w:hint="eastAsia" w:ascii="宋体" w:hAnsi="宋体" w:cs="Courier New"/>
          <w:color w:val="auto"/>
          <w:sz w:val="24"/>
          <w:highlight w:val="none"/>
        </w:rPr>
      </w:pPr>
      <w:r>
        <w:rPr>
          <w:rFonts w:hint="eastAsia" w:ascii="宋体" w:hAnsi="宋体" w:cs="Courier New"/>
          <w:color w:val="auto"/>
          <w:sz w:val="24"/>
          <w:highlight w:val="none"/>
        </w:rPr>
        <w:t>致：东莞市轨道一号线建设发展有限公司（下称“受益人”）</w:t>
      </w:r>
    </w:p>
    <w:p w14:paraId="37B33FEA">
      <w:pPr>
        <w:tabs>
          <w:tab w:val="left" w:pos="0"/>
          <w:tab w:val="left" w:pos="3075"/>
        </w:tabs>
        <w:autoSpaceDE w:val="0"/>
        <w:autoSpaceDN w:val="0"/>
        <w:adjustRightInd w:val="0"/>
        <w:spacing w:line="400" w:lineRule="exact"/>
        <w:ind w:firstLine="480" w:firstLineChars="200"/>
        <w:jc w:val="left"/>
        <w:rPr>
          <w:rFonts w:hint="eastAsia" w:ascii="宋体" w:hAnsi="宋体" w:cs="Courier New"/>
          <w:color w:val="auto"/>
          <w:sz w:val="24"/>
          <w:highlight w:val="none"/>
          <w:u w:val="single"/>
        </w:rPr>
      </w:pPr>
      <w:r>
        <w:rPr>
          <w:rFonts w:hint="eastAsia" w:ascii="宋体" w:hAnsi="宋体" w:cs="Courier New"/>
          <w:color w:val="auto"/>
          <w:sz w:val="24"/>
          <w:highlight w:val="none"/>
        </w:rPr>
        <w:t>本保函作为受益人与</w:t>
      </w:r>
      <w:r>
        <w:rPr>
          <w:rFonts w:hint="eastAsia" w:ascii="宋体" w:hAnsi="宋体" w:cs="Courier New"/>
          <w:color w:val="auto"/>
          <w:sz w:val="24"/>
          <w:highlight w:val="none"/>
          <w:u w:val="single"/>
        </w:rPr>
        <w:t>（承包人）</w:t>
      </w:r>
      <w:r>
        <w:rPr>
          <w:rFonts w:hint="eastAsia" w:ascii="宋体" w:hAnsi="宋体" w:cs="Courier New"/>
          <w:color w:val="auto"/>
          <w:sz w:val="24"/>
          <w:highlight w:val="none"/>
        </w:rPr>
        <w:t>（以下简称“承包人”）在</w:t>
      </w:r>
      <w:r>
        <w:rPr>
          <w:rFonts w:hint="eastAsia" w:ascii="宋体" w:hAnsi="宋体" w:cs="Courier New"/>
          <w:color w:val="auto"/>
          <w:sz w:val="24"/>
          <w:highlight w:val="none"/>
          <w:u w:val="single"/>
        </w:rPr>
        <w:t xml:space="preserve">   </w:t>
      </w:r>
      <w:r>
        <w:rPr>
          <w:rFonts w:hint="eastAsia" w:ascii="宋体" w:hAnsi="宋体" w:cs="Courier New"/>
          <w:color w:val="auto"/>
          <w:sz w:val="24"/>
          <w:highlight w:val="none"/>
        </w:rPr>
        <w:t>年</w:t>
      </w:r>
      <w:r>
        <w:rPr>
          <w:rFonts w:hint="eastAsia" w:ascii="宋体" w:hAnsi="宋体" w:cs="Courier New"/>
          <w:color w:val="auto"/>
          <w:sz w:val="24"/>
          <w:highlight w:val="none"/>
          <w:u w:val="single"/>
        </w:rPr>
        <w:t xml:space="preserve">   </w:t>
      </w:r>
      <w:r>
        <w:rPr>
          <w:rFonts w:hint="eastAsia" w:ascii="宋体" w:hAnsi="宋体" w:cs="Courier New"/>
          <w:color w:val="auto"/>
          <w:sz w:val="24"/>
          <w:highlight w:val="none"/>
        </w:rPr>
        <w:t>月</w:t>
      </w:r>
      <w:r>
        <w:rPr>
          <w:rFonts w:hint="eastAsia" w:ascii="宋体" w:hAnsi="宋体" w:cs="Courier New"/>
          <w:color w:val="auto"/>
          <w:sz w:val="24"/>
          <w:highlight w:val="none"/>
          <w:u w:val="single"/>
        </w:rPr>
        <w:t xml:space="preserve">   </w:t>
      </w:r>
      <w:r>
        <w:rPr>
          <w:rFonts w:hint="eastAsia" w:ascii="宋体" w:hAnsi="宋体" w:cs="Courier New"/>
          <w:color w:val="auto"/>
          <w:sz w:val="24"/>
          <w:highlight w:val="none"/>
        </w:rPr>
        <w:t>日签订的</w:t>
      </w:r>
      <w:r>
        <w:rPr>
          <w:rFonts w:hint="eastAsia" w:ascii="宋体" w:hAnsi="宋体" w:cs="Courier New"/>
          <w:color w:val="auto"/>
          <w:sz w:val="24"/>
          <w:highlight w:val="none"/>
          <w:u w:val="single"/>
        </w:rPr>
        <w:t>（合同名称）</w:t>
      </w:r>
      <w:r>
        <w:rPr>
          <w:rFonts w:hint="eastAsia" w:ascii="宋体" w:hAnsi="宋体" w:cs="Courier New"/>
          <w:color w:val="auto"/>
          <w:sz w:val="24"/>
          <w:highlight w:val="none"/>
        </w:rPr>
        <w:t>（合同编号为：</w:t>
      </w:r>
      <w:r>
        <w:rPr>
          <w:rFonts w:hint="eastAsia" w:ascii="宋体" w:hAnsi="宋体" w:cs="Courier New"/>
          <w:color w:val="auto"/>
          <w:sz w:val="24"/>
          <w:highlight w:val="none"/>
          <w:u w:val="single"/>
        </w:rPr>
        <w:t xml:space="preserve">      </w:t>
      </w:r>
      <w:r>
        <w:rPr>
          <w:rFonts w:hint="eastAsia" w:ascii="宋体" w:hAnsi="宋体" w:cs="Courier New"/>
          <w:color w:val="auto"/>
          <w:sz w:val="24"/>
          <w:highlight w:val="none"/>
        </w:rPr>
        <w:t>）的预付款保函，金额为</w:t>
      </w:r>
      <w:r>
        <w:rPr>
          <w:rFonts w:hint="eastAsia" w:ascii="宋体" w:hAnsi="宋体" w:cs="Courier New"/>
          <w:color w:val="auto"/>
          <w:kern w:val="0"/>
          <w:sz w:val="24"/>
          <w:highlight w:val="none"/>
        </w:rPr>
        <w:t>人民币</w:t>
      </w:r>
      <w:r>
        <w:rPr>
          <w:rFonts w:hint="eastAsia" w:ascii="宋体" w:hAnsi="宋体" w:cs="Courier New"/>
          <w:color w:val="auto"/>
          <w:kern w:val="0"/>
          <w:sz w:val="24"/>
          <w:highlight w:val="none"/>
          <w:u w:val="single"/>
        </w:rPr>
        <w:t>（大 写）</w:t>
      </w:r>
      <w:r>
        <w:rPr>
          <w:rFonts w:hint="eastAsia" w:ascii="宋体" w:hAnsi="宋体" w:cs="Courier New"/>
          <w:color w:val="auto"/>
          <w:kern w:val="0"/>
          <w:sz w:val="24"/>
          <w:highlight w:val="none"/>
        </w:rPr>
        <w:t>元（</w:t>
      </w:r>
      <w:r>
        <w:rPr>
          <w:rFonts w:hint="eastAsia" w:ascii="宋体" w:hAnsi="宋体" w:cs="Courier New"/>
          <w:color w:val="auto"/>
          <w:kern w:val="0"/>
          <w:sz w:val="24"/>
          <w:highlight w:val="none"/>
          <w:u w:val="single"/>
        </w:rPr>
        <w:t>￥ （小 写）</w:t>
      </w:r>
      <w:r>
        <w:rPr>
          <w:rFonts w:hint="eastAsia" w:ascii="宋体" w:hAnsi="宋体" w:cs="Courier New"/>
          <w:color w:val="auto"/>
          <w:kern w:val="0"/>
          <w:sz w:val="24"/>
          <w:highlight w:val="none"/>
        </w:rPr>
        <w:t>）</w:t>
      </w:r>
      <w:r>
        <w:rPr>
          <w:rFonts w:hint="eastAsia" w:ascii="宋体" w:hAnsi="宋体" w:cs="Courier New"/>
          <w:color w:val="auto"/>
          <w:sz w:val="24"/>
          <w:highlight w:val="none"/>
        </w:rPr>
        <w:t>。</w:t>
      </w:r>
    </w:p>
    <w:p w14:paraId="36F01C95">
      <w:pPr>
        <w:autoSpaceDE w:val="0"/>
        <w:autoSpaceDN w:val="0"/>
        <w:adjustRightInd w:val="0"/>
        <w:spacing w:line="400" w:lineRule="exact"/>
        <w:ind w:firstLine="465" w:firstLineChars="194"/>
        <w:jc w:val="left"/>
        <w:rPr>
          <w:rFonts w:hint="eastAsia" w:ascii="宋体" w:hAnsi="宋体" w:cs="Courier New"/>
          <w:color w:val="auto"/>
          <w:sz w:val="24"/>
          <w:highlight w:val="none"/>
        </w:rPr>
      </w:pPr>
      <w:r>
        <w:rPr>
          <w:rFonts w:hint="eastAsia" w:ascii="宋体" w:hAnsi="宋体" w:cs="Courier New"/>
          <w:color w:val="auto"/>
          <w:sz w:val="24"/>
          <w:highlight w:val="none"/>
        </w:rPr>
        <w:t>注册于</w:t>
      </w:r>
      <w:r>
        <w:rPr>
          <w:rFonts w:hint="eastAsia" w:ascii="宋体" w:hAnsi="宋体" w:cs="Courier New"/>
          <w:color w:val="auto"/>
          <w:sz w:val="24"/>
          <w:highlight w:val="none"/>
          <w:u w:val="single"/>
        </w:rPr>
        <w:t xml:space="preserve"> (银行地址)</w:t>
      </w:r>
      <w:r>
        <w:rPr>
          <w:rFonts w:hint="eastAsia" w:ascii="宋体" w:hAnsi="宋体" w:cs="Courier New"/>
          <w:color w:val="auto"/>
          <w:sz w:val="24"/>
          <w:highlight w:val="none"/>
        </w:rPr>
        <w:t>的</w:t>
      </w:r>
      <w:r>
        <w:rPr>
          <w:rFonts w:hint="eastAsia" w:ascii="宋体" w:hAnsi="宋体" w:cs="Courier New"/>
          <w:color w:val="auto"/>
          <w:sz w:val="24"/>
          <w:highlight w:val="none"/>
          <w:u w:val="single"/>
        </w:rPr>
        <w:t>（银行名称）</w:t>
      </w:r>
      <w:r>
        <w:rPr>
          <w:rFonts w:hint="eastAsia" w:ascii="宋体" w:hAnsi="宋体" w:cs="Courier New"/>
          <w:color w:val="auto"/>
          <w:sz w:val="24"/>
          <w:highlight w:val="none"/>
        </w:rPr>
        <w:t>向受益人保证本行及其继承人和受让人在收到受益人第一次的表明承包人违约的书面通知后五个工作日内，无论承包人有何反对，无条件地、不可撤销地按该通知的规定，向受益人支付不超过</w:t>
      </w:r>
      <w:r>
        <w:rPr>
          <w:rFonts w:hint="eastAsia" w:ascii="宋体" w:hAnsi="宋体" w:cs="Courier New"/>
          <w:color w:val="auto"/>
          <w:kern w:val="0"/>
          <w:sz w:val="24"/>
          <w:highlight w:val="none"/>
        </w:rPr>
        <w:t>人民币</w:t>
      </w:r>
      <w:r>
        <w:rPr>
          <w:rFonts w:hint="eastAsia" w:ascii="宋体" w:hAnsi="宋体" w:cs="Courier New"/>
          <w:color w:val="auto"/>
          <w:kern w:val="0"/>
          <w:sz w:val="24"/>
          <w:highlight w:val="none"/>
          <w:u w:val="single"/>
        </w:rPr>
        <w:t>（大写）</w:t>
      </w:r>
      <w:r>
        <w:rPr>
          <w:rFonts w:hint="eastAsia" w:ascii="宋体" w:hAnsi="宋体" w:cs="Courier New"/>
          <w:color w:val="auto"/>
          <w:kern w:val="0"/>
          <w:sz w:val="24"/>
          <w:highlight w:val="none"/>
        </w:rPr>
        <w:t>元（</w:t>
      </w:r>
      <w:r>
        <w:rPr>
          <w:rFonts w:hint="eastAsia" w:ascii="宋体" w:hAnsi="宋体" w:cs="Courier New"/>
          <w:color w:val="auto"/>
          <w:kern w:val="0"/>
          <w:sz w:val="24"/>
          <w:highlight w:val="none"/>
          <w:u w:val="single"/>
        </w:rPr>
        <w:t>￥（小写）</w:t>
      </w:r>
      <w:r>
        <w:rPr>
          <w:rFonts w:hint="eastAsia" w:ascii="宋体" w:hAnsi="宋体" w:cs="Courier New"/>
          <w:color w:val="auto"/>
          <w:kern w:val="0"/>
          <w:sz w:val="24"/>
          <w:highlight w:val="none"/>
        </w:rPr>
        <w:t>）</w:t>
      </w:r>
      <w:r>
        <w:rPr>
          <w:rFonts w:hint="eastAsia" w:ascii="宋体" w:hAnsi="宋体" w:cs="Courier New"/>
          <w:color w:val="auto"/>
          <w:sz w:val="24"/>
          <w:highlight w:val="none"/>
        </w:rPr>
        <w:t>的金额</w:t>
      </w:r>
      <w:r>
        <w:rPr>
          <w:rFonts w:hint="eastAsia" w:ascii="宋体" w:hAnsi="宋体" w:cs="宋体"/>
          <w:color w:val="auto"/>
          <w:sz w:val="24"/>
          <w:highlight w:val="none"/>
        </w:rPr>
        <w:t>，无需受益人提供任何证明</w:t>
      </w:r>
      <w:r>
        <w:rPr>
          <w:rFonts w:hint="eastAsia" w:ascii="宋体" w:hAnsi="宋体" w:cs="Courier New"/>
          <w:color w:val="auto"/>
          <w:sz w:val="24"/>
          <w:highlight w:val="none"/>
        </w:rPr>
        <w:t>。</w:t>
      </w:r>
    </w:p>
    <w:p w14:paraId="7EDC582A">
      <w:pPr>
        <w:spacing w:line="400" w:lineRule="exact"/>
        <w:ind w:firstLine="480" w:firstLineChars="200"/>
        <w:rPr>
          <w:rFonts w:hint="eastAsia" w:ascii="宋体" w:hAnsi="宋体" w:cs="Courier New"/>
          <w:color w:val="auto"/>
          <w:sz w:val="24"/>
          <w:highlight w:val="none"/>
        </w:rPr>
      </w:pPr>
      <w:r>
        <w:rPr>
          <w:rFonts w:hint="eastAsia" w:ascii="宋体" w:hAnsi="宋体" w:cs="Courier New"/>
          <w:color w:val="auto"/>
          <w:sz w:val="24"/>
          <w:highlight w:val="none"/>
        </w:rPr>
        <w:t>我方还同意，任何受益人与承包人之间可能对</w:t>
      </w:r>
      <w:r>
        <w:rPr>
          <w:rFonts w:hint="eastAsia" w:ascii="宋体" w:hAnsi="宋体" w:cs="Courier New"/>
          <w:color w:val="auto"/>
          <w:sz w:val="24"/>
          <w:highlight w:val="none"/>
          <w:u w:val="single"/>
        </w:rPr>
        <w:t>（合同名称）</w:t>
      </w:r>
      <w:r>
        <w:rPr>
          <w:rFonts w:hint="eastAsia" w:ascii="宋体" w:hAnsi="宋体" w:cs="Courier New"/>
          <w:color w:val="auto"/>
          <w:sz w:val="24"/>
          <w:highlight w:val="none"/>
        </w:rPr>
        <w:t>合同条款的修改、变动或补充，都不能减少和免除我方按本保函所承担的责任。因此，有关上述修改、变动或补充无须通知我方。</w:t>
      </w:r>
    </w:p>
    <w:p w14:paraId="55D91608">
      <w:pPr>
        <w:spacing w:line="400" w:lineRule="exact"/>
        <w:ind w:firstLine="480" w:firstLineChars="200"/>
        <w:rPr>
          <w:rFonts w:hint="eastAsia" w:ascii="宋体" w:hAnsi="宋体" w:cs="Courier New"/>
          <w:color w:val="auto"/>
          <w:sz w:val="24"/>
          <w:highlight w:val="none"/>
          <w:u w:val="single"/>
        </w:rPr>
      </w:pPr>
      <w:r>
        <w:rPr>
          <w:rFonts w:hint="eastAsia" w:ascii="宋体" w:hAnsi="宋体" w:cs="Courier New"/>
          <w:color w:val="auto"/>
          <w:sz w:val="24"/>
          <w:highlight w:val="none"/>
        </w:rPr>
        <w:t>本保函从签发之日起生效，直至预付款抵扣完毕之日保持有效</w:t>
      </w:r>
      <w:r>
        <w:rPr>
          <w:rFonts w:hint="eastAsia" w:ascii="宋体" w:hAnsi="宋体" w:cs="Courier New"/>
          <w:color w:val="auto"/>
          <w:kern w:val="0"/>
          <w:sz w:val="24"/>
          <w:highlight w:val="none"/>
        </w:rPr>
        <w:t>，但有效期最迟不超过</w:t>
      </w:r>
      <w:r>
        <w:rPr>
          <w:rFonts w:hint="eastAsia" w:ascii="宋体" w:hAnsi="宋体" w:cs="Courier New"/>
          <w:color w:val="auto"/>
          <w:kern w:val="0"/>
          <w:sz w:val="24"/>
          <w:highlight w:val="none"/>
          <w:u w:val="single"/>
        </w:rPr>
        <w:t xml:space="preserve">   </w:t>
      </w:r>
      <w:r>
        <w:rPr>
          <w:rFonts w:hint="eastAsia" w:ascii="宋体" w:hAnsi="宋体" w:cs="Courier New"/>
          <w:color w:val="auto"/>
          <w:kern w:val="0"/>
          <w:sz w:val="24"/>
          <w:highlight w:val="none"/>
        </w:rPr>
        <w:t>年</w:t>
      </w:r>
      <w:r>
        <w:rPr>
          <w:rFonts w:hint="eastAsia" w:ascii="宋体" w:hAnsi="宋体" w:cs="Courier New"/>
          <w:color w:val="auto"/>
          <w:kern w:val="0"/>
          <w:sz w:val="24"/>
          <w:highlight w:val="none"/>
          <w:u w:val="single"/>
        </w:rPr>
        <w:t xml:space="preserve">   </w:t>
      </w:r>
      <w:r>
        <w:rPr>
          <w:rFonts w:hint="eastAsia" w:ascii="宋体" w:hAnsi="宋体" w:cs="Courier New"/>
          <w:color w:val="auto"/>
          <w:kern w:val="0"/>
          <w:sz w:val="24"/>
          <w:highlight w:val="none"/>
        </w:rPr>
        <w:t>月</w:t>
      </w:r>
      <w:r>
        <w:rPr>
          <w:rFonts w:hint="eastAsia" w:ascii="宋体" w:hAnsi="宋体" w:cs="Courier New"/>
          <w:color w:val="auto"/>
          <w:kern w:val="0"/>
          <w:sz w:val="24"/>
          <w:highlight w:val="none"/>
          <w:u w:val="single"/>
        </w:rPr>
        <w:t xml:space="preserve">   </w:t>
      </w:r>
      <w:r>
        <w:rPr>
          <w:rFonts w:hint="eastAsia" w:ascii="宋体" w:hAnsi="宋体" w:cs="Courier New"/>
          <w:color w:val="auto"/>
          <w:kern w:val="0"/>
          <w:sz w:val="24"/>
          <w:highlight w:val="none"/>
        </w:rPr>
        <w:t>日。</w:t>
      </w:r>
    </w:p>
    <w:p w14:paraId="559A9447">
      <w:pPr>
        <w:spacing w:line="400" w:lineRule="exact"/>
        <w:ind w:firstLine="480" w:firstLineChars="200"/>
        <w:rPr>
          <w:rFonts w:hint="eastAsia" w:ascii="宋体" w:hAnsi="宋体" w:cs="Courier New"/>
          <w:color w:val="auto"/>
          <w:sz w:val="24"/>
          <w:highlight w:val="none"/>
        </w:rPr>
      </w:pPr>
    </w:p>
    <w:p w14:paraId="3D67ACA2">
      <w:pPr>
        <w:spacing w:line="400" w:lineRule="exact"/>
        <w:ind w:firstLine="2520" w:firstLineChars="1050"/>
        <w:rPr>
          <w:rFonts w:hint="eastAsia" w:ascii="宋体" w:hAnsi="宋体" w:cs="Courier New"/>
          <w:color w:val="auto"/>
          <w:sz w:val="24"/>
          <w:highlight w:val="none"/>
        </w:rPr>
      </w:pPr>
      <w:r>
        <w:rPr>
          <w:rFonts w:hint="eastAsia" w:ascii="宋体" w:hAnsi="宋体" w:cs="Courier New"/>
          <w:color w:val="auto"/>
          <w:sz w:val="24"/>
          <w:highlight w:val="none"/>
        </w:rPr>
        <w:t xml:space="preserve">担保银行：  </w:t>
      </w:r>
      <w:r>
        <w:rPr>
          <w:rFonts w:hint="eastAsia" w:ascii="宋体" w:hAnsi="宋体" w:cs="Courier New"/>
          <w:color w:val="auto"/>
          <w:sz w:val="24"/>
          <w:highlight w:val="none"/>
          <w:u w:val="single"/>
        </w:rPr>
        <w:t xml:space="preserve">（全称） </w:t>
      </w:r>
      <w:r>
        <w:rPr>
          <w:rFonts w:hint="eastAsia" w:ascii="宋体" w:hAnsi="宋体" w:cs="Courier New"/>
          <w:color w:val="auto"/>
          <w:sz w:val="24"/>
          <w:highlight w:val="none"/>
        </w:rPr>
        <w:t>（盖章）</w:t>
      </w:r>
    </w:p>
    <w:p w14:paraId="2AE698AD">
      <w:pPr>
        <w:spacing w:line="400" w:lineRule="exact"/>
        <w:ind w:firstLine="2520" w:firstLineChars="1050"/>
        <w:rPr>
          <w:rFonts w:hint="eastAsia" w:ascii="宋体" w:hAnsi="宋体" w:cs="Courier New"/>
          <w:color w:val="auto"/>
          <w:sz w:val="24"/>
          <w:highlight w:val="none"/>
        </w:rPr>
      </w:pPr>
      <w:r>
        <w:rPr>
          <w:rFonts w:hint="eastAsia" w:ascii="宋体" w:hAnsi="宋体" w:cs="Courier New"/>
          <w:color w:val="auto"/>
          <w:sz w:val="24"/>
          <w:highlight w:val="none"/>
        </w:rPr>
        <w:t>法定代表人或授权委托：（签名）</w:t>
      </w:r>
    </w:p>
    <w:p w14:paraId="6F1DC647">
      <w:pPr>
        <w:spacing w:line="400" w:lineRule="exact"/>
        <w:ind w:firstLine="2520" w:firstLineChars="1050"/>
        <w:rPr>
          <w:rFonts w:hint="eastAsia" w:ascii="宋体" w:hAnsi="宋体" w:cs="Courier New"/>
          <w:color w:val="auto"/>
          <w:sz w:val="24"/>
          <w:highlight w:val="none"/>
        </w:rPr>
      </w:pPr>
      <w:r>
        <w:rPr>
          <w:rFonts w:hint="eastAsia" w:ascii="宋体" w:hAnsi="宋体" w:cs="Courier New"/>
          <w:color w:val="auto"/>
          <w:sz w:val="24"/>
          <w:highlight w:val="none"/>
        </w:rPr>
        <w:t>日   期：</w:t>
      </w:r>
      <w:r>
        <w:rPr>
          <w:rFonts w:hint="eastAsia" w:ascii="宋体" w:hAnsi="宋体" w:cs="Courier New"/>
          <w:color w:val="auto"/>
          <w:sz w:val="24"/>
          <w:highlight w:val="none"/>
          <w:lang w:val="en-US" w:eastAsia="zh-CN"/>
        </w:rPr>
        <w:t xml:space="preserve">   </w:t>
      </w:r>
      <w:r>
        <w:rPr>
          <w:rFonts w:hint="eastAsia" w:ascii="宋体" w:hAnsi="宋体" w:cs="Courier New"/>
          <w:color w:val="auto"/>
          <w:sz w:val="24"/>
          <w:highlight w:val="none"/>
        </w:rPr>
        <w:t>年</w:t>
      </w:r>
      <w:r>
        <w:rPr>
          <w:rFonts w:hint="eastAsia" w:ascii="宋体" w:hAnsi="宋体" w:cs="Courier New"/>
          <w:color w:val="auto"/>
          <w:sz w:val="24"/>
          <w:highlight w:val="none"/>
          <w:lang w:val="en-US" w:eastAsia="zh-CN"/>
        </w:rPr>
        <w:t xml:space="preserve">   </w:t>
      </w:r>
      <w:r>
        <w:rPr>
          <w:rFonts w:hint="eastAsia" w:ascii="宋体" w:hAnsi="宋体" w:cs="Courier New"/>
          <w:color w:val="auto"/>
          <w:sz w:val="24"/>
          <w:highlight w:val="none"/>
        </w:rPr>
        <w:t>月</w:t>
      </w:r>
      <w:r>
        <w:rPr>
          <w:rFonts w:hint="eastAsia" w:ascii="宋体" w:hAnsi="宋体" w:cs="Courier New"/>
          <w:color w:val="auto"/>
          <w:sz w:val="24"/>
          <w:highlight w:val="none"/>
          <w:lang w:val="en-US" w:eastAsia="zh-CN"/>
        </w:rPr>
        <w:t xml:space="preserve">   </w:t>
      </w:r>
      <w:r>
        <w:rPr>
          <w:rFonts w:hint="eastAsia" w:ascii="宋体" w:hAnsi="宋体" w:cs="Courier New"/>
          <w:color w:val="auto"/>
          <w:sz w:val="24"/>
          <w:highlight w:val="none"/>
        </w:rPr>
        <w:t>日</w:t>
      </w:r>
    </w:p>
    <w:p w14:paraId="4C086036">
      <w:pPr>
        <w:spacing w:line="400" w:lineRule="exact"/>
        <w:ind w:firstLine="2520" w:firstLineChars="1050"/>
        <w:rPr>
          <w:rFonts w:hint="eastAsia" w:ascii="宋体" w:hAnsi="宋体" w:cs="Courier New"/>
          <w:color w:val="auto"/>
          <w:sz w:val="24"/>
          <w:highlight w:val="none"/>
          <w:u w:val="single"/>
        </w:rPr>
      </w:pPr>
      <w:r>
        <w:rPr>
          <w:rFonts w:hint="eastAsia" w:ascii="宋体" w:hAnsi="宋体" w:cs="Courier New"/>
          <w:color w:val="auto"/>
          <w:sz w:val="24"/>
          <w:highlight w:val="none"/>
        </w:rPr>
        <w:t>银行地址：</w:t>
      </w:r>
    </w:p>
    <w:p w14:paraId="1EA86D17">
      <w:pPr>
        <w:autoSpaceDE w:val="0"/>
        <w:autoSpaceDN w:val="0"/>
        <w:adjustRightInd w:val="0"/>
        <w:spacing w:line="400" w:lineRule="exact"/>
        <w:ind w:left="17" w:firstLine="2400" w:firstLineChars="1000"/>
        <w:jc w:val="left"/>
        <w:rPr>
          <w:rFonts w:hint="eastAsia" w:ascii="宋体" w:hAnsi="宋体" w:cs="Courier New"/>
          <w:color w:val="auto"/>
          <w:sz w:val="24"/>
          <w:highlight w:val="none"/>
        </w:rPr>
      </w:pPr>
      <w:r>
        <w:rPr>
          <w:rFonts w:hint="eastAsia" w:ascii="宋体" w:hAnsi="宋体" w:cs="Courier New"/>
          <w:color w:val="auto"/>
          <w:kern w:val="0"/>
          <w:sz w:val="24"/>
          <w:szCs w:val="20"/>
          <w:highlight w:val="none"/>
        </w:rPr>
        <w:t>银行联系电话：</w:t>
      </w:r>
    </w:p>
    <w:p w14:paraId="0636A0F8">
      <w:pPr>
        <w:autoSpaceDE w:val="0"/>
        <w:autoSpaceDN w:val="0"/>
        <w:adjustRightInd w:val="0"/>
        <w:spacing w:line="400" w:lineRule="exact"/>
        <w:ind w:left="15" w:leftChars="7" w:firstLine="4800" w:firstLineChars="2000"/>
        <w:jc w:val="left"/>
        <w:rPr>
          <w:rFonts w:hint="eastAsia" w:ascii="宋体" w:hAnsi="宋体" w:cs="Courier New"/>
          <w:color w:val="auto"/>
          <w:sz w:val="24"/>
          <w:highlight w:val="none"/>
        </w:rPr>
      </w:pPr>
    </w:p>
    <w:p w14:paraId="68E59B45">
      <w:pPr>
        <w:autoSpaceDE w:val="0"/>
        <w:autoSpaceDN w:val="0"/>
        <w:adjustRightInd w:val="0"/>
        <w:spacing w:line="400" w:lineRule="exact"/>
        <w:ind w:left="15" w:leftChars="7" w:firstLine="4800" w:firstLineChars="2000"/>
        <w:jc w:val="left"/>
        <w:rPr>
          <w:rFonts w:hint="eastAsia" w:ascii="宋体" w:hAnsi="宋体" w:cs="Courier New"/>
          <w:color w:val="auto"/>
          <w:sz w:val="24"/>
          <w:highlight w:val="none"/>
        </w:rPr>
      </w:pPr>
    </w:p>
    <w:p w14:paraId="2A31E1A1">
      <w:pPr>
        <w:spacing w:line="400" w:lineRule="exact"/>
        <w:rPr>
          <w:rFonts w:hint="eastAsia" w:ascii="宋体" w:hAnsi="宋体" w:cs="Courier New"/>
          <w:color w:val="auto"/>
          <w:sz w:val="24"/>
          <w:highlight w:val="none"/>
        </w:rPr>
      </w:pPr>
      <w:r>
        <w:rPr>
          <w:rFonts w:hint="eastAsia" w:ascii="宋体" w:hAnsi="宋体" w:cs="Courier New"/>
          <w:color w:val="auto"/>
          <w:sz w:val="24"/>
          <w:highlight w:val="none"/>
        </w:rPr>
        <w:t>备注：保函应由国有商业银行或股份制商业银行支行一级以上机构出具，非东莞市行政区域内的担保机构出具的</w:t>
      </w:r>
      <w:r>
        <w:rPr>
          <w:rFonts w:hint="eastAsia" w:ascii="宋体" w:hAnsi="宋体" w:cs="Courier New"/>
          <w:color w:val="auto"/>
          <w:sz w:val="24"/>
          <w:highlight w:val="none"/>
          <w:lang w:val="en-US" w:eastAsia="zh-CN"/>
        </w:rPr>
        <w:t>预付款</w:t>
      </w:r>
      <w:r>
        <w:rPr>
          <w:rFonts w:hint="eastAsia" w:ascii="宋体" w:hAnsi="宋体" w:cs="Courier New"/>
          <w:color w:val="auto"/>
          <w:sz w:val="24"/>
          <w:highlight w:val="none"/>
        </w:rPr>
        <w:t>保函需经担保机构所在地公证机关公证并出具公证书，执行本款所发生的费用由承包人承担。。</w:t>
      </w:r>
    </w:p>
    <w:p w14:paraId="34AC8ED1">
      <w:pPr>
        <w:spacing w:line="400" w:lineRule="exact"/>
        <w:rPr>
          <w:rFonts w:hint="eastAsia" w:ascii="宋体" w:hAnsi="宋体" w:cs="Courier New"/>
          <w:color w:val="auto"/>
          <w:sz w:val="24"/>
          <w:highlight w:val="none"/>
        </w:rPr>
      </w:pPr>
    </w:p>
    <w:p w14:paraId="3CA79DE6">
      <w:pPr>
        <w:spacing w:line="400" w:lineRule="exact"/>
        <w:rPr>
          <w:rFonts w:hint="eastAsia" w:ascii="宋体" w:hAnsi="宋体" w:cs="Courier New"/>
          <w:color w:val="auto"/>
          <w:sz w:val="24"/>
          <w:highlight w:val="none"/>
        </w:rPr>
      </w:pPr>
    </w:p>
    <w:p w14:paraId="4B438B12">
      <w:pPr>
        <w:spacing w:line="400" w:lineRule="exact"/>
        <w:rPr>
          <w:rFonts w:hint="eastAsia" w:ascii="宋体" w:hAnsi="宋体" w:cs="Courier New"/>
          <w:color w:val="auto"/>
          <w:sz w:val="24"/>
          <w:highlight w:val="none"/>
        </w:rPr>
      </w:pPr>
    </w:p>
    <w:p w14:paraId="57C04EE0">
      <w:pPr>
        <w:spacing w:line="400" w:lineRule="exact"/>
        <w:rPr>
          <w:rFonts w:hint="eastAsia" w:ascii="宋体" w:hAnsi="宋体" w:cs="Courier New"/>
          <w:color w:val="auto"/>
          <w:sz w:val="24"/>
          <w:highlight w:val="none"/>
        </w:rPr>
      </w:pPr>
    </w:p>
    <w:p w14:paraId="003830BF">
      <w:pPr>
        <w:spacing w:line="400" w:lineRule="exact"/>
        <w:rPr>
          <w:rFonts w:hint="eastAsia" w:ascii="宋体" w:hAnsi="宋体" w:cs="Courier New"/>
          <w:color w:val="auto"/>
          <w:sz w:val="24"/>
          <w:highlight w:val="none"/>
        </w:rPr>
      </w:pPr>
    </w:p>
    <w:p w14:paraId="4DF604E3">
      <w:pPr>
        <w:spacing w:line="400" w:lineRule="exact"/>
        <w:rPr>
          <w:rFonts w:hint="eastAsia" w:ascii="宋体" w:hAnsi="宋体" w:cs="Courier New"/>
          <w:color w:val="auto"/>
          <w:sz w:val="24"/>
          <w:highlight w:val="none"/>
        </w:rPr>
      </w:pPr>
    </w:p>
    <w:p w14:paraId="0B09057A">
      <w:pPr>
        <w:spacing w:line="400" w:lineRule="exact"/>
        <w:rPr>
          <w:rFonts w:hint="eastAsia" w:ascii="宋体" w:hAnsi="宋体" w:cs="Courier New"/>
          <w:color w:val="auto"/>
          <w:sz w:val="24"/>
          <w:highlight w:val="none"/>
        </w:rPr>
      </w:pPr>
    </w:p>
    <w:p w14:paraId="4BD7EE5D">
      <w:pPr>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承诺函（预付款保函）</w:t>
      </w:r>
    </w:p>
    <w:p w14:paraId="64430D1A">
      <w:pPr>
        <w:spacing w:line="400" w:lineRule="exact"/>
        <w:rPr>
          <w:rFonts w:hint="eastAsia" w:ascii="宋体" w:hAnsi="宋体" w:cs="宋体"/>
          <w:color w:val="auto"/>
          <w:sz w:val="24"/>
          <w:highlight w:val="none"/>
        </w:rPr>
      </w:pPr>
    </w:p>
    <w:p w14:paraId="340F9E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东莞市轨道一号线建设发展有限公司：</w:t>
      </w:r>
    </w:p>
    <w:p w14:paraId="69F8F3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公司名称（以下称“本公司”）现已中标贵司招标的（合同名称），并已签订正式合同。按合同规定，本公司需向贵司提供一份担保金额为人民币（大 写）元（￥ （小 写））的《预付款保函》，有效期至  年  月  日。</w:t>
      </w:r>
    </w:p>
    <w:p w14:paraId="7ABB63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现本公司的开户银行（银行名称）已经开具一份以贵司为受益人的《预付款保函》，保函编号为（保函编号），保函有效期至  年  月  日</w:t>
      </w:r>
    </w:p>
    <w:p w14:paraId="00E2AD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现向贵司郑重承诺，如上述保函到期日仍未到合同约定的日期（即预付款保函有效期至工程预付款抵扣完毕为止），本公司将在保函到期前15天，无条件延长保函有效期至合同规定的有效期期满，具体日期可按届时的工程进度经双方协商后确定。如未及时向贵司提供符合规定的预付款保函，我司承担违约责任。</w:t>
      </w:r>
    </w:p>
    <w:p w14:paraId="76B5A8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特此承诺。</w:t>
      </w:r>
    </w:p>
    <w:p w14:paraId="0FC89297">
      <w:pPr>
        <w:spacing w:line="360" w:lineRule="auto"/>
        <w:ind w:firstLine="480" w:firstLineChars="200"/>
        <w:rPr>
          <w:rFonts w:hint="eastAsia" w:ascii="宋体" w:hAnsi="宋体" w:cs="宋体"/>
          <w:color w:val="auto"/>
          <w:sz w:val="24"/>
          <w:highlight w:val="none"/>
        </w:rPr>
      </w:pPr>
    </w:p>
    <w:p w14:paraId="161EE3DE">
      <w:pPr>
        <w:spacing w:line="360" w:lineRule="auto"/>
        <w:ind w:firstLine="480" w:firstLineChars="200"/>
        <w:rPr>
          <w:rFonts w:hint="eastAsia" w:ascii="宋体" w:hAnsi="宋体" w:cs="宋体"/>
          <w:color w:val="auto"/>
          <w:sz w:val="24"/>
          <w:highlight w:val="none"/>
        </w:rPr>
      </w:pPr>
    </w:p>
    <w:p w14:paraId="7E7FF574">
      <w:pPr>
        <w:spacing w:line="400" w:lineRule="exact"/>
        <w:rPr>
          <w:rFonts w:hint="eastAsia"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 xml:space="preserve">                                            公司名称：（公章）</w:t>
      </w:r>
    </w:p>
    <w:p w14:paraId="52E58D35">
      <w:pPr>
        <w:spacing w:line="400" w:lineRule="exact"/>
        <w:rPr>
          <w:rFonts w:hint="eastAsia" w:ascii="宋体" w:hAnsi="宋体" w:cs="宋体"/>
          <w:color w:val="auto"/>
          <w:sz w:val="24"/>
          <w:highlight w:val="none"/>
        </w:rPr>
      </w:pPr>
    </w:p>
    <w:p w14:paraId="0498D006">
      <w:pPr>
        <w:spacing w:line="400" w:lineRule="exact"/>
        <w:rPr>
          <w:rFonts w:hint="eastAsia" w:ascii="宋体" w:hAnsi="宋体" w:cs="宋体"/>
          <w:color w:val="auto"/>
          <w:sz w:val="24"/>
          <w:highlight w:val="none"/>
        </w:rPr>
      </w:pPr>
    </w:p>
    <w:p w14:paraId="712D5334">
      <w:pPr>
        <w:spacing w:line="400" w:lineRule="exact"/>
        <w:rPr>
          <w:rFonts w:hint="eastAsia"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 xml:space="preserve">                                             日期：</w:t>
      </w:r>
    </w:p>
    <w:p w14:paraId="543C20B2">
      <w:pPr>
        <w:widowControl/>
        <w:kinsoku w:val="0"/>
        <w:autoSpaceDE w:val="0"/>
        <w:autoSpaceDN w:val="0"/>
        <w:adjustRightInd w:val="0"/>
        <w:snapToGrid w:val="0"/>
        <w:spacing w:line="360" w:lineRule="auto"/>
        <w:jc w:val="left"/>
        <w:textAlignment w:val="baseline"/>
        <w:rPr>
          <w:rFonts w:hint="eastAsia" w:ascii="宋体" w:hAnsi="宋体" w:cs="宋体"/>
          <w:b/>
          <w:bCs/>
          <w:color w:val="auto"/>
          <w:sz w:val="24"/>
          <w:highlight w:val="none"/>
        </w:rPr>
      </w:pPr>
    </w:p>
    <w:p w14:paraId="6B23FF1C">
      <w:pPr>
        <w:widowControl/>
        <w:kinsoku w:val="0"/>
        <w:autoSpaceDE w:val="0"/>
        <w:autoSpaceDN w:val="0"/>
        <w:adjustRightInd w:val="0"/>
        <w:snapToGrid w:val="0"/>
        <w:spacing w:line="360" w:lineRule="auto"/>
        <w:jc w:val="left"/>
        <w:textAlignment w:val="baseline"/>
        <w:rPr>
          <w:rFonts w:hint="eastAsia" w:ascii="宋体" w:hAnsi="宋体" w:cs="宋体"/>
          <w:b/>
          <w:bCs/>
          <w:color w:val="auto"/>
          <w:sz w:val="24"/>
          <w:highlight w:val="none"/>
        </w:rPr>
      </w:pPr>
    </w:p>
    <w:p w14:paraId="7E439AD1">
      <w:pPr>
        <w:pStyle w:val="15"/>
        <w:pBdr>
          <w:bottom w:val="none" w:color="auto" w:sz="0" w:space="0"/>
        </w:pBdr>
        <w:jc w:val="both"/>
        <w:rPr>
          <w:rFonts w:hint="eastAsia" w:ascii="宋体" w:hAnsi="宋体"/>
          <w:color w:val="auto"/>
          <w:sz w:val="21"/>
          <w:szCs w:val="21"/>
          <w:highlight w:val="none"/>
        </w:rPr>
      </w:pPr>
    </w:p>
    <w:p w14:paraId="702DDB57">
      <w:pPr>
        <w:pStyle w:val="15"/>
        <w:pBdr>
          <w:bottom w:val="none" w:color="auto" w:sz="0" w:space="0"/>
        </w:pBdr>
        <w:rPr>
          <w:rFonts w:hint="eastAsia" w:ascii="宋体" w:hAnsi="宋体"/>
          <w:color w:val="auto"/>
          <w:sz w:val="21"/>
          <w:szCs w:val="21"/>
          <w:highlight w:val="none"/>
        </w:rPr>
      </w:pPr>
    </w:p>
    <w:p w14:paraId="169E6E04">
      <w:pPr>
        <w:pStyle w:val="15"/>
        <w:pBdr>
          <w:bottom w:val="none" w:color="auto" w:sz="0" w:space="0"/>
        </w:pBdr>
        <w:rPr>
          <w:rFonts w:hint="eastAsia" w:ascii="宋体" w:hAnsi="宋体"/>
          <w:color w:val="auto"/>
          <w:sz w:val="21"/>
          <w:szCs w:val="21"/>
          <w:highlight w:val="none"/>
        </w:rPr>
      </w:pPr>
    </w:p>
    <w:p w14:paraId="6EEBC401">
      <w:pPr>
        <w:pStyle w:val="15"/>
        <w:pBdr>
          <w:bottom w:val="none" w:color="auto" w:sz="0" w:space="0"/>
        </w:pBdr>
        <w:rPr>
          <w:rFonts w:hint="eastAsia" w:ascii="宋体" w:hAnsi="宋体"/>
          <w:color w:val="auto"/>
          <w:sz w:val="21"/>
          <w:szCs w:val="21"/>
          <w:highlight w:val="none"/>
        </w:rPr>
      </w:pPr>
    </w:p>
    <w:p w14:paraId="7695074F">
      <w:pPr>
        <w:pStyle w:val="15"/>
        <w:pBdr>
          <w:bottom w:val="none" w:color="auto" w:sz="0" w:space="0"/>
        </w:pBdr>
        <w:rPr>
          <w:rFonts w:hint="eastAsia" w:ascii="宋体" w:hAnsi="宋体"/>
          <w:color w:val="auto"/>
          <w:sz w:val="21"/>
          <w:szCs w:val="21"/>
          <w:highlight w:val="none"/>
        </w:rPr>
      </w:pPr>
    </w:p>
    <w:p w14:paraId="31DE580E">
      <w:pPr>
        <w:pStyle w:val="15"/>
        <w:pBdr>
          <w:bottom w:val="none" w:color="auto" w:sz="0" w:space="0"/>
        </w:pBdr>
        <w:rPr>
          <w:rFonts w:hint="eastAsia" w:ascii="宋体" w:hAnsi="宋体"/>
          <w:color w:val="auto"/>
          <w:sz w:val="21"/>
          <w:szCs w:val="21"/>
          <w:highlight w:val="none"/>
        </w:rPr>
      </w:pPr>
    </w:p>
    <w:p w14:paraId="5DA40A99">
      <w:pPr>
        <w:pStyle w:val="15"/>
        <w:pBdr>
          <w:bottom w:val="none" w:color="auto" w:sz="0" w:space="0"/>
        </w:pBdr>
        <w:rPr>
          <w:rFonts w:hint="eastAsia" w:ascii="宋体" w:hAnsi="宋体"/>
          <w:color w:val="auto"/>
          <w:sz w:val="21"/>
          <w:szCs w:val="21"/>
          <w:highlight w:val="none"/>
        </w:rPr>
      </w:pPr>
    </w:p>
    <w:p w14:paraId="77203D00">
      <w:pPr>
        <w:pStyle w:val="15"/>
        <w:pBdr>
          <w:bottom w:val="none" w:color="auto" w:sz="0" w:space="0"/>
        </w:pBdr>
        <w:rPr>
          <w:rFonts w:hint="eastAsia" w:ascii="宋体" w:hAnsi="宋体"/>
          <w:color w:val="auto"/>
          <w:sz w:val="21"/>
          <w:szCs w:val="21"/>
          <w:highlight w:val="none"/>
        </w:rPr>
      </w:pPr>
    </w:p>
    <w:p w14:paraId="1A3CE2F9">
      <w:pPr>
        <w:pStyle w:val="15"/>
        <w:pBdr>
          <w:bottom w:val="none" w:color="auto" w:sz="0" w:space="0"/>
        </w:pBdr>
        <w:rPr>
          <w:rFonts w:hint="eastAsia" w:ascii="宋体" w:hAnsi="宋体"/>
          <w:color w:val="auto"/>
          <w:sz w:val="21"/>
          <w:szCs w:val="21"/>
          <w:highlight w:val="none"/>
        </w:rPr>
      </w:pPr>
    </w:p>
    <w:p w14:paraId="4EC99098">
      <w:pPr>
        <w:rPr>
          <w:rFonts w:hint="eastAsia"/>
          <w:color w:val="auto"/>
          <w:highlight w:val="none"/>
        </w:rPr>
      </w:pPr>
      <w:r>
        <w:rPr>
          <w:rFonts w:hint="eastAsia"/>
          <w:color w:val="auto"/>
          <w:highlight w:val="none"/>
        </w:rPr>
        <w:br w:type="page"/>
      </w:r>
    </w:p>
    <w:p w14:paraId="3385096B">
      <w:pPr>
        <w:pStyle w:val="4"/>
        <w:ind w:firstLine="137"/>
        <w:rPr>
          <w:color w:val="auto"/>
          <w:highlight w:val="none"/>
        </w:rPr>
      </w:pPr>
      <w:bookmarkStart w:id="870" w:name="_Toc31100"/>
      <w:bookmarkStart w:id="871" w:name="_Toc28121"/>
      <w:bookmarkStart w:id="872" w:name="_Toc6686"/>
      <w:r>
        <w:rPr>
          <w:rFonts w:hint="eastAsia"/>
          <w:color w:val="auto"/>
          <w:highlight w:val="none"/>
        </w:rPr>
        <w:t>附件</w:t>
      </w:r>
      <w:r>
        <w:rPr>
          <w:rFonts w:hint="eastAsia"/>
          <w:color w:val="auto"/>
          <w:highlight w:val="none"/>
          <w:lang w:val="en-US" w:eastAsia="zh-CN"/>
        </w:rPr>
        <w:t>三</w:t>
      </w:r>
      <w:r>
        <w:rPr>
          <w:color w:val="auto"/>
          <w:highlight w:val="none"/>
        </w:rPr>
        <w:t>：</w:t>
      </w:r>
      <w:r>
        <w:rPr>
          <w:rFonts w:hint="eastAsia"/>
          <w:color w:val="auto"/>
          <w:highlight w:val="none"/>
        </w:rPr>
        <w:t>安全协议</w:t>
      </w:r>
      <w:bookmarkEnd w:id="870"/>
      <w:bookmarkEnd w:id="871"/>
      <w:bookmarkEnd w:id="872"/>
    </w:p>
    <w:p w14:paraId="22946718">
      <w:pPr>
        <w:pStyle w:val="15"/>
        <w:pBdr>
          <w:bottom w:val="none" w:color="auto" w:sz="0" w:space="0"/>
        </w:pBdr>
        <w:rPr>
          <w:rFonts w:hint="eastAsia" w:ascii="宋体" w:hAnsi="宋体"/>
          <w:color w:val="auto"/>
          <w:sz w:val="21"/>
          <w:szCs w:val="21"/>
          <w:highlight w:val="none"/>
        </w:rPr>
      </w:pPr>
    </w:p>
    <w:p w14:paraId="7BD9B99B">
      <w:pPr>
        <w:pStyle w:val="15"/>
        <w:pBdr>
          <w:bottom w:val="none" w:color="auto" w:sz="0" w:space="0"/>
        </w:pBdr>
        <w:rPr>
          <w:rFonts w:hint="eastAsia" w:ascii="宋体" w:hAnsi="宋体"/>
          <w:color w:val="auto"/>
          <w:sz w:val="21"/>
          <w:szCs w:val="21"/>
          <w:highlight w:val="none"/>
        </w:rPr>
      </w:pPr>
    </w:p>
    <w:p w14:paraId="3195B7CA">
      <w:pPr>
        <w:spacing w:line="360" w:lineRule="auto"/>
        <w:ind w:firstLine="482" w:firstLineChars="200"/>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安全协议</w:t>
      </w:r>
    </w:p>
    <w:p w14:paraId="012D87CF">
      <w:pPr>
        <w:spacing w:line="360" w:lineRule="auto"/>
        <w:ind w:firstLine="480" w:firstLineChars="200"/>
        <w:rPr>
          <w:rFonts w:asciiTheme="minorEastAsia" w:hAnsiTheme="minorEastAsia" w:eastAsiaTheme="minorEastAsia" w:cstheme="minorEastAsia"/>
          <w:color w:val="auto"/>
          <w:sz w:val="24"/>
          <w:szCs w:val="24"/>
          <w:highlight w:val="none"/>
        </w:rPr>
      </w:pPr>
    </w:p>
    <w:p w14:paraId="2DD6472E">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甲方：东莞市轨道一号线建设发展有限公司</w:t>
      </w:r>
    </w:p>
    <w:p w14:paraId="5AF402DF">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地址：广东省东莞市南城街道东莞大道南城段116号轨道交通大厦2号楼4406室 </w:t>
      </w:r>
    </w:p>
    <w:p w14:paraId="38BD012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p>
    <w:p w14:paraId="1C25A868">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1F03840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w:t>
      </w:r>
    </w:p>
    <w:p w14:paraId="1DA855E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14:paraId="1EADCA64">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p>
    <w:p w14:paraId="3482FCA6">
      <w:pPr>
        <w:pStyle w:val="11"/>
        <w:spacing w:after="0" w:line="360" w:lineRule="auto"/>
        <w:rPr>
          <w:color w:val="auto"/>
          <w:highlight w:val="none"/>
        </w:rPr>
      </w:pPr>
    </w:p>
    <w:p w14:paraId="77DEA266">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确保建设实施本项目的安全，明确双方的安全风险管理和监控实施的责任，防止或减少人员伤亡事故的发生和财产损失。依据《中华人民共和国安全生产法》、《建设工程安全生产管理条例》和《城市轨道交通工程安全质量管理暂行办法》等有关法律、法规签订本合同。</w:t>
      </w:r>
    </w:p>
    <w:p w14:paraId="20C22A31">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一、安全施工责任</w:t>
      </w:r>
    </w:p>
    <w:p w14:paraId="4F476E41">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1、甲方安全责任</w:t>
      </w:r>
    </w:p>
    <w:p w14:paraId="3141E26B">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（1）严格遵守国家有关安全生产的法律、法规和广东省、东莞市政府有关安全生产、文明施工等规定。</w:t>
      </w:r>
    </w:p>
    <w:p w14:paraId="4481DE2F">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（2）按照“安全第一、预防为主、综合治理”的方针，坚持“三管三必须”的原则，建立健全安全生产管理制度。</w:t>
      </w:r>
    </w:p>
    <w:p w14:paraId="0E26AFED">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（3）加强安全风险监控管理力度，做到安全风险监控与安全工作同时计划、部署、监督、检查、评比和总结。</w:t>
      </w:r>
    </w:p>
    <w:p w14:paraId="7532816B">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（4）适时组织安全生产会议、开展安全宣传教育活动，及时传达上级主管部门有关安全生产的精神。</w:t>
      </w:r>
    </w:p>
    <w:p w14:paraId="37F5E60B">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（5）一旦发生伤亡事故会同有关部门组成事故调查小组，按国家有关文件规定积极调查处理，并协助乙方制定整改措施，遏制类似事故重复发生。</w:t>
      </w:r>
    </w:p>
    <w:p w14:paraId="1786BEDC">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2、乙方安全责任</w:t>
      </w:r>
    </w:p>
    <w:p w14:paraId="74508D56">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（1）严格遵守国家和地方政府有关安全生产的法律法规、建筑行业安全生产技术标准、规程及甲方制定安全生产管理制度，服从甲方的安全生产管理，认真、公正开展</w:t>
      </w:r>
      <w:r>
        <w:rPr>
          <w:rFonts w:hint="eastAsia" w:asciiTheme="minorEastAsia" w:hAnsiTheme="minorEastAsia" w:eastAsiaTheme="minorEastAsia" w:cstheme="minorEastAsia"/>
          <w:color w:val="auto"/>
          <w:sz w:val="24"/>
          <w:szCs w:val="24"/>
          <w:highlight w:val="none"/>
          <w:u w:val="single"/>
        </w:rPr>
        <w:t>东莞市轨道交通1号线运营期地铁控制保护区综合管理系统项目</w:t>
      </w:r>
      <w:r>
        <w:rPr>
          <w:rFonts w:hint="eastAsia" w:asciiTheme="minorEastAsia" w:hAnsiTheme="minorEastAsia" w:eastAsiaTheme="minorEastAsia" w:cstheme="minorEastAsia"/>
          <w:color w:val="auto"/>
          <w:sz w:val="24"/>
          <w:szCs w:val="24"/>
          <w:highlight w:val="none"/>
        </w:rPr>
        <w:t>（项目名称）工作；发现安全隐患及问题及时告知或处置，避免酿成灾害。</w:t>
      </w:r>
    </w:p>
    <w:p w14:paraId="7B51C3A3">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（2）乙方应采取合理有效的预防措施，防止其员工发生任何违法、违纪、暴力或妨碍社会、现场治安的行为。</w:t>
      </w:r>
    </w:p>
    <w:p w14:paraId="22F6948B">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要按规定向上岗人员提供合格的劳动安全防护用品，项目负责人和安全员要对劳动防护用品进行安全性能检查，并签字确认，不合格的劳动防护用品不得使用。同时要随时检查劳动防护用品穿戴和正确使用情况，不按规定穿戴防护用品的人员不得进入施工现场。工作人员进入施工现场要服从现场的安全管理。</w:t>
      </w:r>
    </w:p>
    <w:p w14:paraId="6DF2F313">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（4）乙方要严格遵守国家和地方政府有关法律法规，巡查服务中应确保第三方及自身的安全。无人机、街景车等设备的使用应按国家相关规定办理手续。</w:t>
      </w:r>
    </w:p>
    <w:p w14:paraId="68180402">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乙方负责办理乙方人员的生命财产、现场各种设备设施、材料的保险、并支付相应的费用，费用包含在合同价款内中。因乙方原因造成的任何事故（包括第三方人员在内）或安全隐患所发生的依法应该支付的损失、赔偿费、补偿费用等责任由乙方承担，必须为从事危险作业的职工办理意外伤害险，并为现场内的自有人员生命财产及设备设施办理保险，支付保险费用。</w:t>
      </w:r>
    </w:p>
    <w:p w14:paraId="3516D2AE">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乙方承担自身原因导致的，与本工程有关或本工程进行期间发生或本工程引致的人身伤亡及财产损坏负费用、责任、损失、索赔或诉讼的法律责任，并须保障甲方免负该等责任，除非有关伤亡是甲方或者其应该负责的人导致的。</w:t>
      </w:r>
    </w:p>
    <w:p w14:paraId="0E6FB11A">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二、违约责任</w:t>
      </w:r>
    </w:p>
    <w:p w14:paraId="7591810C">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乙方如因违约造成事故，将按照合同及有关规定给予处罚。造成安全事故，由政府执法部门追究其法律责任。</w:t>
      </w:r>
    </w:p>
    <w:p w14:paraId="6C2F9BCB">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三、合同生效</w:t>
      </w:r>
    </w:p>
    <w:p w14:paraId="2A4FDBE9">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本合同自甲乙双方盖章后生效。</w:t>
      </w:r>
    </w:p>
    <w:p w14:paraId="25AE84ED">
      <w:pPr>
        <w:spacing w:line="360" w:lineRule="auto"/>
        <w:ind w:firstLine="480" w:firstLineChars="200"/>
        <w:rPr>
          <w:rFonts w:asciiTheme="minorEastAsia" w:hAnsiTheme="minorEastAsia" w:eastAsiaTheme="minorEastAsia" w:cstheme="minorEastAsia"/>
          <w:color w:val="auto"/>
          <w:sz w:val="24"/>
          <w:szCs w:val="24"/>
          <w:highlight w:val="none"/>
        </w:rPr>
      </w:pPr>
    </w:p>
    <w:p w14:paraId="50001806">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甲方：                             乙方：            </w:t>
      </w:r>
    </w:p>
    <w:p w14:paraId="12A9C08A">
      <w:pPr>
        <w:spacing w:line="360" w:lineRule="auto"/>
        <w:ind w:firstLine="480" w:firstLineChars="200"/>
        <w:rPr>
          <w:rFonts w:asciiTheme="minorEastAsia" w:hAnsiTheme="minorEastAsia" w:eastAsiaTheme="minorEastAsia" w:cstheme="minorEastAsia"/>
          <w:color w:val="auto"/>
          <w:sz w:val="24"/>
          <w:szCs w:val="24"/>
          <w:highlight w:val="none"/>
        </w:rPr>
      </w:pPr>
    </w:p>
    <w:p w14:paraId="0D6FE29E">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签字代表：                         签字代表：</w:t>
      </w:r>
    </w:p>
    <w:p w14:paraId="3C4F15DE">
      <w:pPr>
        <w:spacing w:line="360" w:lineRule="auto"/>
        <w:ind w:firstLine="480" w:firstLineChars="200"/>
        <w:rPr>
          <w:rFonts w:asciiTheme="minorEastAsia" w:hAnsiTheme="minorEastAsia" w:eastAsiaTheme="minorEastAsia" w:cstheme="minorEastAsia"/>
          <w:color w:val="auto"/>
          <w:sz w:val="24"/>
          <w:szCs w:val="24"/>
          <w:highlight w:val="none"/>
        </w:rPr>
      </w:pPr>
    </w:p>
    <w:p w14:paraId="463F819C">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签订日期：     年   月    日</w:t>
      </w:r>
    </w:p>
    <w:p w14:paraId="0B92740D">
      <w:pPr>
        <w:pStyle w:val="15"/>
        <w:pBdr>
          <w:bottom w:val="none" w:color="auto" w:sz="0" w:space="0"/>
        </w:pBdr>
        <w:rPr>
          <w:rFonts w:hint="eastAsia" w:ascii="宋体" w:hAnsi="宋体"/>
          <w:color w:val="auto"/>
          <w:sz w:val="21"/>
          <w:szCs w:val="21"/>
          <w:highlight w:val="none"/>
        </w:rPr>
      </w:pPr>
    </w:p>
    <w:p w14:paraId="2A9D8A2F">
      <w:pPr>
        <w:pStyle w:val="15"/>
        <w:pBdr>
          <w:bottom w:val="none" w:color="auto" w:sz="0" w:space="0"/>
        </w:pBdr>
        <w:rPr>
          <w:rFonts w:hint="eastAsia" w:ascii="宋体" w:hAnsi="宋体"/>
          <w:color w:val="auto"/>
          <w:sz w:val="21"/>
          <w:szCs w:val="21"/>
          <w:highlight w:val="none"/>
        </w:rPr>
      </w:pPr>
    </w:p>
    <w:p w14:paraId="6494409B">
      <w:pPr>
        <w:pStyle w:val="15"/>
        <w:pBdr>
          <w:bottom w:val="none" w:color="auto" w:sz="0" w:space="0"/>
        </w:pBdr>
        <w:rPr>
          <w:rFonts w:hint="eastAsia" w:ascii="宋体" w:hAnsi="宋体"/>
          <w:color w:val="auto"/>
          <w:sz w:val="21"/>
          <w:szCs w:val="21"/>
          <w:highlight w:val="none"/>
        </w:rPr>
      </w:pPr>
    </w:p>
    <w:p w14:paraId="0B6C0075">
      <w:pPr>
        <w:pStyle w:val="15"/>
        <w:pBdr>
          <w:bottom w:val="none" w:color="auto" w:sz="0" w:space="0"/>
        </w:pBdr>
        <w:rPr>
          <w:rFonts w:hint="eastAsia" w:ascii="宋体" w:hAnsi="宋体"/>
          <w:color w:val="auto"/>
          <w:sz w:val="21"/>
          <w:szCs w:val="21"/>
          <w:highlight w:val="none"/>
        </w:rPr>
      </w:pPr>
    </w:p>
    <w:p w14:paraId="3B54F151">
      <w:pPr>
        <w:pStyle w:val="15"/>
        <w:pBdr>
          <w:bottom w:val="none" w:color="auto" w:sz="0" w:space="0"/>
        </w:pBdr>
        <w:rPr>
          <w:rFonts w:hint="eastAsia" w:ascii="宋体" w:hAnsi="宋体"/>
          <w:color w:val="auto"/>
          <w:sz w:val="21"/>
          <w:szCs w:val="21"/>
          <w:highlight w:val="none"/>
        </w:rPr>
      </w:pPr>
    </w:p>
    <w:p w14:paraId="67847CF7">
      <w:pPr>
        <w:pStyle w:val="15"/>
        <w:pBdr>
          <w:bottom w:val="none" w:color="auto" w:sz="0" w:space="0"/>
        </w:pBdr>
        <w:rPr>
          <w:rFonts w:hint="eastAsia" w:ascii="宋体" w:hAnsi="宋体"/>
          <w:color w:val="auto"/>
          <w:sz w:val="21"/>
          <w:szCs w:val="21"/>
          <w:highlight w:val="none"/>
        </w:rPr>
      </w:pPr>
    </w:p>
    <w:p w14:paraId="3A5700AC">
      <w:pPr>
        <w:pStyle w:val="15"/>
        <w:pBdr>
          <w:bottom w:val="none" w:color="auto" w:sz="0" w:space="0"/>
        </w:pBdr>
        <w:rPr>
          <w:rFonts w:hint="eastAsia" w:ascii="宋体" w:hAnsi="宋体"/>
          <w:color w:val="auto"/>
          <w:sz w:val="21"/>
          <w:szCs w:val="21"/>
          <w:highlight w:val="none"/>
        </w:rPr>
      </w:pPr>
    </w:p>
    <w:p w14:paraId="53E269E5">
      <w:pPr>
        <w:pStyle w:val="15"/>
        <w:pBdr>
          <w:bottom w:val="none" w:color="auto" w:sz="0" w:space="0"/>
        </w:pBdr>
        <w:rPr>
          <w:rFonts w:hint="eastAsia" w:ascii="宋体" w:hAnsi="宋体"/>
          <w:color w:val="auto"/>
          <w:sz w:val="21"/>
          <w:szCs w:val="21"/>
          <w:highlight w:val="none"/>
        </w:rPr>
      </w:pPr>
    </w:p>
    <w:p w14:paraId="443899C5">
      <w:pPr>
        <w:pStyle w:val="15"/>
        <w:pBdr>
          <w:bottom w:val="none" w:color="auto" w:sz="0" w:space="0"/>
        </w:pBdr>
        <w:rPr>
          <w:rFonts w:hint="eastAsia" w:ascii="宋体" w:hAnsi="宋体"/>
          <w:color w:val="auto"/>
          <w:sz w:val="21"/>
          <w:szCs w:val="21"/>
          <w:highlight w:val="none"/>
        </w:rPr>
      </w:pPr>
    </w:p>
    <w:p w14:paraId="1E51C1C8">
      <w:pPr>
        <w:pStyle w:val="15"/>
        <w:pBdr>
          <w:bottom w:val="none" w:color="auto" w:sz="0" w:space="0"/>
        </w:pBdr>
        <w:rPr>
          <w:rFonts w:hint="eastAsia" w:ascii="宋体" w:hAnsi="宋体"/>
          <w:color w:val="auto"/>
          <w:sz w:val="21"/>
          <w:szCs w:val="21"/>
          <w:highlight w:val="none"/>
        </w:rPr>
      </w:pPr>
    </w:p>
    <w:p w14:paraId="278C7878">
      <w:pPr>
        <w:pStyle w:val="2"/>
        <w:spacing w:line="240" w:lineRule="auto"/>
        <w:jc w:val="center"/>
        <w:rPr>
          <w:rFonts w:hint="eastAsia" w:ascii="宋体" w:hAnsi="宋体"/>
          <w:color w:val="auto"/>
          <w:highlight w:val="none"/>
        </w:rPr>
      </w:pPr>
      <w:bookmarkStart w:id="873" w:name="_Toc17956"/>
      <w:bookmarkStart w:id="874" w:name="_Toc27149"/>
      <w:bookmarkStart w:id="875" w:name="_Toc492300705"/>
      <w:bookmarkStart w:id="876" w:name="_Toc30124"/>
      <w:bookmarkStart w:id="877" w:name="_Toc32308"/>
      <w:bookmarkStart w:id="878" w:name="_Toc9127"/>
      <w:r>
        <w:rPr>
          <w:rFonts w:hint="eastAsia" w:ascii="宋体" w:hAnsi="宋体"/>
          <w:color w:val="auto"/>
          <w:highlight w:val="none"/>
        </w:rPr>
        <w:t>第二卷</w:t>
      </w:r>
      <w:bookmarkEnd w:id="873"/>
      <w:bookmarkEnd w:id="874"/>
      <w:bookmarkEnd w:id="875"/>
      <w:bookmarkEnd w:id="876"/>
      <w:bookmarkEnd w:id="877"/>
      <w:bookmarkEnd w:id="878"/>
      <w:r>
        <w:rPr>
          <w:rFonts w:hint="eastAsia" w:ascii="宋体" w:hAnsi="宋体"/>
          <w:color w:val="auto"/>
          <w:highlight w:val="none"/>
        </w:rPr>
        <w:t xml:space="preserve">  </w:t>
      </w:r>
    </w:p>
    <w:p w14:paraId="3260BBF2">
      <w:pPr>
        <w:spacing w:line="360" w:lineRule="auto"/>
        <w:jc w:val="left"/>
        <w:rPr>
          <w:color w:val="auto"/>
          <w:highlight w:val="none"/>
        </w:rPr>
      </w:pPr>
    </w:p>
    <w:p w14:paraId="3D7ADD85">
      <w:pPr>
        <w:pStyle w:val="3"/>
        <w:spacing w:line="360" w:lineRule="auto"/>
        <w:ind w:firstLine="643" w:firstLineChars="200"/>
        <w:jc w:val="center"/>
        <w:rPr>
          <w:rFonts w:hint="eastAsia" w:ascii="宋体" w:hAnsi="宋体" w:eastAsia="宋体"/>
          <w:color w:val="auto"/>
          <w:highlight w:val="none"/>
        </w:rPr>
      </w:pPr>
      <w:bookmarkStart w:id="879" w:name="_Toc7335"/>
      <w:bookmarkStart w:id="880" w:name="_Toc1408"/>
      <w:bookmarkStart w:id="881" w:name="_Toc14756"/>
      <w:bookmarkStart w:id="882" w:name="_Toc1244"/>
      <w:bookmarkStart w:id="883" w:name="_Toc22495"/>
      <w:bookmarkStart w:id="884" w:name="_Toc18810"/>
      <w:bookmarkStart w:id="885" w:name="_Toc20199"/>
      <w:bookmarkStart w:id="886" w:name="_Toc23304"/>
      <w:bookmarkStart w:id="887" w:name="_Toc17326"/>
      <w:bookmarkStart w:id="888" w:name="_Toc3032"/>
      <w:r>
        <w:rPr>
          <w:rFonts w:hint="eastAsia" w:ascii="宋体" w:hAnsi="宋体" w:eastAsia="宋体"/>
          <w:color w:val="auto"/>
          <w:highlight w:val="none"/>
        </w:rPr>
        <w:t>第五章 用户需求书</w:t>
      </w:r>
      <w:bookmarkEnd w:id="879"/>
      <w:bookmarkEnd w:id="880"/>
      <w:bookmarkEnd w:id="881"/>
      <w:bookmarkEnd w:id="882"/>
      <w:bookmarkEnd w:id="883"/>
      <w:bookmarkEnd w:id="884"/>
      <w:bookmarkEnd w:id="885"/>
      <w:bookmarkEnd w:id="886"/>
      <w:bookmarkEnd w:id="887"/>
      <w:bookmarkEnd w:id="888"/>
    </w:p>
    <w:p w14:paraId="190DDBAD">
      <w:pPr>
        <w:spacing w:line="360" w:lineRule="auto"/>
        <w:jc w:val="left"/>
        <w:rPr>
          <w:color w:val="auto"/>
          <w:highlight w:val="none"/>
        </w:rPr>
      </w:pPr>
    </w:p>
    <w:p w14:paraId="343CAB89">
      <w:pPr>
        <w:spacing w:line="360" w:lineRule="auto"/>
        <w:jc w:val="left"/>
        <w:rPr>
          <w:color w:val="auto"/>
          <w:highlight w:val="none"/>
        </w:rPr>
      </w:pPr>
    </w:p>
    <w:p w14:paraId="7C6B0BB5">
      <w:pPr>
        <w:spacing w:line="360" w:lineRule="auto"/>
        <w:jc w:val="left"/>
        <w:rPr>
          <w:color w:val="auto"/>
          <w:highlight w:val="none"/>
        </w:rPr>
      </w:pPr>
    </w:p>
    <w:p w14:paraId="60AFD526">
      <w:pPr>
        <w:spacing w:line="360" w:lineRule="auto"/>
        <w:jc w:val="left"/>
        <w:rPr>
          <w:color w:val="auto"/>
          <w:highlight w:val="none"/>
        </w:rPr>
      </w:pPr>
    </w:p>
    <w:p w14:paraId="633153E1">
      <w:pPr>
        <w:spacing w:line="360" w:lineRule="auto"/>
        <w:jc w:val="left"/>
        <w:rPr>
          <w:color w:val="auto"/>
          <w:highlight w:val="none"/>
        </w:rPr>
      </w:pPr>
    </w:p>
    <w:p w14:paraId="166BDFE0">
      <w:pPr>
        <w:spacing w:line="360" w:lineRule="auto"/>
        <w:jc w:val="left"/>
        <w:rPr>
          <w:color w:val="auto"/>
          <w:highlight w:val="none"/>
        </w:rPr>
      </w:pPr>
    </w:p>
    <w:p w14:paraId="365710AD">
      <w:pPr>
        <w:spacing w:line="360" w:lineRule="auto"/>
        <w:jc w:val="left"/>
        <w:rPr>
          <w:rFonts w:ascii="黑体" w:eastAsia="黑体"/>
          <w:b/>
          <w:bCs/>
          <w:color w:val="auto"/>
          <w:sz w:val="44"/>
          <w:szCs w:val="44"/>
          <w:highlight w:val="none"/>
        </w:rPr>
      </w:pPr>
    </w:p>
    <w:p w14:paraId="7AC7D578">
      <w:pPr>
        <w:spacing w:line="360" w:lineRule="auto"/>
        <w:ind w:firstLine="883" w:firstLineChars="200"/>
        <w:jc w:val="left"/>
        <w:rPr>
          <w:rFonts w:ascii="黑体" w:eastAsia="黑体"/>
          <w:b/>
          <w:bCs/>
          <w:color w:val="auto"/>
          <w:sz w:val="44"/>
          <w:szCs w:val="44"/>
          <w:highlight w:val="none"/>
        </w:rPr>
      </w:pPr>
    </w:p>
    <w:p w14:paraId="40490042">
      <w:pPr>
        <w:spacing w:line="360" w:lineRule="auto"/>
        <w:ind w:firstLine="883" w:firstLineChars="200"/>
        <w:jc w:val="left"/>
        <w:rPr>
          <w:rFonts w:ascii="黑体" w:eastAsia="黑体"/>
          <w:b/>
          <w:bCs/>
          <w:color w:val="auto"/>
          <w:sz w:val="44"/>
          <w:szCs w:val="44"/>
          <w:highlight w:val="none"/>
        </w:rPr>
      </w:pPr>
    </w:p>
    <w:p w14:paraId="5D142C46">
      <w:pPr>
        <w:spacing w:line="360" w:lineRule="auto"/>
        <w:ind w:firstLine="883" w:firstLineChars="200"/>
        <w:jc w:val="left"/>
        <w:rPr>
          <w:rFonts w:ascii="黑体" w:eastAsia="黑体"/>
          <w:b/>
          <w:bCs/>
          <w:color w:val="auto"/>
          <w:sz w:val="44"/>
          <w:szCs w:val="44"/>
          <w:highlight w:val="none"/>
        </w:rPr>
      </w:pPr>
    </w:p>
    <w:p w14:paraId="718647C6">
      <w:pPr>
        <w:spacing w:line="360" w:lineRule="auto"/>
        <w:ind w:firstLine="964" w:firstLineChars="200"/>
        <w:jc w:val="left"/>
        <w:rPr>
          <w:rFonts w:ascii="黑体" w:eastAsia="黑体"/>
          <w:b/>
          <w:bCs/>
          <w:color w:val="auto"/>
          <w:sz w:val="48"/>
          <w:szCs w:val="48"/>
          <w:highlight w:val="none"/>
        </w:rPr>
      </w:pPr>
    </w:p>
    <w:p w14:paraId="361F93AA">
      <w:pPr>
        <w:spacing w:line="360" w:lineRule="auto"/>
        <w:ind w:firstLine="883" w:firstLineChars="200"/>
        <w:jc w:val="left"/>
        <w:rPr>
          <w:rFonts w:ascii="黑体" w:eastAsia="黑体"/>
          <w:b/>
          <w:bCs/>
          <w:color w:val="auto"/>
          <w:sz w:val="44"/>
          <w:szCs w:val="44"/>
          <w:highlight w:val="none"/>
        </w:rPr>
      </w:pPr>
    </w:p>
    <w:p w14:paraId="61750ED5">
      <w:pPr>
        <w:spacing w:line="360" w:lineRule="auto"/>
        <w:jc w:val="center"/>
        <w:rPr>
          <w:rFonts w:ascii="黑体" w:eastAsia="黑体"/>
          <w:b/>
          <w:bCs/>
          <w:color w:val="auto"/>
          <w:sz w:val="44"/>
          <w:szCs w:val="44"/>
          <w:highlight w:val="none"/>
        </w:rPr>
      </w:pPr>
      <w:r>
        <w:rPr>
          <w:rFonts w:hint="eastAsia" w:ascii="黑体" w:eastAsia="黑体"/>
          <w:b/>
          <w:bCs/>
          <w:color w:val="auto"/>
          <w:sz w:val="44"/>
          <w:szCs w:val="44"/>
          <w:highlight w:val="none"/>
        </w:rPr>
        <w:br w:type="page"/>
      </w:r>
      <w:r>
        <w:rPr>
          <w:rFonts w:hint="eastAsia" w:ascii="黑体" w:eastAsia="黑体"/>
          <w:b/>
          <w:bCs/>
          <w:color w:val="auto"/>
          <w:sz w:val="44"/>
          <w:szCs w:val="44"/>
          <w:highlight w:val="none"/>
        </w:rPr>
        <w:t>东莞市轨道交通1号线运营期地铁控制保护区综合管理系统</w:t>
      </w:r>
      <w:r>
        <w:rPr>
          <w:rFonts w:hint="eastAsia" w:ascii="黑体" w:eastAsia="黑体"/>
          <w:b/>
          <w:bCs/>
          <w:color w:val="auto"/>
          <w:sz w:val="44"/>
          <w:szCs w:val="44"/>
          <w:highlight w:val="none"/>
          <w:lang w:val="en-US" w:eastAsia="zh-CN"/>
        </w:rPr>
        <w:t>项目</w:t>
      </w:r>
      <w:r>
        <w:rPr>
          <w:rFonts w:hint="eastAsia" w:ascii="黑体" w:eastAsia="黑体"/>
          <w:b/>
          <w:bCs/>
          <w:color w:val="auto"/>
          <w:sz w:val="44"/>
          <w:szCs w:val="44"/>
          <w:highlight w:val="none"/>
        </w:rPr>
        <w:t>用户需求书</w:t>
      </w:r>
    </w:p>
    <w:p w14:paraId="55D2854E">
      <w:pPr>
        <w:spacing w:line="360" w:lineRule="auto"/>
        <w:ind w:firstLine="883" w:firstLineChars="200"/>
        <w:jc w:val="center"/>
        <w:rPr>
          <w:rFonts w:ascii="黑体" w:eastAsia="黑体"/>
          <w:b/>
          <w:bCs/>
          <w:color w:val="auto"/>
          <w:sz w:val="44"/>
          <w:szCs w:val="44"/>
          <w:highlight w:val="none"/>
        </w:rPr>
      </w:pPr>
    </w:p>
    <w:p w14:paraId="3646F38A">
      <w:pPr>
        <w:spacing w:line="360" w:lineRule="auto"/>
        <w:ind w:firstLine="883" w:firstLineChars="200"/>
        <w:jc w:val="center"/>
        <w:rPr>
          <w:rFonts w:ascii="黑体" w:eastAsia="黑体"/>
          <w:b/>
          <w:bCs/>
          <w:color w:val="auto"/>
          <w:sz w:val="44"/>
          <w:szCs w:val="44"/>
          <w:highlight w:val="none"/>
        </w:rPr>
      </w:pPr>
    </w:p>
    <w:p w14:paraId="799228BB">
      <w:pPr>
        <w:spacing w:line="360" w:lineRule="auto"/>
        <w:ind w:firstLine="883" w:firstLineChars="200"/>
        <w:jc w:val="center"/>
        <w:rPr>
          <w:rFonts w:ascii="黑体" w:eastAsia="黑体"/>
          <w:b/>
          <w:bCs/>
          <w:color w:val="auto"/>
          <w:sz w:val="44"/>
          <w:szCs w:val="44"/>
          <w:highlight w:val="none"/>
        </w:rPr>
      </w:pPr>
    </w:p>
    <w:p w14:paraId="5458BFC3">
      <w:pPr>
        <w:spacing w:line="360" w:lineRule="auto"/>
        <w:ind w:firstLine="883" w:firstLineChars="200"/>
        <w:jc w:val="center"/>
        <w:rPr>
          <w:rFonts w:ascii="黑体" w:eastAsia="黑体"/>
          <w:b/>
          <w:bCs/>
          <w:color w:val="auto"/>
          <w:sz w:val="44"/>
          <w:szCs w:val="44"/>
          <w:highlight w:val="none"/>
        </w:rPr>
      </w:pPr>
    </w:p>
    <w:p w14:paraId="1A243A4F">
      <w:pPr>
        <w:spacing w:line="360" w:lineRule="auto"/>
        <w:ind w:firstLine="883" w:firstLineChars="200"/>
        <w:jc w:val="center"/>
        <w:rPr>
          <w:rFonts w:ascii="黑体" w:eastAsia="黑体"/>
          <w:b/>
          <w:bCs/>
          <w:color w:val="auto"/>
          <w:sz w:val="44"/>
          <w:szCs w:val="44"/>
          <w:highlight w:val="none"/>
        </w:rPr>
      </w:pPr>
    </w:p>
    <w:p w14:paraId="61E286F8">
      <w:pPr>
        <w:spacing w:line="360" w:lineRule="auto"/>
        <w:ind w:firstLine="883" w:firstLineChars="200"/>
        <w:jc w:val="center"/>
        <w:rPr>
          <w:rFonts w:ascii="黑体" w:eastAsia="黑体"/>
          <w:b/>
          <w:bCs/>
          <w:color w:val="auto"/>
          <w:sz w:val="44"/>
          <w:szCs w:val="44"/>
          <w:highlight w:val="none"/>
        </w:rPr>
      </w:pPr>
    </w:p>
    <w:p w14:paraId="004C04BB">
      <w:pPr>
        <w:spacing w:line="360" w:lineRule="auto"/>
        <w:ind w:firstLine="883" w:firstLineChars="200"/>
        <w:jc w:val="center"/>
        <w:rPr>
          <w:rFonts w:ascii="黑体" w:eastAsia="黑体"/>
          <w:b/>
          <w:bCs/>
          <w:color w:val="auto"/>
          <w:sz w:val="44"/>
          <w:szCs w:val="44"/>
          <w:highlight w:val="none"/>
        </w:rPr>
      </w:pPr>
    </w:p>
    <w:p w14:paraId="04D03839">
      <w:pPr>
        <w:spacing w:line="360" w:lineRule="auto"/>
        <w:ind w:firstLine="883" w:firstLineChars="200"/>
        <w:jc w:val="center"/>
        <w:rPr>
          <w:rFonts w:ascii="黑体" w:eastAsia="黑体"/>
          <w:b/>
          <w:bCs/>
          <w:color w:val="auto"/>
          <w:sz w:val="44"/>
          <w:szCs w:val="44"/>
          <w:highlight w:val="none"/>
        </w:rPr>
      </w:pPr>
    </w:p>
    <w:p w14:paraId="53936618">
      <w:pPr>
        <w:spacing w:line="360" w:lineRule="auto"/>
        <w:ind w:firstLine="883" w:firstLineChars="200"/>
        <w:jc w:val="center"/>
        <w:rPr>
          <w:rFonts w:ascii="黑体" w:eastAsia="黑体"/>
          <w:b/>
          <w:bCs/>
          <w:color w:val="auto"/>
          <w:sz w:val="44"/>
          <w:szCs w:val="44"/>
          <w:highlight w:val="none"/>
        </w:rPr>
      </w:pPr>
    </w:p>
    <w:p w14:paraId="27152C7A">
      <w:pPr>
        <w:spacing w:line="360" w:lineRule="auto"/>
        <w:ind w:firstLine="883" w:firstLineChars="200"/>
        <w:jc w:val="center"/>
        <w:rPr>
          <w:rFonts w:ascii="黑体" w:eastAsia="黑体"/>
          <w:b/>
          <w:bCs/>
          <w:color w:val="auto"/>
          <w:sz w:val="44"/>
          <w:szCs w:val="44"/>
          <w:highlight w:val="none"/>
        </w:rPr>
      </w:pPr>
    </w:p>
    <w:p w14:paraId="50D1DCED">
      <w:pPr>
        <w:jc w:val="center"/>
        <w:rPr>
          <w:rFonts w:hint="eastAsia" w:ascii="黑体" w:hAnsi="黑体" w:eastAsia="黑体" w:cs="黑体"/>
          <w:bCs/>
          <w:color w:val="auto"/>
          <w:sz w:val="36"/>
          <w:szCs w:val="36"/>
          <w:highlight w:val="none"/>
        </w:rPr>
      </w:pPr>
    </w:p>
    <w:p w14:paraId="1B9C8019">
      <w:pPr>
        <w:jc w:val="center"/>
        <w:rPr>
          <w:rFonts w:hint="eastAsia" w:ascii="黑体" w:hAnsi="黑体" w:eastAsia="黑体" w:cs="黑体"/>
          <w:bCs/>
          <w:color w:val="auto"/>
          <w:sz w:val="36"/>
          <w:szCs w:val="36"/>
          <w:highlight w:val="none"/>
        </w:rPr>
      </w:pPr>
    </w:p>
    <w:p w14:paraId="27242EE9">
      <w:pPr>
        <w:jc w:val="center"/>
        <w:rPr>
          <w:rFonts w:hint="eastAsia" w:ascii="黑体" w:hAnsi="黑体" w:eastAsia="黑体" w:cs="黑体"/>
          <w:bCs/>
          <w:color w:val="auto"/>
          <w:sz w:val="36"/>
          <w:szCs w:val="36"/>
          <w:highlight w:val="none"/>
        </w:rPr>
      </w:pPr>
    </w:p>
    <w:p w14:paraId="6CE4055E">
      <w:pPr>
        <w:jc w:val="center"/>
        <w:rPr>
          <w:color w:val="auto"/>
          <w:sz w:val="36"/>
          <w:szCs w:val="36"/>
          <w:highlight w:val="none"/>
        </w:rPr>
      </w:pPr>
      <w:r>
        <w:rPr>
          <w:rFonts w:hint="eastAsia" w:ascii="黑体" w:hAnsi="黑体" w:eastAsia="黑体" w:cs="黑体"/>
          <w:bCs/>
          <w:color w:val="auto"/>
          <w:sz w:val="36"/>
          <w:szCs w:val="36"/>
          <w:highlight w:val="none"/>
        </w:rPr>
        <w:t>东莞市轨道一号线建设发展有限公司</w:t>
      </w:r>
    </w:p>
    <w:p w14:paraId="7D161BA9">
      <w:pPr>
        <w:jc w:val="center"/>
        <w:rPr>
          <w:rFonts w:hint="eastAsia" w:ascii="黑体" w:hAnsi="黑体" w:eastAsia="黑体" w:cs="黑体"/>
          <w:bCs/>
          <w:color w:val="auto"/>
          <w:sz w:val="36"/>
          <w:szCs w:val="36"/>
          <w:highlight w:val="none"/>
        </w:rPr>
      </w:pPr>
      <w:r>
        <w:rPr>
          <w:rFonts w:hint="eastAsia" w:ascii="黑体" w:hAnsi="黑体" w:eastAsia="黑体" w:cs="黑体"/>
          <w:bCs/>
          <w:color w:val="auto"/>
          <w:sz w:val="36"/>
          <w:szCs w:val="36"/>
          <w:highlight w:val="none"/>
        </w:rPr>
        <w:t>2025年</w:t>
      </w:r>
      <w:r>
        <w:rPr>
          <w:rFonts w:hint="eastAsia" w:ascii="黑体" w:hAnsi="黑体" w:eastAsia="黑体" w:cs="黑体"/>
          <w:bCs/>
          <w:color w:val="auto"/>
          <w:sz w:val="36"/>
          <w:szCs w:val="36"/>
          <w:highlight w:val="none"/>
          <w:lang w:val="en-US" w:eastAsia="zh-CN"/>
        </w:rPr>
        <w:t>5</w:t>
      </w:r>
      <w:r>
        <w:rPr>
          <w:rFonts w:hint="eastAsia" w:ascii="黑体" w:hAnsi="黑体" w:eastAsia="黑体" w:cs="黑体"/>
          <w:bCs/>
          <w:color w:val="auto"/>
          <w:sz w:val="36"/>
          <w:szCs w:val="36"/>
          <w:highlight w:val="none"/>
        </w:rPr>
        <w:t>月</w:t>
      </w:r>
    </w:p>
    <w:p w14:paraId="35EA19B4">
      <w:pPr>
        <w:spacing w:line="480" w:lineRule="auto"/>
        <w:rPr>
          <w:rFonts w:ascii="黑体" w:eastAsia="黑体"/>
          <w:color w:val="auto"/>
          <w:sz w:val="44"/>
          <w:szCs w:val="44"/>
          <w:highlight w:val="none"/>
        </w:rPr>
        <w:sectPr>
          <w:footerReference r:id="rId7" w:type="default"/>
          <w:pgSz w:w="11906" w:h="16838"/>
          <w:pgMar w:top="1418" w:right="1418" w:bottom="1418" w:left="1418" w:header="851" w:footer="992" w:gutter="0"/>
          <w:cols w:space="720" w:num="1"/>
          <w:docGrid w:type="lines" w:linePitch="312" w:charSpace="0"/>
        </w:sectPr>
      </w:pPr>
    </w:p>
    <w:p w14:paraId="23CC2885">
      <w:pPr>
        <w:spacing w:line="480" w:lineRule="auto"/>
        <w:jc w:val="center"/>
        <w:rPr>
          <w:rFonts w:ascii="黑体" w:eastAsia="黑体"/>
          <w:color w:val="auto"/>
          <w:sz w:val="44"/>
          <w:szCs w:val="44"/>
          <w:highlight w:val="none"/>
        </w:rPr>
      </w:pPr>
      <w:r>
        <w:rPr>
          <w:rFonts w:hint="eastAsia" w:ascii="黑体" w:eastAsia="黑体"/>
          <w:color w:val="auto"/>
          <w:sz w:val="44"/>
          <w:szCs w:val="44"/>
          <w:highlight w:val="none"/>
        </w:rPr>
        <w:t>目录</w:t>
      </w:r>
    </w:p>
    <w:p w14:paraId="14E0BC2E">
      <w:pPr>
        <w:pStyle w:val="17"/>
        <w:tabs>
          <w:tab w:val="right" w:leader="dot" w:pos="8820"/>
        </w:tabs>
        <w:ind w:left="420" w:leftChars="0" w:hanging="420" w:hangingChars="200"/>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TOC \o "1-3" \h \u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_Toc23609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1总体说明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_Toc23609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1D9E490">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_Toc19087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1.1总则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_Toc19087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0EFDF16">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_Toc26450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1.2名词约定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_Toc26450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6980858">
      <w:pPr>
        <w:pStyle w:val="16"/>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_Toc354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2项目概况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3230D64">
      <w:pPr>
        <w:pStyle w:val="16"/>
        <w:tabs>
          <w:tab w:val="right" w:leader="dot" w:pos="8820"/>
        </w:tabs>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_Toc22297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lang w:val="en-US" w:eastAsia="zh-CN"/>
        </w:rPr>
        <w:t>2.1 规范与标准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_Toc22297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9DA0B06">
      <w:pPr>
        <w:pStyle w:val="16"/>
        <w:tabs>
          <w:tab w:val="right" w:leader="dot" w:pos="8820"/>
        </w:tabs>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_Toc19312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lang w:val="en-US" w:eastAsia="zh-CN"/>
        </w:rPr>
        <w:t>2.2建设背景</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_Toc19312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95684AB">
      <w:pPr>
        <w:pStyle w:val="17"/>
        <w:tabs>
          <w:tab w:val="right" w:leader="dot" w:pos="8820"/>
        </w:tabs>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_Toc10854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2.</w:t>
      </w:r>
      <w:r>
        <w:rPr>
          <w:rFonts w:hint="eastAsia" w:ascii="宋体" w:hAnsi="宋体" w:eastAsia="宋体" w:cs="宋体"/>
          <w:bCs/>
          <w:color w:val="auto"/>
          <w:szCs w:val="28"/>
          <w:highlight w:val="none"/>
          <w:lang w:val="en-US" w:eastAsia="zh-CN"/>
        </w:rPr>
        <w:t>3</w:t>
      </w:r>
      <w:r>
        <w:rPr>
          <w:rFonts w:hint="eastAsia" w:ascii="宋体" w:hAnsi="宋体" w:eastAsia="宋体" w:cs="宋体"/>
          <w:bCs/>
          <w:color w:val="auto"/>
          <w:szCs w:val="28"/>
          <w:highlight w:val="none"/>
        </w:rPr>
        <w:t>建设目标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_Toc10854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DC3C233">
      <w:pPr>
        <w:pStyle w:val="17"/>
        <w:tabs>
          <w:tab w:val="right" w:leader="dot" w:pos="8820"/>
        </w:tabs>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_Toc17476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2.</w:t>
      </w:r>
      <w:r>
        <w:rPr>
          <w:rFonts w:hint="eastAsia" w:ascii="宋体" w:hAnsi="宋体" w:eastAsia="宋体" w:cs="宋体"/>
          <w:bCs/>
          <w:color w:val="auto"/>
          <w:szCs w:val="28"/>
          <w:highlight w:val="none"/>
          <w:lang w:val="en-US" w:eastAsia="zh-CN"/>
        </w:rPr>
        <w:t>4</w:t>
      </w:r>
      <w:r>
        <w:rPr>
          <w:rFonts w:hint="eastAsia" w:ascii="宋体" w:hAnsi="宋体" w:eastAsia="宋体" w:cs="宋体"/>
          <w:bCs/>
          <w:color w:val="auto"/>
          <w:szCs w:val="28"/>
          <w:highlight w:val="none"/>
        </w:rPr>
        <w:t>项目范围</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_Toc17476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98B7237">
      <w:pPr>
        <w:pStyle w:val="16"/>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_Toc21085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3系统技术需求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87</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CD84817">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_Toc21803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3.1安全性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_Toc21803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87</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E9E0731">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_Toc17636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3.2可靠性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_Toc17636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5882DA8">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_Toc20219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3.3先进性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_Toc20219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8A0CBD4">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_Toc8161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3.4实用性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_Toc8161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D500604">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_Toc12001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3.5易用性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_Toc12001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35EF951">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_Toc20281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3.6开放性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_Toc20281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DEBE1DC">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_Toc20178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3.7可扩展性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_Toc20178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972D459">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_Toc5141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3.8可维护性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_Toc5141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C171C3A">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_Toc1621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3.9可升级性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9627DA2">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_Toc32497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3.10完整性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_Toc32497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1629781">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_Toc9911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3.11集成性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_Toc9911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486BDBF">
      <w:pPr>
        <w:pStyle w:val="16"/>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_Toc15234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4系统用户需求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_Toc15234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90</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C4DBD42">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_Toc22010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4.1系统功能要求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_Toc22010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90</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30E039F">
      <w:pPr>
        <w:pStyle w:val="13"/>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_Toc17530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4.1.1系统构架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_Toc17530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90</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FDA5E80">
      <w:pPr>
        <w:pStyle w:val="13"/>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_Toc9709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4.1.2系统性能要求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90</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85BACF2">
      <w:pPr>
        <w:pStyle w:val="13"/>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_Toc1709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4.1.3系统安全</w:t>
      </w:r>
      <w:r>
        <w:rPr>
          <w:rFonts w:hint="eastAsia" w:ascii="宋体" w:hAnsi="宋体" w:eastAsia="宋体" w:cs="宋体"/>
          <w:bCs/>
          <w:color w:val="auto"/>
          <w:szCs w:val="28"/>
          <w:highlight w:val="none"/>
          <w:lang w:val="en-US" w:eastAsia="zh-CN"/>
        </w:rPr>
        <w:t>第三方测评要求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5602DFC">
      <w:pPr>
        <w:pStyle w:val="13"/>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_Toc29009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4.1.4运行环境要求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_Toc29009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8ADE2FB">
      <w:pPr>
        <w:pStyle w:val="13"/>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_Toc30251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4.1.5系统软件要求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_Toc30251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93</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528042C">
      <w:pPr>
        <w:pStyle w:val="13"/>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_Toc5889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4.1.6系统硬件要求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_Toc5889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6968B6F">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_Toc27967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4.2用户功能需求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_Toc27967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102</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EDE1310">
      <w:pPr>
        <w:pStyle w:val="13"/>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_Toc11121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4.2.1系统首页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_Toc11121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102</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3989748">
      <w:pPr>
        <w:pStyle w:val="13"/>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_Toc11396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4.2.2电脑端系统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_Toc11396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103</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3A2878F">
      <w:pPr>
        <w:pStyle w:val="13"/>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_Toc15103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4.2.3移动端APP</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_Toc15103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9BD59F8">
      <w:pPr>
        <w:pStyle w:val="13"/>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_Toc19556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4.2.4系统集成需求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_Toc19556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84E4877">
      <w:pPr>
        <w:pStyle w:val="13"/>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_Toc19431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4.2.5系统拓展扩容需求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_Toc19431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110</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01AA792">
      <w:pPr>
        <w:pStyle w:val="16"/>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_Toc13240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5培训需求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_Toc13240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110</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045AB35">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_Toc1253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5.1培训目标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110</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BEE2A75">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_Toc1137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5.2培训要求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002D999">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_Toc17857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2"/>
          <w:szCs w:val="28"/>
          <w:highlight w:val="none"/>
        </w:rPr>
        <w:t>5.3培训内容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4034936">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_Toc13928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2"/>
          <w:szCs w:val="28"/>
          <w:highlight w:val="none"/>
        </w:rPr>
        <w:t>5.4培训资料及知识产权</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_Toc13928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983EBEC">
      <w:pPr>
        <w:pStyle w:val="16"/>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_Toc10584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6项目实施过程管理要求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_Toc10584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112</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82E181B">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_Toc6601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6.1项目启动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_Toc6601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112</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ACA5531">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_Toc25830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6.2业务调研</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_Toc25830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112</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608A509">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_Toc1458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6.</w:t>
      </w:r>
      <w:r>
        <w:rPr>
          <w:rFonts w:hint="eastAsia" w:ascii="宋体" w:hAnsi="宋体" w:eastAsia="宋体" w:cs="宋体"/>
          <w:bCs/>
          <w:color w:val="auto"/>
          <w:szCs w:val="28"/>
          <w:highlight w:val="none"/>
          <w:lang w:val="en-US" w:eastAsia="zh-CN"/>
        </w:rPr>
        <w:t>3</w:t>
      </w:r>
      <w:r>
        <w:rPr>
          <w:rFonts w:hint="eastAsia" w:ascii="宋体" w:hAnsi="宋体" w:eastAsia="宋体" w:cs="宋体"/>
          <w:bCs/>
          <w:color w:val="auto"/>
          <w:szCs w:val="28"/>
          <w:highlight w:val="none"/>
        </w:rPr>
        <w:t>方案设计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_Toc1458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112</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441FA34">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_Toc22166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6.</w:t>
      </w:r>
      <w:r>
        <w:rPr>
          <w:rFonts w:hint="eastAsia" w:ascii="宋体" w:hAnsi="宋体" w:eastAsia="宋体" w:cs="宋体"/>
          <w:bCs/>
          <w:color w:val="auto"/>
          <w:szCs w:val="28"/>
          <w:highlight w:val="none"/>
          <w:lang w:val="en-US" w:eastAsia="zh-CN"/>
        </w:rPr>
        <w:t>4</w:t>
      </w:r>
      <w:r>
        <w:rPr>
          <w:rFonts w:hint="eastAsia" w:ascii="宋体" w:hAnsi="宋体" w:eastAsia="宋体" w:cs="宋体"/>
          <w:bCs/>
          <w:color w:val="auto"/>
          <w:szCs w:val="28"/>
          <w:highlight w:val="none"/>
        </w:rPr>
        <w:t>开发与集成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_Toc22166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112</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F594281">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_Toc23809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6.</w:t>
      </w:r>
      <w:r>
        <w:rPr>
          <w:rFonts w:hint="eastAsia" w:ascii="宋体" w:hAnsi="宋体" w:eastAsia="宋体" w:cs="宋体"/>
          <w:bCs/>
          <w:color w:val="auto"/>
          <w:szCs w:val="28"/>
          <w:highlight w:val="none"/>
          <w:lang w:val="en-US" w:eastAsia="zh-CN"/>
        </w:rPr>
        <w:t>5</w:t>
      </w:r>
      <w:r>
        <w:rPr>
          <w:rFonts w:hint="eastAsia" w:ascii="宋体" w:hAnsi="宋体" w:eastAsia="宋体" w:cs="宋体"/>
          <w:bCs/>
          <w:color w:val="auto"/>
          <w:szCs w:val="28"/>
          <w:highlight w:val="none"/>
        </w:rPr>
        <w:t>安装配置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_Toc23809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112</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8B45256">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_Toc26025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6.</w:t>
      </w:r>
      <w:r>
        <w:rPr>
          <w:rFonts w:hint="eastAsia" w:ascii="宋体" w:hAnsi="宋体" w:eastAsia="宋体" w:cs="宋体"/>
          <w:bCs/>
          <w:color w:val="auto"/>
          <w:szCs w:val="28"/>
          <w:highlight w:val="none"/>
          <w:lang w:val="en-US" w:eastAsia="zh-CN"/>
        </w:rPr>
        <w:t>6</w:t>
      </w:r>
      <w:r>
        <w:rPr>
          <w:rFonts w:hint="eastAsia" w:ascii="宋体" w:hAnsi="宋体" w:eastAsia="宋体" w:cs="宋体"/>
          <w:bCs/>
          <w:color w:val="auto"/>
          <w:szCs w:val="28"/>
          <w:highlight w:val="none"/>
        </w:rPr>
        <w:t>测试与联调</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_Toc26025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113</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A4F57D1">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_Toc8810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6.</w:t>
      </w:r>
      <w:r>
        <w:rPr>
          <w:rFonts w:hint="eastAsia" w:ascii="宋体" w:hAnsi="宋体" w:eastAsia="宋体" w:cs="宋体"/>
          <w:bCs/>
          <w:color w:val="auto"/>
          <w:szCs w:val="28"/>
          <w:highlight w:val="none"/>
          <w:lang w:val="en-US" w:eastAsia="zh-CN"/>
        </w:rPr>
        <w:t>7</w:t>
      </w:r>
      <w:r>
        <w:rPr>
          <w:rFonts w:hint="eastAsia" w:ascii="宋体" w:hAnsi="宋体" w:eastAsia="宋体" w:cs="宋体"/>
          <w:bCs/>
          <w:color w:val="auto"/>
          <w:szCs w:val="28"/>
          <w:highlight w:val="none"/>
        </w:rPr>
        <w:t>系统初始化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113</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4FBFF5B">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_Toc10412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6.</w:t>
      </w:r>
      <w:r>
        <w:rPr>
          <w:rFonts w:hint="eastAsia" w:ascii="宋体" w:hAnsi="宋体" w:eastAsia="宋体" w:cs="宋体"/>
          <w:bCs/>
          <w:color w:val="auto"/>
          <w:szCs w:val="28"/>
          <w:highlight w:val="none"/>
          <w:lang w:val="en-US" w:eastAsia="zh-CN"/>
        </w:rPr>
        <w:t>8</w:t>
      </w:r>
      <w:r>
        <w:rPr>
          <w:rFonts w:hint="eastAsia" w:ascii="宋体" w:hAnsi="宋体" w:eastAsia="宋体" w:cs="宋体"/>
          <w:bCs/>
          <w:color w:val="auto"/>
          <w:szCs w:val="28"/>
          <w:highlight w:val="none"/>
        </w:rPr>
        <w:t>上线试运行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_Toc10412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113</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A9472C1">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_Toc24130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6.</w:t>
      </w:r>
      <w:r>
        <w:rPr>
          <w:rFonts w:hint="eastAsia" w:ascii="宋体" w:hAnsi="宋体" w:eastAsia="宋体" w:cs="宋体"/>
          <w:bCs/>
          <w:color w:val="auto"/>
          <w:szCs w:val="28"/>
          <w:highlight w:val="none"/>
          <w:lang w:val="en-US" w:eastAsia="zh-CN"/>
        </w:rPr>
        <w:t>9</w:t>
      </w:r>
      <w:r>
        <w:rPr>
          <w:rFonts w:hint="eastAsia" w:ascii="宋体" w:hAnsi="宋体" w:eastAsia="宋体" w:cs="宋体"/>
          <w:bCs/>
          <w:color w:val="auto"/>
          <w:szCs w:val="28"/>
          <w:highlight w:val="none"/>
        </w:rPr>
        <w:t>初步验收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_Toc24130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2ED262E">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_Toc10909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6.1</w:t>
      </w:r>
      <w:r>
        <w:rPr>
          <w:rFonts w:hint="eastAsia" w:ascii="宋体" w:hAnsi="宋体" w:eastAsia="宋体" w:cs="宋体"/>
          <w:bCs/>
          <w:color w:val="auto"/>
          <w:szCs w:val="28"/>
          <w:highlight w:val="none"/>
          <w:lang w:val="en-US" w:eastAsia="zh-CN"/>
        </w:rPr>
        <w:t>0</w:t>
      </w:r>
      <w:r>
        <w:rPr>
          <w:rFonts w:hint="eastAsia" w:ascii="宋体" w:hAnsi="宋体" w:eastAsia="宋体" w:cs="宋体"/>
          <w:bCs/>
          <w:color w:val="auto"/>
          <w:szCs w:val="28"/>
          <w:highlight w:val="none"/>
        </w:rPr>
        <w:t>系统维护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_Toc10909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245EB47">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_Toc11753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6.1</w:t>
      </w:r>
      <w:r>
        <w:rPr>
          <w:rFonts w:hint="eastAsia" w:ascii="宋体" w:hAnsi="宋体" w:eastAsia="宋体" w:cs="宋体"/>
          <w:bCs/>
          <w:color w:val="auto"/>
          <w:szCs w:val="28"/>
          <w:highlight w:val="none"/>
          <w:lang w:val="en-US" w:eastAsia="zh-CN"/>
        </w:rPr>
        <w:t>1</w:t>
      </w:r>
      <w:r>
        <w:rPr>
          <w:rFonts w:hint="eastAsia" w:ascii="宋体" w:hAnsi="宋体" w:eastAsia="宋体" w:cs="宋体"/>
          <w:bCs/>
          <w:color w:val="auto"/>
          <w:szCs w:val="28"/>
          <w:highlight w:val="none"/>
        </w:rPr>
        <w:t>最终验收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_Toc11753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0AEE350">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_Toc12271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6.1</w:t>
      </w:r>
      <w:r>
        <w:rPr>
          <w:rFonts w:hint="eastAsia" w:ascii="宋体" w:hAnsi="宋体" w:eastAsia="宋体" w:cs="宋体"/>
          <w:bCs/>
          <w:color w:val="auto"/>
          <w:szCs w:val="28"/>
          <w:highlight w:val="none"/>
          <w:lang w:val="en-US" w:eastAsia="zh-CN"/>
        </w:rPr>
        <w:t>2</w:t>
      </w:r>
      <w:r>
        <w:rPr>
          <w:rFonts w:hint="eastAsia" w:ascii="宋体" w:hAnsi="宋体" w:eastAsia="宋体" w:cs="宋体"/>
          <w:bCs/>
          <w:color w:val="auto"/>
          <w:szCs w:val="28"/>
          <w:highlight w:val="none"/>
        </w:rPr>
        <w:t>其他补充说明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_Toc12271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90C519C">
      <w:pPr>
        <w:pStyle w:val="16"/>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_Toc1194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7项目验收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70C4532">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_Toc5762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7.1项目验收的组织机构</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_Toc5762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1AF5AC8">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_Toc3986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7.2验收标准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2BAB7F1">
      <w:pPr>
        <w:pStyle w:val="13"/>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_Toc15496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7.2.1软件系统及开发实施部分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_Toc15496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EC23A68">
      <w:pPr>
        <w:pStyle w:val="13"/>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_Toc16736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7.2.2硬件采购部分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5D26983">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_Toc21274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7.3阶段成果确认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_Toc21274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B1DB162">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_Toc13015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7.4初步验收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_Toc13015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CC8DF55">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_Toc13263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lang w:val="en-US" w:eastAsia="zh-CN"/>
        </w:rPr>
        <w:t>7.5预验收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_Toc13263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117</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293CA8D">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_Toc29580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7.</w:t>
      </w:r>
      <w:r>
        <w:rPr>
          <w:rFonts w:hint="eastAsia" w:ascii="宋体" w:hAnsi="宋体" w:eastAsia="宋体" w:cs="宋体"/>
          <w:bCs/>
          <w:color w:val="auto"/>
          <w:szCs w:val="28"/>
          <w:highlight w:val="none"/>
          <w:lang w:val="en-US" w:eastAsia="zh-CN"/>
        </w:rPr>
        <w:t>6</w:t>
      </w:r>
      <w:r>
        <w:rPr>
          <w:rFonts w:hint="eastAsia" w:ascii="宋体" w:hAnsi="宋体" w:eastAsia="宋体" w:cs="宋体"/>
          <w:bCs/>
          <w:color w:val="auto"/>
          <w:szCs w:val="28"/>
          <w:highlight w:val="none"/>
        </w:rPr>
        <w:t>最终验收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_Toc29580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117</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0E7627E">
      <w:pPr>
        <w:pStyle w:val="16"/>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_Toc17116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8质保期及运维要求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_Toc17116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117</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6D3C0FB">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_Toc26118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8.1软件系统服务要求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_Toc26118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117</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1C175A2">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_Toc21289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8.2硬件系统服务要求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_Toc21289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86B158C">
      <w:pPr>
        <w:pStyle w:val="16"/>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_Toc9217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9实施管理要求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_Toc9217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CFBFF31">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_Toc28159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9.1项目组织要求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_Toc28159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3F5A4DF">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_Toc3398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9.2管理要求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_Toc3398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C451FC8">
      <w:pPr>
        <w:pStyle w:val="17"/>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_Toc2265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9.3后续服务支持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120</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B2738EF">
      <w:pPr>
        <w:pStyle w:val="16"/>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_Toc22103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10项目交付成果</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_Toc22103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120</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BC849DF">
      <w:pPr>
        <w:pStyle w:val="16"/>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_Toc2024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11项目总体进度计划</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122</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EB30E58">
      <w:pPr>
        <w:pStyle w:val="16"/>
        <w:tabs>
          <w:tab w:val="right" w:leader="dot" w:pos="8820"/>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_Toc21764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28"/>
          <w:highlight w:val="none"/>
        </w:rPr>
        <w:t>12工程量清单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_Toc21764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122</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79FDDB0">
      <w:pPr>
        <w:widowControl/>
        <w:jc w:val="left"/>
        <w:rPr>
          <w:color w:val="auto"/>
          <w:szCs w:val="22"/>
          <w:highlight w:val="none"/>
        </w:rPr>
        <w:sectPr>
          <w:footerReference r:id="rId8" w:type="default"/>
          <w:pgSz w:w="11906" w:h="16838"/>
          <w:pgMar w:top="1418" w:right="1418" w:bottom="1418" w:left="1418" w:header="851" w:footer="992" w:gutter="0"/>
          <w:cols w:space="720" w:num="1"/>
          <w:docGrid w:type="lines" w:linePitch="312" w:charSpace="0"/>
        </w:sectPr>
      </w:pPr>
      <w:r>
        <w:rPr>
          <w:rFonts w:hint="eastAsia" w:ascii="宋体" w:hAnsi="宋体" w:eastAsia="宋体" w:cs="宋体"/>
          <w:color w:val="auto"/>
          <w:szCs w:val="21"/>
          <w:highlight w:val="none"/>
        </w:rPr>
        <w:fldChar w:fldCharType="end"/>
      </w:r>
      <w:bookmarkStart w:id="889" w:name="_Toc289198136"/>
      <w:bookmarkStart w:id="890" w:name="_Toc1073"/>
    </w:p>
    <w:p w14:paraId="2EF2899A">
      <w:pPr>
        <w:widowControl/>
        <w:jc w:val="left"/>
        <w:rPr>
          <w:color w:val="auto"/>
          <w:szCs w:val="22"/>
          <w:highlight w:val="none"/>
        </w:rPr>
      </w:pPr>
    </w:p>
    <w:p w14:paraId="0DFF36EF">
      <w:pPr>
        <w:widowControl/>
        <w:spacing w:line="360" w:lineRule="auto"/>
        <w:jc w:val="left"/>
        <w:outlineLvl w:val="0"/>
        <w:rPr>
          <w:b/>
          <w:bCs/>
          <w:color w:val="auto"/>
          <w:sz w:val="28"/>
          <w:szCs w:val="28"/>
          <w:highlight w:val="none"/>
        </w:rPr>
      </w:pPr>
      <w:bookmarkStart w:id="891" w:name="_Toc19776"/>
      <w:bookmarkStart w:id="892" w:name="_Toc18825"/>
      <w:bookmarkStart w:id="893" w:name="_Toc10466"/>
      <w:bookmarkStart w:id="894" w:name="_Toc356"/>
      <w:bookmarkStart w:id="895" w:name="_Toc23609"/>
      <w:bookmarkStart w:id="896" w:name="_Toc8310"/>
      <w:bookmarkStart w:id="897" w:name="_Toc9540"/>
      <w:r>
        <w:rPr>
          <w:b/>
          <w:bCs/>
          <w:color w:val="auto"/>
          <w:sz w:val="28"/>
          <w:szCs w:val="28"/>
          <w:highlight w:val="none"/>
        </w:rPr>
        <w:t>1总体说明</w:t>
      </w:r>
      <w:bookmarkEnd w:id="891"/>
      <w:bookmarkEnd w:id="892"/>
      <w:bookmarkEnd w:id="893"/>
      <w:bookmarkEnd w:id="894"/>
      <w:bookmarkEnd w:id="895"/>
      <w:bookmarkEnd w:id="896"/>
      <w:bookmarkEnd w:id="897"/>
    </w:p>
    <w:p w14:paraId="7A5EF6F9">
      <w:pPr>
        <w:spacing w:line="360" w:lineRule="auto"/>
        <w:jc w:val="left"/>
        <w:outlineLvl w:val="1"/>
        <w:rPr>
          <w:b/>
          <w:bCs/>
          <w:color w:val="auto"/>
          <w:sz w:val="28"/>
          <w:szCs w:val="28"/>
          <w:highlight w:val="none"/>
        </w:rPr>
      </w:pPr>
      <w:bookmarkStart w:id="898" w:name="_Toc18191"/>
      <w:bookmarkStart w:id="899" w:name="_Toc27682"/>
      <w:bookmarkStart w:id="900" w:name="_Toc19087"/>
      <w:bookmarkStart w:id="901" w:name="_Toc13262"/>
      <w:r>
        <w:rPr>
          <w:b/>
          <w:bCs/>
          <w:color w:val="auto"/>
          <w:sz w:val="28"/>
          <w:szCs w:val="28"/>
          <w:highlight w:val="none"/>
        </w:rPr>
        <w:t>1.1总则</w:t>
      </w:r>
      <w:bookmarkEnd w:id="898"/>
      <w:bookmarkEnd w:id="899"/>
      <w:bookmarkEnd w:id="900"/>
      <w:bookmarkEnd w:id="901"/>
    </w:p>
    <w:p w14:paraId="724F77E1">
      <w:pPr>
        <w:widowControl/>
        <w:ind w:firstLine="560" w:firstLineChars="200"/>
        <w:jc w:val="left"/>
        <w:rPr>
          <w:color w:val="auto"/>
          <w:sz w:val="28"/>
          <w:szCs w:val="28"/>
          <w:highlight w:val="none"/>
        </w:rPr>
      </w:pPr>
      <w:r>
        <w:rPr>
          <w:color w:val="auto"/>
          <w:sz w:val="28"/>
          <w:szCs w:val="28"/>
          <w:highlight w:val="none"/>
        </w:rPr>
        <w:t>1.1.1投标人应根据本用户需求书，制订针对控制保护区综合管理系统项目的整体实施方案，实施方案应在充分满足本用户需求、确保质量的前提下，综合考虑工期、成本、风险等因素。</w:t>
      </w:r>
    </w:p>
    <w:p w14:paraId="214C4FD8">
      <w:pPr>
        <w:widowControl/>
        <w:ind w:firstLine="560" w:firstLineChars="200"/>
        <w:jc w:val="left"/>
        <w:rPr>
          <w:color w:val="auto"/>
          <w:sz w:val="28"/>
          <w:szCs w:val="28"/>
          <w:highlight w:val="none"/>
        </w:rPr>
      </w:pPr>
      <w:r>
        <w:rPr>
          <w:color w:val="auto"/>
          <w:sz w:val="28"/>
          <w:szCs w:val="28"/>
          <w:highlight w:val="none"/>
        </w:rPr>
        <w:t>1.1.2投标人对本需求书中所有条款必须逐条对应、明确答复和提出详细的技术建议，详细写明参数、规格或方案内容；投标方案中的软件系统参数及硬件设备规格参数等不低于本需求书的要求。</w:t>
      </w:r>
    </w:p>
    <w:p w14:paraId="1EBD9969">
      <w:pPr>
        <w:widowControl/>
        <w:ind w:firstLine="560" w:firstLineChars="200"/>
        <w:jc w:val="left"/>
        <w:rPr>
          <w:color w:val="auto"/>
          <w:sz w:val="28"/>
          <w:szCs w:val="28"/>
          <w:highlight w:val="none"/>
        </w:rPr>
      </w:pPr>
      <w:r>
        <w:rPr>
          <w:color w:val="auto"/>
          <w:sz w:val="28"/>
          <w:szCs w:val="28"/>
          <w:highlight w:val="none"/>
        </w:rPr>
        <w:t>1.1.3投标人必须承诺，如本项目中标，在项目实施期间，若因其技术过失、系统缺陷、管理不当、延误工期、违反法律、引发事故，对招标人或其自身造成损失，投标人应负全责并承担所有相关费用。</w:t>
      </w:r>
    </w:p>
    <w:p w14:paraId="5412BA39">
      <w:pPr>
        <w:widowControl/>
        <w:ind w:firstLine="560" w:firstLineChars="200"/>
        <w:jc w:val="left"/>
        <w:rPr>
          <w:color w:val="auto"/>
          <w:sz w:val="28"/>
          <w:szCs w:val="28"/>
          <w:highlight w:val="none"/>
        </w:rPr>
      </w:pPr>
      <w:r>
        <w:rPr>
          <w:color w:val="auto"/>
          <w:sz w:val="28"/>
          <w:szCs w:val="28"/>
          <w:highlight w:val="none"/>
        </w:rPr>
        <w:t>1.1.4投标人在开展硬件设备安装过程中，应充分考虑1号线各车站环境可能对硬件安装造成影响。</w:t>
      </w:r>
    </w:p>
    <w:p w14:paraId="598D9E36">
      <w:pPr>
        <w:widowControl/>
        <w:ind w:firstLine="560" w:firstLineChars="200"/>
        <w:jc w:val="left"/>
        <w:rPr>
          <w:color w:val="auto"/>
          <w:sz w:val="28"/>
          <w:szCs w:val="28"/>
          <w:highlight w:val="none"/>
        </w:rPr>
      </w:pPr>
      <w:r>
        <w:rPr>
          <w:color w:val="auto"/>
          <w:sz w:val="28"/>
          <w:szCs w:val="28"/>
          <w:highlight w:val="none"/>
        </w:rPr>
        <w:t>1.1.5本项目相关的资料文件仅限本项目使用，不得以任何形式外传。</w:t>
      </w:r>
    </w:p>
    <w:p w14:paraId="5151E6D0">
      <w:pPr>
        <w:widowControl/>
        <w:ind w:firstLine="560" w:firstLineChars="200"/>
        <w:jc w:val="left"/>
        <w:rPr>
          <w:color w:val="auto"/>
          <w:sz w:val="28"/>
          <w:szCs w:val="28"/>
          <w:highlight w:val="none"/>
        </w:rPr>
      </w:pPr>
      <w:r>
        <w:rPr>
          <w:color w:val="auto"/>
          <w:sz w:val="28"/>
          <w:szCs w:val="28"/>
          <w:highlight w:val="none"/>
        </w:rPr>
        <w:t>1.1.6投标人提交的所有文件应使用简体中文。</w:t>
      </w:r>
    </w:p>
    <w:p w14:paraId="4DBDC7A5">
      <w:pPr>
        <w:widowControl/>
        <w:ind w:firstLine="560" w:firstLineChars="200"/>
        <w:jc w:val="left"/>
        <w:rPr>
          <w:color w:val="auto"/>
          <w:sz w:val="28"/>
          <w:szCs w:val="28"/>
          <w:highlight w:val="none"/>
        </w:rPr>
      </w:pPr>
      <w:r>
        <w:rPr>
          <w:color w:val="auto"/>
          <w:sz w:val="28"/>
          <w:szCs w:val="28"/>
          <w:highlight w:val="none"/>
        </w:rPr>
        <w:t>1.1.7本用户需求的解释权归招标人。</w:t>
      </w:r>
    </w:p>
    <w:p w14:paraId="758C38DC">
      <w:pPr>
        <w:spacing w:line="360" w:lineRule="auto"/>
        <w:jc w:val="left"/>
        <w:outlineLvl w:val="1"/>
        <w:rPr>
          <w:b/>
          <w:bCs/>
          <w:color w:val="auto"/>
          <w:sz w:val="28"/>
          <w:szCs w:val="28"/>
          <w:highlight w:val="none"/>
        </w:rPr>
      </w:pPr>
      <w:bookmarkStart w:id="902" w:name="_Toc19232"/>
      <w:bookmarkStart w:id="903" w:name="_Toc22922"/>
      <w:bookmarkStart w:id="904" w:name="_Toc26450"/>
      <w:bookmarkStart w:id="905" w:name="_Toc22282"/>
      <w:r>
        <w:rPr>
          <w:b/>
          <w:bCs/>
          <w:color w:val="auto"/>
          <w:sz w:val="28"/>
          <w:szCs w:val="28"/>
          <w:highlight w:val="none"/>
        </w:rPr>
        <w:t>1.2名词约定</w:t>
      </w:r>
      <w:bookmarkEnd w:id="902"/>
      <w:bookmarkEnd w:id="903"/>
      <w:bookmarkEnd w:id="904"/>
      <w:bookmarkEnd w:id="905"/>
    </w:p>
    <w:p w14:paraId="416E8275">
      <w:pPr>
        <w:widowControl/>
        <w:ind w:firstLine="560" w:firstLineChars="200"/>
        <w:jc w:val="left"/>
        <w:rPr>
          <w:color w:val="auto"/>
          <w:sz w:val="28"/>
          <w:szCs w:val="28"/>
          <w:highlight w:val="none"/>
        </w:rPr>
      </w:pPr>
      <w:r>
        <w:rPr>
          <w:color w:val="auto"/>
          <w:sz w:val="28"/>
          <w:szCs w:val="28"/>
          <w:highlight w:val="none"/>
        </w:rPr>
        <w:t>1.2.1招标人：东莞市轨道一号线建设发展有限公司，也称招标人，合同签订后称甲方。</w:t>
      </w:r>
    </w:p>
    <w:p w14:paraId="10E6CFC7">
      <w:pPr>
        <w:widowControl/>
        <w:ind w:firstLine="560" w:firstLineChars="200"/>
        <w:jc w:val="left"/>
        <w:rPr>
          <w:color w:val="auto"/>
          <w:sz w:val="28"/>
          <w:szCs w:val="28"/>
          <w:highlight w:val="none"/>
        </w:rPr>
      </w:pPr>
      <w:r>
        <w:rPr>
          <w:color w:val="auto"/>
          <w:sz w:val="28"/>
          <w:szCs w:val="28"/>
          <w:highlight w:val="none"/>
        </w:rPr>
        <w:t>1.2.2投标人：本项目的投标方，为满足本项目投标条件，购买了本招标文件并递交有效投标文件的公司。其中与招标人签定合同的中标方称为乙方。</w:t>
      </w:r>
    </w:p>
    <w:p w14:paraId="47988808">
      <w:pPr>
        <w:spacing w:line="360" w:lineRule="auto"/>
        <w:outlineLvl w:val="0"/>
        <w:rPr>
          <w:b/>
          <w:bCs/>
          <w:color w:val="auto"/>
          <w:sz w:val="28"/>
          <w:szCs w:val="28"/>
          <w:highlight w:val="none"/>
        </w:rPr>
      </w:pPr>
      <w:bookmarkStart w:id="906" w:name="_Toc18559"/>
      <w:bookmarkStart w:id="907" w:name="_Toc29460"/>
      <w:bookmarkStart w:id="908" w:name="_Toc26090"/>
      <w:bookmarkStart w:id="909" w:name="_Toc354"/>
      <w:r>
        <w:rPr>
          <w:b/>
          <w:bCs/>
          <w:color w:val="auto"/>
          <w:sz w:val="28"/>
          <w:szCs w:val="28"/>
          <w:highlight w:val="none"/>
        </w:rPr>
        <w:t>2项目概况</w:t>
      </w:r>
      <w:bookmarkEnd w:id="889"/>
      <w:bookmarkEnd w:id="890"/>
      <w:bookmarkEnd w:id="906"/>
      <w:bookmarkEnd w:id="907"/>
      <w:bookmarkEnd w:id="908"/>
      <w:bookmarkEnd w:id="909"/>
    </w:p>
    <w:p w14:paraId="138E2CB7">
      <w:pPr>
        <w:spacing w:line="360" w:lineRule="auto"/>
        <w:outlineLvl w:val="0"/>
        <w:rPr>
          <w:rFonts w:hint="eastAsia"/>
          <w:b/>
          <w:bCs/>
          <w:color w:val="auto"/>
          <w:sz w:val="28"/>
          <w:szCs w:val="28"/>
          <w:highlight w:val="none"/>
          <w:lang w:val="en-US" w:eastAsia="zh-CN"/>
        </w:rPr>
      </w:pPr>
      <w:bookmarkStart w:id="910" w:name="_Toc22297"/>
      <w:r>
        <w:rPr>
          <w:rFonts w:hint="eastAsia"/>
          <w:b/>
          <w:bCs/>
          <w:color w:val="auto"/>
          <w:sz w:val="28"/>
          <w:szCs w:val="28"/>
          <w:highlight w:val="none"/>
          <w:lang w:val="en-US" w:eastAsia="zh-CN"/>
        </w:rPr>
        <w:t>2.1 规范与标准</w:t>
      </w:r>
      <w:bookmarkEnd w:id="910"/>
    </w:p>
    <w:p w14:paraId="67E428B1">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8"/>
          <w:szCs w:val="28"/>
          <w:highlight w:val="none"/>
          <w:lang w:val="en-US" w:eastAsia="zh-CN"/>
        </w:rPr>
      </w:pPr>
      <w:r>
        <w:rPr>
          <w:rFonts w:hint="eastAsia"/>
          <w:color w:val="auto"/>
          <w:sz w:val="28"/>
          <w:szCs w:val="28"/>
          <w:highlight w:val="none"/>
          <w:lang w:val="en-US" w:eastAsia="zh-CN"/>
        </w:rPr>
        <w:t>1)</w:t>
      </w:r>
      <w:r>
        <w:rPr>
          <w:rFonts w:hint="default"/>
          <w:color w:val="auto"/>
          <w:sz w:val="28"/>
          <w:szCs w:val="28"/>
          <w:highlight w:val="none"/>
          <w:lang w:val="en-US" w:eastAsia="zh-CN"/>
        </w:rPr>
        <w:t>《城市轨道交通条例》（国务院令第793号）</w:t>
      </w:r>
    </w:p>
    <w:p w14:paraId="1C167DD6">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8"/>
          <w:szCs w:val="28"/>
          <w:highlight w:val="none"/>
          <w:lang w:val="en-US" w:eastAsia="zh-CN"/>
        </w:rPr>
      </w:pPr>
      <w:r>
        <w:rPr>
          <w:rFonts w:hint="eastAsia"/>
          <w:color w:val="auto"/>
          <w:sz w:val="28"/>
          <w:szCs w:val="28"/>
          <w:highlight w:val="none"/>
          <w:lang w:val="en-US" w:eastAsia="zh-CN"/>
        </w:rPr>
        <w:t>2)</w:t>
      </w:r>
      <w:r>
        <w:rPr>
          <w:rFonts w:hint="default"/>
          <w:color w:val="auto"/>
          <w:sz w:val="28"/>
          <w:szCs w:val="28"/>
          <w:highlight w:val="none"/>
          <w:lang w:val="en-US" w:eastAsia="zh-CN"/>
        </w:rPr>
        <w:t>《广东省城市轨道交通运营安全管理办法》</w:t>
      </w:r>
    </w:p>
    <w:p w14:paraId="276E3FA4">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8"/>
          <w:szCs w:val="28"/>
          <w:highlight w:val="none"/>
          <w:lang w:val="en-US" w:eastAsia="zh-CN"/>
        </w:rPr>
      </w:pPr>
      <w:r>
        <w:rPr>
          <w:rFonts w:hint="eastAsia"/>
          <w:color w:val="auto"/>
          <w:sz w:val="28"/>
          <w:szCs w:val="28"/>
          <w:highlight w:val="none"/>
          <w:lang w:val="en-US" w:eastAsia="zh-CN"/>
        </w:rPr>
        <w:t>3)</w:t>
      </w:r>
      <w:r>
        <w:rPr>
          <w:rFonts w:hint="default"/>
          <w:color w:val="auto"/>
          <w:sz w:val="28"/>
          <w:szCs w:val="28"/>
          <w:highlight w:val="none"/>
          <w:lang w:val="en-US" w:eastAsia="zh-CN"/>
        </w:rPr>
        <w:t>《城市轨道交通结构安全保护技术规范》（CJJ/T202-2013）</w:t>
      </w:r>
    </w:p>
    <w:p w14:paraId="482FB4F6">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8"/>
          <w:szCs w:val="28"/>
          <w:highlight w:val="none"/>
          <w:lang w:val="en-US" w:eastAsia="zh-CN"/>
        </w:rPr>
      </w:pPr>
      <w:r>
        <w:rPr>
          <w:rFonts w:hint="eastAsia"/>
          <w:color w:val="auto"/>
          <w:sz w:val="28"/>
          <w:szCs w:val="28"/>
          <w:highlight w:val="none"/>
          <w:lang w:val="en-US" w:eastAsia="zh-CN"/>
        </w:rPr>
        <w:t>4)</w:t>
      </w:r>
      <w:r>
        <w:rPr>
          <w:rFonts w:hint="default"/>
          <w:color w:val="auto"/>
          <w:sz w:val="28"/>
          <w:szCs w:val="28"/>
          <w:highlight w:val="none"/>
          <w:lang w:val="en-US" w:eastAsia="zh-CN"/>
        </w:rPr>
        <w:t>《城市轨道交通既有结构安全保护技术规范》（DBJ/T15-120-2017）</w:t>
      </w:r>
    </w:p>
    <w:p w14:paraId="63A63ADD">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8"/>
          <w:szCs w:val="28"/>
          <w:highlight w:val="none"/>
          <w:lang w:val="en-US" w:eastAsia="zh-CN"/>
        </w:rPr>
      </w:pPr>
      <w:r>
        <w:rPr>
          <w:rFonts w:hint="eastAsia"/>
          <w:color w:val="auto"/>
          <w:sz w:val="28"/>
          <w:szCs w:val="28"/>
          <w:highlight w:val="none"/>
          <w:lang w:val="en-US" w:eastAsia="zh-CN"/>
        </w:rPr>
        <w:t>5)</w:t>
      </w:r>
      <w:r>
        <w:rPr>
          <w:rFonts w:hint="default"/>
          <w:color w:val="auto"/>
          <w:sz w:val="28"/>
          <w:szCs w:val="28"/>
          <w:highlight w:val="none"/>
          <w:lang w:val="en-US" w:eastAsia="zh-CN"/>
        </w:rPr>
        <w:t>《城市轨道交通既有结构保护监测技术标准》（DBJ/T15-231-2021）</w:t>
      </w:r>
    </w:p>
    <w:p w14:paraId="6BE10F1C">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8"/>
          <w:szCs w:val="28"/>
          <w:highlight w:val="none"/>
          <w:lang w:val="en-US" w:eastAsia="zh-CN"/>
        </w:rPr>
      </w:pPr>
      <w:r>
        <w:rPr>
          <w:rFonts w:hint="eastAsia"/>
          <w:color w:val="auto"/>
          <w:sz w:val="28"/>
          <w:szCs w:val="28"/>
          <w:highlight w:val="none"/>
          <w:lang w:val="en-US" w:eastAsia="zh-CN"/>
        </w:rPr>
        <w:t>6)</w:t>
      </w:r>
      <w:r>
        <w:rPr>
          <w:rFonts w:hint="default"/>
          <w:color w:val="auto"/>
          <w:sz w:val="28"/>
          <w:szCs w:val="28"/>
          <w:highlight w:val="none"/>
          <w:lang w:val="en-US" w:eastAsia="zh-CN"/>
        </w:rPr>
        <w:t>《轻小无人机运行规定（试行）》2015.12.29</w:t>
      </w:r>
    </w:p>
    <w:p w14:paraId="023B5AC6">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8"/>
          <w:szCs w:val="28"/>
          <w:highlight w:val="none"/>
          <w:lang w:val="en-US" w:eastAsia="zh-CN"/>
        </w:rPr>
      </w:pPr>
      <w:r>
        <w:rPr>
          <w:rFonts w:hint="eastAsia"/>
          <w:color w:val="auto"/>
          <w:sz w:val="28"/>
          <w:szCs w:val="28"/>
          <w:highlight w:val="none"/>
          <w:lang w:val="en-US" w:eastAsia="zh-CN"/>
        </w:rPr>
        <w:t>7)</w:t>
      </w:r>
      <w:r>
        <w:rPr>
          <w:rFonts w:hint="default"/>
          <w:color w:val="auto"/>
          <w:sz w:val="28"/>
          <w:szCs w:val="28"/>
          <w:highlight w:val="none"/>
          <w:lang w:val="en-US" w:eastAsia="zh-CN"/>
        </w:rPr>
        <w:t>《无人驾驶航空器飞行管理暂行条例》2024.01.01</w:t>
      </w:r>
    </w:p>
    <w:p w14:paraId="01E220EF">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8"/>
          <w:szCs w:val="28"/>
          <w:highlight w:val="none"/>
          <w:lang w:val="en-US" w:eastAsia="zh-CN"/>
        </w:rPr>
      </w:pPr>
      <w:r>
        <w:rPr>
          <w:rFonts w:hint="eastAsia"/>
          <w:color w:val="auto"/>
          <w:sz w:val="28"/>
          <w:szCs w:val="28"/>
          <w:highlight w:val="none"/>
          <w:lang w:val="en-US" w:eastAsia="zh-CN"/>
        </w:rPr>
        <w:t>8)</w:t>
      </w:r>
      <w:r>
        <w:rPr>
          <w:rFonts w:hint="default"/>
          <w:color w:val="auto"/>
          <w:sz w:val="28"/>
          <w:szCs w:val="28"/>
          <w:highlight w:val="none"/>
          <w:lang w:val="en-US" w:eastAsia="zh-CN"/>
        </w:rPr>
        <w:t>《民用无人机驾驶员管理规定》2018.08.31</w:t>
      </w:r>
    </w:p>
    <w:p w14:paraId="2EE85A7A">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8"/>
          <w:szCs w:val="28"/>
          <w:highlight w:val="none"/>
          <w:lang w:val="en-US" w:eastAsia="zh-CN"/>
        </w:rPr>
      </w:pPr>
      <w:r>
        <w:rPr>
          <w:rFonts w:hint="eastAsia"/>
          <w:color w:val="auto"/>
          <w:sz w:val="28"/>
          <w:szCs w:val="28"/>
          <w:highlight w:val="none"/>
          <w:lang w:val="en-US" w:eastAsia="zh-CN"/>
        </w:rPr>
        <w:t>9)</w:t>
      </w:r>
      <w:r>
        <w:rPr>
          <w:rFonts w:hint="default"/>
          <w:color w:val="auto"/>
          <w:sz w:val="28"/>
          <w:szCs w:val="28"/>
          <w:highlight w:val="none"/>
          <w:lang w:val="en-US" w:eastAsia="zh-CN"/>
        </w:rPr>
        <w:t>《无人机航摄安全作业基本要求》CH／Z 3001</w:t>
      </w:r>
    </w:p>
    <w:p w14:paraId="771F4150">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8"/>
          <w:szCs w:val="28"/>
          <w:highlight w:val="none"/>
          <w:lang w:val="en-US" w:eastAsia="zh-CN"/>
        </w:rPr>
      </w:pPr>
      <w:r>
        <w:rPr>
          <w:rFonts w:hint="eastAsia"/>
          <w:color w:val="auto"/>
          <w:sz w:val="28"/>
          <w:szCs w:val="28"/>
          <w:highlight w:val="none"/>
          <w:lang w:val="en-US" w:eastAsia="zh-CN"/>
        </w:rPr>
        <w:t>10)</w:t>
      </w:r>
      <w:r>
        <w:rPr>
          <w:rFonts w:hint="default"/>
          <w:color w:val="auto"/>
          <w:sz w:val="28"/>
          <w:szCs w:val="28"/>
          <w:highlight w:val="none"/>
          <w:lang w:val="en-US" w:eastAsia="zh-CN"/>
        </w:rPr>
        <w:t>《无人机航摄系统技术要求》CH／Z 3002</w:t>
      </w:r>
    </w:p>
    <w:p w14:paraId="69591AAD">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8"/>
          <w:szCs w:val="28"/>
          <w:highlight w:val="none"/>
          <w:lang w:val="en-US" w:eastAsia="zh-CN"/>
        </w:rPr>
      </w:pPr>
      <w:r>
        <w:rPr>
          <w:rFonts w:hint="eastAsia"/>
          <w:color w:val="auto"/>
          <w:sz w:val="28"/>
          <w:szCs w:val="28"/>
          <w:highlight w:val="none"/>
          <w:lang w:val="en-US" w:eastAsia="zh-CN"/>
        </w:rPr>
        <w:t>11)</w:t>
      </w:r>
      <w:r>
        <w:rPr>
          <w:rFonts w:hint="default"/>
          <w:color w:val="auto"/>
          <w:sz w:val="28"/>
          <w:szCs w:val="28"/>
          <w:highlight w:val="none"/>
          <w:lang w:val="en-US" w:eastAsia="zh-CN"/>
        </w:rPr>
        <w:t>《低空数字航空摄影规范》CH／Z 3005</w:t>
      </w:r>
    </w:p>
    <w:p w14:paraId="350D05F5">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8"/>
          <w:szCs w:val="28"/>
          <w:highlight w:val="none"/>
          <w:lang w:val="en-US" w:eastAsia="zh-CN"/>
        </w:rPr>
      </w:pPr>
      <w:r>
        <w:rPr>
          <w:rFonts w:hint="eastAsia"/>
          <w:color w:val="auto"/>
          <w:sz w:val="28"/>
          <w:szCs w:val="28"/>
          <w:highlight w:val="none"/>
          <w:lang w:val="en-US" w:eastAsia="zh-CN"/>
        </w:rPr>
        <w:t>12）</w:t>
      </w:r>
      <w:r>
        <w:rPr>
          <w:rFonts w:hint="default"/>
          <w:color w:val="auto"/>
          <w:sz w:val="28"/>
          <w:szCs w:val="28"/>
          <w:highlight w:val="none"/>
          <w:lang w:val="en-US" w:eastAsia="zh-CN"/>
        </w:rPr>
        <w:t>《工业、企业、企业通信设计规范》GBJ42-81</w:t>
      </w:r>
    </w:p>
    <w:p w14:paraId="0E2B6BF8">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8"/>
          <w:szCs w:val="28"/>
          <w:highlight w:val="none"/>
          <w:lang w:val="en-US" w:eastAsia="zh-CN"/>
        </w:rPr>
      </w:pPr>
      <w:r>
        <w:rPr>
          <w:rFonts w:hint="eastAsia"/>
          <w:color w:val="auto"/>
          <w:sz w:val="28"/>
          <w:szCs w:val="28"/>
          <w:highlight w:val="none"/>
          <w:lang w:val="en-US" w:eastAsia="zh-CN"/>
        </w:rPr>
        <w:t>13）</w:t>
      </w:r>
      <w:r>
        <w:rPr>
          <w:rFonts w:hint="default"/>
          <w:color w:val="auto"/>
          <w:sz w:val="28"/>
          <w:szCs w:val="28"/>
          <w:highlight w:val="none"/>
          <w:lang w:val="en-US" w:eastAsia="zh-CN"/>
        </w:rPr>
        <w:t>《中华人民共和国公共安全行业标准》GA／36-2014</w:t>
      </w:r>
    </w:p>
    <w:p w14:paraId="36221A85">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8"/>
          <w:szCs w:val="28"/>
          <w:highlight w:val="none"/>
          <w:lang w:val="en-US" w:eastAsia="zh-CN"/>
        </w:rPr>
      </w:pPr>
      <w:r>
        <w:rPr>
          <w:rFonts w:hint="eastAsia"/>
          <w:color w:val="auto"/>
          <w:sz w:val="28"/>
          <w:szCs w:val="28"/>
          <w:highlight w:val="none"/>
          <w:lang w:val="en-US" w:eastAsia="zh-CN"/>
        </w:rPr>
        <w:t>14）</w:t>
      </w:r>
      <w:r>
        <w:rPr>
          <w:rFonts w:hint="default"/>
          <w:color w:val="auto"/>
          <w:sz w:val="28"/>
          <w:szCs w:val="28"/>
          <w:highlight w:val="none"/>
          <w:lang w:val="en-US" w:eastAsia="zh-CN"/>
        </w:rPr>
        <w:t>《关于印发＜信息安全等级保护管理办法＞的通知》公通字（2007）43号</w:t>
      </w:r>
    </w:p>
    <w:p w14:paraId="12517BAA">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8"/>
          <w:szCs w:val="28"/>
          <w:highlight w:val="none"/>
          <w:lang w:val="en-US" w:eastAsia="zh-CN"/>
        </w:rPr>
      </w:pPr>
      <w:r>
        <w:rPr>
          <w:rFonts w:hint="eastAsia"/>
          <w:color w:val="auto"/>
          <w:sz w:val="28"/>
          <w:szCs w:val="28"/>
          <w:highlight w:val="none"/>
          <w:lang w:val="en-US" w:eastAsia="zh-CN"/>
        </w:rPr>
        <w:t>15）</w:t>
      </w:r>
      <w:r>
        <w:rPr>
          <w:rFonts w:hint="default"/>
          <w:color w:val="auto"/>
          <w:sz w:val="28"/>
          <w:szCs w:val="28"/>
          <w:highlight w:val="none"/>
          <w:lang w:val="en-US" w:eastAsia="zh-CN"/>
        </w:rPr>
        <w:t>《关于开展全国重要信息系统安全等级保护定级工作的通知》公信安（2007）861号</w:t>
      </w:r>
    </w:p>
    <w:p w14:paraId="51695856">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8"/>
          <w:szCs w:val="28"/>
          <w:highlight w:val="none"/>
          <w:lang w:val="en-US" w:eastAsia="zh-CN"/>
        </w:rPr>
      </w:pPr>
      <w:r>
        <w:rPr>
          <w:rFonts w:hint="eastAsia"/>
          <w:color w:val="auto"/>
          <w:sz w:val="28"/>
          <w:szCs w:val="28"/>
          <w:highlight w:val="none"/>
          <w:lang w:val="en-US" w:eastAsia="zh-CN"/>
        </w:rPr>
        <w:t>16）</w:t>
      </w:r>
      <w:r>
        <w:rPr>
          <w:rFonts w:hint="default"/>
          <w:color w:val="auto"/>
          <w:sz w:val="28"/>
          <w:szCs w:val="28"/>
          <w:highlight w:val="none"/>
          <w:lang w:val="en-US" w:eastAsia="zh-CN"/>
        </w:rPr>
        <w:t>《中华人民共和国计算机信息系统安全保护条例》（国务院令第147号）</w:t>
      </w:r>
    </w:p>
    <w:p w14:paraId="700F1B9B">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8"/>
          <w:szCs w:val="28"/>
          <w:highlight w:val="none"/>
          <w:lang w:val="en-US" w:eastAsia="zh-CN"/>
        </w:rPr>
      </w:pPr>
      <w:r>
        <w:rPr>
          <w:rFonts w:hint="eastAsia"/>
          <w:color w:val="auto"/>
          <w:sz w:val="28"/>
          <w:szCs w:val="28"/>
          <w:highlight w:val="none"/>
          <w:lang w:val="en-US" w:eastAsia="zh-CN"/>
        </w:rPr>
        <w:t>17）</w:t>
      </w:r>
      <w:r>
        <w:rPr>
          <w:rFonts w:hint="default"/>
          <w:color w:val="auto"/>
          <w:sz w:val="28"/>
          <w:szCs w:val="28"/>
          <w:highlight w:val="none"/>
          <w:lang w:val="en-US" w:eastAsia="zh-CN"/>
        </w:rPr>
        <w:t>《信息系统安全等级保护基本要求》（GB/T 22239-2008）</w:t>
      </w:r>
    </w:p>
    <w:p w14:paraId="5C596D52">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sz w:val="28"/>
          <w:szCs w:val="28"/>
          <w:highlight w:val="none"/>
          <w:lang w:val="en-US" w:eastAsia="zh-CN"/>
        </w:rPr>
      </w:pPr>
      <w:r>
        <w:rPr>
          <w:rFonts w:hint="eastAsia"/>
          <w:color w:val="auto"/>
          <w:sz w:val="28"/>
          <w:szCs w:val="28"/>
          <w:highlight w:val="none"/>
          <w:lang w:val="en-US" w:eastAsia="zh-CN"/>
        </w:rPr>
        <w:t>18）</w:t>
      </w:r>
      <w:r>
        <w:rPr>
          <w:rFonts w:hint="default"/>
          <w:color w:val="auto"/>
          <w:sz w:val="28"/>
          <w:szCs w:val="28"/>
          <w:highlight w:val="none"/>
          <w:lang w:val="en-US" w:eastAsia="zh-CN"/>
        </w:rPr>
        <w:t>《信息系统等级保护安全设计技术要求》（GB/T 25070-2010）</w:t>
      </w:r>
    </w:p>
    <w:p w14:paraId="61FC3F6D">
      <w:pPr>
        <w:spacing w:line="360" w:lineRule="auto"/>
        <w:outlineLvl w:val="0"/>
        <w:rPr>
          <w:rFonts w:hint="eastAsia"/>
          <w:b/>
          <w:bCs/>
          <w:color w:val="auto"/>
          <w:sz w:val="28"/>
          <w:szCs w:val="28"/>
          <w:highlight w:val="none"/>
          <w:lang w:val="en-US" w:eastAsia="zh-CN"/>
        </w:rPr>
      </w:pPr>
      <w:bookmarkStart w:id="911" w:name="_Toc9569"/>
      <w:bookmarkStart w:id="912" w:name="_Toc22918"/>
      <w:bookmarkStart w:id="913" w:name="_Toc2137081524"/>
      <w:bookmarkStart w:id="914" w:name="_Toc1914409076"/>
      <w:bookmarkStart w:id="915" w:name="_Toc351"/>
      <w:bookmarkStart w:id="916" w:name="_Toc875751854"/>
      <w:bookmarkStart w:id="917" w:name="_Toc11554"/>
      <w:bookmarkStart w:id="918" w:name="_Toc290022247"/>
      <w:bookmarkStart w:id="919" w:name="_Toc10828"/>
      <w:bookmarkStart w:id="920" w:name="_Toc28157"/>
      <w:bookmarkStart w:id="921" w:name="_Toc19312"/>
      <w:bookmarkStart w:id="922" w:name="_Toc22862"/>
      <w:bookmarkStart w:id="923" w:name="_Toc289198421"/>
      <w:r>
        <w:rPr>
          <w:rFonts w:hint="eastAsia"/>
          <w:b/>
          <w:bCs/>
          <w:color w:val="auto"/>
          <w:sz w:val="28"/>
          <w:szCs w:val="28"/>
          <w:highlight w:val="none"/>
          <w:lang w:val="en-US" w:eastAsia="zh-CN"/>
        </w:rPr>
        <w:t>2.2建设背景</w:t>
      </w:r>
      <w:bookmarkEnd w:id="911"/>
      <w:bookmarkEnd w:id="912"/>
      <w:bookmarkEnd w:id="913"/>
      <w:bookmarkEnd w:id="914"/>
      <w:bookmarkEnd w:id="915"/>
      <w:bookmarkEnd w:id="916"/>
      <w:bookmarkEnd w:id="917"/>
      <w:bookmarkEnd w:id="918"/>
      <w:bookmarkEnd w:id="919"/>
      <w:bookmarkEnd w:id="920"/>
      <w:bookmarkEnd w:id="921"/>
      <w:bookmarkEnd w:id="922"/>
    </w:p>
    <w:p w14:paraId="7F07AE4E">
      <w:pPr>
        <w:ind w:firstLine="560" w:firstLineChars="200"/>
        <w:rPr>
          <w:color w:val="auto"/>
          <w:sz w:val="28"/>
          <w:szCs w:val="28"/>
          <w:highlight w:val="none"/>
        </w:rPr>
      </w:pPr>
      <w:r>
        <w:rPr>
          <w:color w:val="auto"/>
          <w:sz w:val="28"/>
          <w:szCs w:val="28"/>
          <w:highlight w:val="none"/>
        </w:rPr>
        <w:t>运营期轨道交通保护区管理工作存在系统性、复杂性及重复性等特点。规范保护区工作流程，对线路施工情况、施工项目情况、地保巡查情况进行全流程管控，确保保护区管理工作的质量和效率已成为保护区工作的重点。同时鉴于国内城市轨道交通保护区安全事件仍时有发生，保护区安全管理压力日益增大，部分运营单位已经应用智能自动化巡查，部分正在探索应用智能自动化巡查模式，以强化保护区的监管力度和水平。</w:t>
      </w:r>
    </w:p>
    <w:p w14:paraId="4998DC05">
      <w:pPr>
        <w:ind w:firstLine="560" w:firstLineChars="200"/>
        <w:rPr>
          <w:color w:val="auto"/>
          <w:sz w:val="28"/>
          <w:szCs w:val="28"/>
          <w:highlight w:val="none"/>
        </w:rPr>
      </w:pPr>
      <w:r>
        <w:rPr>
          <w:rFonts w:hint="eastAsia"/>
          <w:color w:val="auto"/>
          <w:sz w:val="28"/>
          <w:szCs w:val="28"/>
          <w:highlight w:val="none"/>
        </w:rPr>
        <w:t>东莞市轨道交通1号线一期工程（东莞西站～梅塘站)长57.46km，其中高架段线路长度约7.71km，占一期工程13.41%；地下段线路长度约49.43km，占一期工程线路长度约86.03%；过渡段长度约0.32km，占一期约0.56%。设置车站25座，其中3座高架站,22座地下站，平均站间距2370m。最大站间距5053m，为牛山站～连平站区间；最小站间距851m，为中心广场站～市民中心站区间。在道滘镇（厚德站西侧）设车辆段1座，在黄江镇（梅塘站北侧）设停车场1座，控制中心使用2号线西平站旁边的线网控制中心，全线共设置4座主变电所，分别位于道滘车辆段、旗峰公园（与2号线共享）、松山湖和黄江停车场。</w:t>
      </w:r>
    </w:p>
    <w:p w14:paraId="29980C39">
      <w:pPr>
        <w:ind w:firstLine="560" w:firstLineChars="200"/>
        <w:rPr>
          <w:color w:val="auto"/>
          <w:sz w:val="28"/>
          <w:szCs w:val="28"/>
          <w:highlight w:val="none"/>
        </w:rPr>
      </w:pPr>
    </w:p>
    <w:p w14:paraId="44765315">
      <w:pPr>
        <w:ind w:firstLine="560" w:firstLineChars="200"/>
        <w:rPr>
          <w:color w:val="auto"/>
          <w:highlight w:val="none"/>
        </w:rPr>
      </w:pPr>
      <w:r>
        <w:rPr>
          <w:rFonts w:hint="eastAsia"/>
          <w:color w:val="auto"/>
          <w:sz w:val="28"/>
          <w:szCs w:val="28"/>
          <w:highlight w:val="none"/>
          <w:lang w:val="en-US" w:eastAsia="zh-CN"/>
        </w:rPr>
        <w:t>当前</w:t>
      </w:r>
      <w:r>
        <w:rPr>
          <w:color w:val="auto"/>
          <w:sz w:val="28"/>
          <w:szCs w:val="28"/>
          <w:highlight w:val="none"/>
        </w:rPr>
        <w:t>1号线计划于2025年年底投入初期运营，有必要利用成熟、先进、可靠的技术手段，对控制保护区进行智能化、信息化、精细化管理，为保护区工作提供有力抓手，实现对轨道交通沿线状况的有效监管，确保轨道交通运营安全。</w:t>
      </w:r>
    </w:p>
    <w:p w14:paraId="58C6D40C">
      <w:pPr>
        <w:spacing w:line="360" w:lineRule="auto"/>
        <w:jc w:val="left"/>
        <w:outlineLvl w:val="1"/>
        <w:rPr>
          <w:b/>
          <w:bCs/>
          <w:color w:val="auto"/>
          <w:sz w:val="28"/>
          <w:szCs w:val="28"/>
          <w:highlight w:val="none"/>
        </w:rPr>
      </w:pPr>
      <w:bookmarkStart w:id="924" w:name="_Toc27792"/>
      <w:bookmarkStart w:id="925" w:name="_Toc24955"/>
      <w:bookmarkStart w:id="926" w:name="_Toc7258"/>
      <w:bookmarkStart w:id="927" w:name="_Toc15531"/>
      <w:bookmarkStart w:id="928" w:name="_Toc1331"/>
      <w:bookmarkStart w:id="929" w:name="_Toc31490"/>
      <w:bookmarkStart w:id="930" w:name="_Toc10854"/>
      <w:r>
        <w:rPr>
          <w:b/>
          <w:bCs/>
          <w:color w:val="auto"/>
          <w:sz w:val="28"/>
          <w:szCs w:val="28"/>
          <w:highlight w:val="none"/>
        </w:rPr>
        <w:t>2.</w:t>
      </w:r>
      <w:r>
        <w:rPr>
          <w:rFonts w:hint="eastAsia"/>
          <w:b/>
          <w:bCs/>
          <w:color w:val="auto"/>
          <w:sz w:val="28"/>
          <w:szCs w:val="28"/>
          <w:highlight w:val="none"/>
          <w:lang w:val="en-US" w:eastAsia="zh-CN"/>
        </w:rPr>
        <w:t>3</w:t>
      </w:r>
      <w:r>
        <w:rPr>
          <w:b/>
          <w:bCs/>
          <w:color w:val="auto"/>
          <w:sz w:val="28"/>
          <w:szCs w:val="28"/>
          <w:highlight w:val="none"/>
        </w:rPr>
        <w:t>建设目标</w:t>
      </w:r>
      <w:bookmarkEnd w:id="924"/>
      <w:bookmarkEnd w:id="925"/>
      <w:bookmarkEnd w:id="926"/>
      <w:bookmarkEnd w:id="927"/>
      <w:bookmarkEnd w:id="928"/>
      <w:bookmarkEnd w:id="929"/>
      <w:bookmarkEnd w:id="930"/>
    </w:p>
    <w:p w14:paraId="007BCEC9">
      <w:pPr>
        <w:pStyle w:val="8"/>
        <w:ind w:firstLine="560" w:firstLineChars="200"/>
        <w:rPr>
          <w:rFonts w:ascii="Times New Roman" w:hAnsi="Times New Roman"/>
          <w:color w:val="auto"/>
          <w:sz w:val="28"/>
          <w:szCs w:val="28"/>
          <w:highlight w:val="none"/>
        </w:rPr>
      </w:pPr>
      <w:r>
        <w:rPr>
          <w:rFonts w:ascii="Times New Roman" w:hAnsi="Times New Roman"/>
          <w:color w:val="auto"/>
          <w:sz w:val="28"/>
          <w:szCs w:val="28"/>
          <w:highlight w:val="none"/>
        </w:rPr>
        <w:t>为满足东莞市轨道交通控制保护区综合管理需求，预留后续新线数据接入条件，实现对所有运营线路保护区工作全流程的有效管控，达到保护区管理信息化、反馈实时化、资源共享化、巡查智能化的目的。</w:t>
      </w:r>
    </w:p>
    <w:p w14:paraId="2A519AAB">
      <w:pPr>
        <w:spacing w:line="360" w:lineRule="auto"/>
        <w:jc w:val="left"/>
        <w:outlineLvl w:val="1"/>
        <w:rPr>
          <w:b/>
          <w:bCs/>
          <w:color w:val="auto"/>
          <w:sz w:val="28"/>
          <w:szCs w:val="28"/>
          <w:highlight w:val="none"/>
        </w:rPr>
      </w:pPr>
      <w:bookmarkStart w:id="931" w:name="_Toc23658"/>
      <w:bookmarkStart w:id="932" w:name="_Toc6557"/>
      <w:bookmarkStart w:id="933" w:name="_Toc28490"/>
      <w:bookmarkStart w:id="934" w:name="_Toc10376"/>
      <w:bookmarkStart w:id="935" w:name="_Toc17476"/>
      <w:bookmarkStart w:id="936" w:name="_Toc3505"/>
      <w:bookmarkStart w:id="937" w:name="_Toc13734"/>
      <w:r>
        <w:rPr>
          <w:b/>
          <w:bCs/>
          <w:color w:val="auto"/>
          <w:sz w:val="28"/>
          <w:szCs w:val="28"/>
          <w:highlight w:val="none"/>
        </w:rPr>
        <w:t>2.</w:t>
      </w:r>
      <w:r>
        <w:rPr>
          <w:rFonts w:hint="eastAsia"/>
          <w:b/>
          <w:bCs/>
          <w:color w:val="auto"/>
          <w:sz w:val="28"/>
          <w:szCs w:val="28"/>
          <w:highlight w:val="none"/>
          <w:lang w:val="en-US" w:eastAsia="zh-CN"/>
        </w:rPr>
        <w:t>4</w:t>
      </w:r>
      <w:r>
        <w:rPr>
          <w:b/>
          <w:bCs/>
          <w:color w:val="auto"/>
          <w:sz w:val="28"/>
          <w:szCs w:val="28"/>
          <w:highlight w:val="none"/>
        </w:rPr>
        <w:t>项目范围</w:t>
      </w:r>
      <w:bookmarkEnd w:id="931"/>
      <w:bookmarkEnd w:id="932"/>
      <w:bookmarkEnd w:id="933"/>
      <w:bookmarkEnd w:id="934"/>
      <w:bookmarkEnd w:id="935"/>
      <w:bookmarkEnd w:id="936"/>
      <w:bookmarkEnd w:id="937"/>
    </w:p>
    <w:p w14:paraId="4F4B396F">
      <w:pPr>
        <w:pStyle w:val="20"/>
        <w:tabs>
          <w:tab w:val="left" w:leader="middleDot" w:pos="6020"/>
        </w:tabs>
        <w:spacing w:after="0"/>
        <w:ind w:left="0" w:leftChars="0" w:firstLine="560"/>
        <w:rPr>
          <w:color w:val="auto"/>
          <w:sz w:val="28"/>
          <w:szCs w:val="28"/>
          <w:highlight w:val="none"/>
        </w:rPr>
      </w:pPr>
      <w:r>
        <w:rPr>
          <w:color w:val="auto"/>
          <w:sz w:val="28"/>
          <w:szCs w:val="28"/>
          <w:highlight w:val="none"/>
        </w:rPr>
        <w:t>本项目致力于建设东莞市轨道交通1号线运营期地铁控制保护区综合管理系统</w:t>
      </w:r>
      <w:r>
        <w:rPr>
          <w:rFonts w:hint="eastAsia"/>
          <w:color w:val="auto"/>
          <w:sz w:val="28"/>
          <w:szCs w:val="28"/>
          <w:highlight w:val="none"/>
          <w:lang w:val="en-US" w:eastAsia="zh-CN"/>
        </w:rPr>
        <w:t>项目</w:t>
      </w:r>
      <w:r>
        <w:rPr>
          <w:color w:val="auto"/>
          <w:sz w:val="28"/>
          <w:szCs w:val="28"/>
          <w:highlight w:val="none"/>
        </w:rPr>
        <w:t>，</w:t>
      </w:r>
      <w:r>
        <w:rPr>
          <w:rFonts w:hint="eastAsia" w:ascii="宋体" w:hAnsi="宋体" w:eastAsia="宋体" w:cs="宋体"/>
          <w:color w:val="auto"/>
          <w:sz w:val="28"/>
          <w:szCs w:val="28"/>
          <w:highlight w:val="none"/>
          <w:lang w:bidi="ar"/>
        </w:rPr>
        <w:t>包括软件系统（综合管理系统和无人机巡查管理系统）的开发建设和运维服务，硬件的采购、安装、调试、接入系统运行。</w:t>
      </w:r>
      <w:r>
        <w:rPr>
          <w:rFonts w:hint="eastAsia"/>
          <w:color w:val="auto"/>
          <w:sz w:val="28"/>
          <w:szCs w:val="28"/>
          <w:highlight w:val="none"/>
        </w:rPr>
        <w:t>其中综合管理系统和无人机自动巡查管理系统包含1号线一、二、三期和现有线网的控制保护区及预留远期建设线路的接入功能；硬件部分包含无人机场、无人机、巡查手持终端、系统服务器硬件等；质保期包含3年无人机场和无人机维护、系统维护和相关辅材配件等</w:t>
      </w:r>
      <w:r>
        <w:rPr>
          <w:color w:val="auto"/>
          <w:sz w:val="28"/>
          <w:szCs w:val="28"/>
          <w:highlight w:val="none"/>
        </w:rPr>
        <w:t>。</w:t>
      </w:r>
    </w:p>
    <w:p w14:paraId="7EF20E31">
      <w:pPr>
        <w:pStyle w:val="20"/>
        <w:tabs>
          <w:tab w:val="left" w:leader="middleDot" w:pos="6020"/>
        </w:tabs>
        <w:spacing w:after="0"/>
        <w:ind w:left="0" w:leftChars="0" w:firstLine="560"/>
        <w:rPr>
          <w:color w:val="auto"/>
          <w:sz w:val="28"/>
          <w:szCs w:val="28"/>
          <w:highlight w:val="none"/>
        </w:rPr>
      </w:pPr>
      <w:r>
        <w:rPr>
          <w:color w:val="auto"/>
          <w:sz w:val="28"/>
          <w:szCs w:val="28"/>
          <w:highlight w:val="none"/>
        </w:rPr>
        <w:t>项目的实施内容包括但不限于：从项目启动、需求调研、系统设计、开发集成、安装部署到测试联调、初始化数据录入、用户培训、上线试运行及质保期服务等关键环节。</w:t>
      </w:r>
    </w:p>
    <w:p w14:paraId="130ACC78">
      <w:pPr>
        <w:spacing w:line="360" w:lineRule="auto"/>
        <w:outlineLvl w:val="0"/>
        <w:rPr>
          <w:b/>
          <w:bCs/>
          <w:color w:val="auto"/>
          <w:sz w:val="28"/>
          <w:szCs w:val="28"/>
          <w:highlight w:val="none"/>
        </w:rPr>
      </w:pPr>
      <w:bookmarkStart w:id="938" w:name="_Toc1696"/>
      <w:bookmarkStart w:id="939" w:name="_Toc22799"/>
      <w:bookmarkStart w:id="940" w:name="_Toc6934"/>
      <w:bookmarkStart w:id="941" w:name="_Toc5076"/>
      <w:bookmarkStart w:id="942" w:name="_Toc2881"/>
      <w:bookmarkStart w:id="943" w:name="_Toc15885"/>
      <w:bookmarkStart w:id="944" w:name="_Toc21085"/>
      <w:r>
        <w:rPr>
          <w:b/>
          <w:bCs/>
          <w:color w:val="auto"/>
          <w:sz w:val="28"/>
          <w:szCs w:val="28"/>
          <w:highlight w:val="none"/>
        </w:rPr>
        <w:t>3系统技术需求</w:t>
      </w:r>
      <w:bookmarkEnd w:id="938"/>
      <w:bookmarkEnd w:id="939"/>
      <w:bookmarkEnd w:id="940"/>
      <w:bookmarkEnd w:id="941"/>
      <w:bookmarkEnd w:id="942"/>
      <w:bookmarkEnd w:id="943"/>
      <w:bookmarkEnd w:id="944"/>
    </w:p>
    <w:p w14:paraId="5F3D5E55">
      <w:pPr>
        <w:spacing w:line="360" w:lineRule="auto"/>
        <w:ind w:firstLine="560" w:firstLineChars="200"/>
        <w:jc w:val="left"/>
        <w:rPr>
          <w:rFonts w:hint="eastAsia" w:eastAsia="宋体"/>
          <w:color w:val="auto"/>
          <w:sz w:val="28"/>
          <w:szCs w:val="28"/>
          <w:highlight w:val="none"/>
          <w:lang w:eastAsia="zh-CN"/>
        </w:rPr>
      </w:pPr>
      <w:r>
        <w:rPr>
          <w:color w:val="auto"/>
          <w:sz w:val="28"/>
          <w:szCs w:val="28"/>
          <w:highlight w:val="none"/>
        </w:rPr>
        <w:t>东莞市轨道交通1号线控制保护区综合管理系统应基于业务需求实现信息化管理，兼具前瞻性与扩展性，支持业务未来发展，且要满足国家信创要求。系统提供全面业务与即时决策支持，架构清晰展现业务、数据、技术关系</w:t>
      </w:r>
      <w:r>
        <w:rPr>
          <w:rFonts w:hint="eastAsia"/>
          <w:color w:val="auto"/>
          <w:sz w:val="28"/>
          <w:szCs w:val="28"/>
          <w:highlight w:val="none"/>
        </w:rPr>
        <w:t>，</w:t>
      </w:r>
      <w:r>
        <w:rPr>
          <w:color w:val="auto"/>
          <w:sz w:val="28"/>
          <w:szCs w:val="28"/>
          <w:highlight w:val="none"/>
        </w:rPr>
        <w:t>系统需具备先进、可靠、实用、可扩展及安全等特性。项目需提交详尽材料作为验收依据</w:t>
      </w:r>
      <w:r>
        <w:rPr>
          <w:rFonts w:hint="eastAsia"/>
          <w:color w:val="auto"/>
          <w:sz w:val="28"/>
          <w:szCs w:val="28"/>
          <w:highlight w:val="none"/>
          <w:lang w:eastAsia="zh-CN"/>
        </w:rPr>
        <w:t>。</w:t>
      </w:r>
      <w:r>
        <w:rPr>
          <w:rFonts w:hint="eastAsia"/>
          <w:color w:val="auto"/>
          <w:sz w:val="28"/>
          <w:szCs w:val="28"/>
          <w:highlight w:val="none"/>
          <w:lang w:val="en-US" w:eastAsia="zh-CN"/>
        </w:rPr>
        <w:t>在合同期内，若后续国家在低空方面法律法规进行更新和调整，投标人需无条件对本项目系统、无人机飞行进行优化和调整，满足相关法律法规要求。</w:t>
      </w:r>
    </w:p>
    <w:bookmarkEnd w:id="923"/>
    <w:p w14:paraId="37884645">
      <w:pPr>
        <w:spacing w:line="360" w:lineRule="auto"/>
        <w:jc w:val="left"/>
        <w:outlineLvl w:val="1"/>
        <w:rPr>
          <w:b/>
          <w:bCs/>
          <w:color w:val="auto"/>
          <w:sz w:val="28"/>
          <w:szCs w:val="28"/>
          <w:highlight w:val="none"/>
        </w:rPr>
      </w:pPr>
      <w:bookmarkStart w:id="945" w:name="_Toc8964"/>
      <w:bookmarkStart w:id="946" w:name="_Toc4783"/>
      <w:bookmarkStart w:id="947" w:name="_Toc17569"/>
      <w:bookmarkStart w:id="948" w:name="_Toc12049"/>
      <w:bookmarkStart w:id="949" w:name="_Toc30971"/>
      <w:bookmarkStart w:id="950" w:name="_Toc21803"/>
      <w:bookmarkStart w:id="951" w:name="_Toc14301"/>
      <w:r>
        <w:rPr>
          <w:b/>
          <w:bCs/>
          <w:color w:val="auto"/>
          <w:sz w:val="28"/>
          <w:szCs w:val="28"/>
          <w:highlight w:val="none"/>
        </w:rPr>
        <w:t>3.1安全性</w:t>
      </w:r>
      <w:bookmarkEnd w:id="945"/>
      <w:bookmarkEnd w:id="946"/>
      <w:bookmarkEnd w:id="947"/>
      <w:bookmarkEnd w:id="948"/>
      <w:bookmarkEnd w:id="949"/>
      <w:bookmarkEnd w:id="950"/>
      <w:bookmarkEnd w:id="951"/>
    </w:p>
    <w:p w14:paraId="03D6B84A">
      <w:pPr>
        <w:pStyle w:val="8"/>
        <w:snapToGrid w:val="0"/>
        <w:ind w:firstLine="560" w:firstLineChars="200"/>
        <w:jc w:val="left"/>
        <w:rPr>
          <w:rFonts w:ascii="Times New Roman" w:hAnsi="Times New Roman"/>
          <w:color w:val="auto"/>
          <w:sz w:val="28"/>
          <w:szCs w:val="28"/>
          <w:highlight w:val="none"/>
        </w:rPr>
      </w:pPr>
      <w:r>
        <w:rPr>
          <w:rFonts w:ascii="Times New Roman" w:hAnsi="Times New Roman"/>
          <w:color w:val="auto"/>
          <w:sz w:val="28"/>
          <w:szCs w:val="28"/>
          <w:highlight w:val="none"/>
        </w:rPr>
        <w:t>投标人需要保证技术平台必须要符合国家信息安全体系的管理要求，满足信息安全等级保护二级标准。</w:t>
      </w:r>
    </w:p>
    <w:p w14:paraId="3D1CBAD1">
      <w:pPr>
        <w:pStyle w:val="8"/>
        <w:snapToGrid w:val="0"/>
        <w:ind w:firstLine="560" w:firstLineChars="200"/>
        <w:jc w:val="left"/>
        <w:rPr>
          <w:rFonts w:ascii="Times New Roman" w:hAnsi="Times New Roman"/>
          <w:color w:val="auto"/>
          <w:sz w:val="28"/>
          <w:szCs w:val="28"/>
          <w:highlight w:val="none"/>
        </w:rPr>
      </w:pPr>
      <w:r>
        <w:rPr>
          <w:rFonts w:ascii="Times New Roman" w:hAnsi="Times New Roman"/>
          <w:color w:val="auto"/>
          <w:sz w:val="28"/>
          <w:szCs w:val="28"/>
          <w:highlight w:val="none"/>
        </w:rPr>
        <w:t>系统应有完善的系统安全管控机制和系统异常应对机制，遵循国际安全规范及国家安全规范，并通过安全性测试。</w:t>
      </w:r>
    </w:p>
    <w:p w14:paraId="191FE4FD">
      <w:pPr>
        <w:pStyle w:val="8"/>
        <w:snapToGrid w:val="0"/>
        <w:ind w:firstLine="560" w:firstLineChars="200"/>
        <w:jc w:val="left"/>
        <w:rPr>
          <w:rFonts w:ascii="Times New Roman" w:hAnsi="Times New Roman"/>
          <w:color w:val="auto"/>
          <w:sz w:val="28"/>
          <w:szCs w:val="28"/>
          <w:highlight w:val="none"/>
        </w:rPr>
      </w:pPr>
      <w:r>
        <w:rPr>
          <w:rFonts w:ascii="Times New Roman" w:hAnsi="Times New Roman"/>
          <w:color w:val="auto"/>
          <w:sz w:val="28"/>
          <w:szCs w:val="28"/>
          <w:highlight w:val="none"/>
        </w:rPr>
        <w:t>数据库全部存放在服务器中，</w:t>
      </w:r>
      <w:r>
        <w:rPr>
          <w:rFonts w:hint="eastAsia" w:ascii="Times New Roman" w:hAnsi="Times New Roman"/>
          <w:color w:val="auto"/>
          <w:sz w:val="28"/>
          <w:szCs w:val="28"/>
          <w:highlight w:val="none"/>
          <w:lang w:val="en-US" w:eastAsia="zh-CN"/>
        </w:rPr>
        <w:t>用户</w:t>
      </w:r>
      <w:r>
        <w:rPr>
          <w:rFonts w:ascii="Times New Roman" w:hAnsi="Times New Roman"/>
          <w:color w:val="auto"/>
          <w:sz w:val="28"/>
          <w:szCs w:val="28"/>
          <w:highlight w:val="none"/>
        </w:rPr>
        <w:t>必须使用数据库中的数据方能进行业务处理。系统应能提供一个权限管理机制，至少应做到：</w:t>
      </w:r>
    </w:p>
    <w:p w14:paraId="4A7E7425">
      <w:pPr>
        <w:pStyle w:val="8"/>
        <w:numPr>
          <w:ilvl w:val="0"/>
          <w:numId w:val="6"/>
        </w:numPr>
        <w:snapToGrid w:val="0"/>
        <w:ind w:firstLine="560" w:firstLineChars="200"/>
        <w:jc w:val="left"/>
        <w:rPr>
          <w:rFonts w:ascii="Times New Roman" w:hAnsi="Times New Roman"/>
          <w:color w:val="auto"/>
          <w:sz w:val="28"/>
          <w:szCs w:val="28"/>
          <w:highlight w:val="none"/>
        </w:rPr>
      </w:pPr>
      <w:r>
        <w:rPr>
          <w:rFonts w:ascii="Times New Roman" w:hAnsi="Times New Roman"/>
          <w:color w:val="auto"/>
          <w:sz w:val="28"/>
          <w:szCs w:val="28"/>
          <w:highlight w:val="none"/>
        </w:rPr>
        <w:t>用户验证：与招标人已有的门户系统进行单点登录，并采用招标人的统一用户管理平台进行用户验证，实现用户账号密码的统一管理。</w:t>
      </w:r>
    </w:p>
    <w:p w14:paraId="6A79B0CD">
      <w:pPr>
        <w:pStyle w:val="8"/>
        <w:numPr>
          <w:ilvl w:val="0"/>
          <w:numId w:val="6"/>
        </w:numPr>
        <w:snapToGrid w:val="0"/>
        <w:ind w:firstLine="560" w:firstLineChars="200"/>
        <w:jc w:val="left"/>
        <w:rPr>
          <w:rFonts w:ascii="Times New Roman" w:hAnsi="Times New Roman"/>
          <w:color w:val="auto"/>
          <w:sz w:val="28"/>
          <w:szCs w:val="28"/>
          <w:highlight w:val="none"/>
        </w:rPr>
      </w:pPr>
      <w:r>
        <w:rPr>
          <w:rFonts w:ascii="Times New Roman" w:hAnsi="Times New Roman"/>
          <w:color w:val="auto"/>
          <w:sz w:val="28"/>
          <w:szCs w:val="28"/>
          <w:highlight w:val="none"/>
        </w:rPr>
        <w:t>用户权限定义：在不违反事务一致性的前提下，以RBAC方式对用户访问权限进行设置和控制，提供权限的分级管理和站点的分级管理。</w:t>
      </w:r>
    </w:p>
    <w:p w14:paraId="7A1C8C01">
      <w:pPr>
        <w:pStyle w:val="8"/>
        <w:numPr>
          <w:ilvl w:val="0"/>
          <w:numId w:val="6"/>
        </w:numPr>
        <w:snapToGrid w:val="0"/>
        <w:ind w:firstLine="560" w:firstLineChars="200"/>
        <w:jc w:val="left"/>
        <w:rPr>
          <w:rFonts w:ascii="Times New Roman" w:hAnsi="Times New Roman"/>
          <w:color w:val="auto"/>
          <w:sz w:val="28"/>
          <w:szCs w:val="28"/>
          <w:highlight w:val="none"/>
        </w:rPr>
      </w:pPr>
      <w:r>
        <w:rPr>
          <w:rFonts w:ascii="Times New Roman" w:hAnsi="Times New Roman"/>
          <w:color w:val="auto"/>
          <w:sz w:val="28"/>
          <w:szCs w:val="28"/>
          <w:highlight w:val="none"/>
        </w:rPr>
        <w:t>用户访问记录：系统自动生成系统工作日志和用户访问记录，能够事后检视用户的访问操作，实现对日志记录的审计要求。对系统关键信息进行加密，包括用户帐号、密码信息，禁止明文加密。</w:t>
      </w:r>
    </w:p>
    <w:p w14:paraId="76AD5BDE">
      <w:pPr>
        <w:pStyle w:val="8"/>
        <w:numPr>
          <w:ilvl w:val="0"/>
          <w:numId w:val="0"/>
        </w:numPr>
        <w:snapToGrid w:val="0"/>
        <w:ind w:right="-425" w:rightChars="0" w:firstLine="560" w:firstLineChars="200"/>
        <w:jc w:val="left"/>
        <w:rPr>
          <w:rFonts w:ascii="Times New Roman" w:hAnsi="Times New Roman"/>
          <w:color w:val="auto"/>
          <w:sz w:val="28"/>
          <w:szCs w:val="28"/>
          <w:highlight w:val="none"/>
        </w:rPr>
      </w:pPr>
      <w:r>
        <w:rPr>
          <w:rFonts w:ascii="Times New Roman" w:hAnsi="Times New Roman"/>
          <w:color w:val="auto"/>
          <w:sz w:val="28"/>
          <w:szCs w:val="28"/>
          <w:highlight w:val="none"/>
        </w:rPr>
        <w:t>4）用户自动退出：可根据需要设定某些用户登录到一定时限，没有进行操作后自动退出系统。</w:t>
      </w:r>
    </w:p>
    <w:p w14:paraId="058EC404">
      <w:pPr>
        <w:pStyle w:val="8"/>
        <w:numPr>
          <w:ilvl w:val="0"/>
          <w:numId w:val="0"/>
        </w:numPr>
        <w:snapToGrid w:val="0"/>
        <w:ind w:right="-425" w:rightChars="0" w:firstLine="560" w:firstLineChars="200"/>
        <w:jc w:val="left"/>
        <w:rPr>
          <w:rFonts w:ascii="Times New Roman" w:hAnsi="Times New Roman"/>
          <w:color w:val="auto"/>
          <w:sz w:val="28"/>
          <w:szCs w:val="28"/>
          <w:highlight w:val="none"/>
        </w:rPr>
      </w:pPr>
      <w:r>
        <w:rPr>
          <w:rFonts w:ascii="Times New Roman" w:hAnsi="Times New Roman"/>
          <w:color w:val="auto"/>
          <w:sz w:val="28"/>
          <w:szCs w:val="28"/>
          <w:highlight w:val="none"/>
        </w:rPr>
        <w:t>5）系统变更记录：系统能够记录管理员用户对系统进行的系统变更操作。记录系统异常，影响应用的异常知会相关人员。</w:t>
      </w:r>
      <w:r>
        <w:rPr>
          <w:rFonts w:ascii="Times New Roman" w:hAnsi="Times New Roman"/>
          <w:color w:val="auto"/>
          <w:sz w:val="28"/>
          <w:szCs w:val="28"/>
          <w:highlight w:val="none"/>
        </w:rPr>
        <w:br w:type="textWrapping"/>
      </w:r>
      <w:r>
        <w:rPr>
          <w:rFonts w:ascii="Times New Roman" w:hAnsi="Times New Roman"/>
          <w:color w:val="auto"/>
          <w:sz w:val="28"/>
          <w:szCs w:val="28"/>
          <w:highlight w:val="none"/>
        </w:rPr>
        <w:t xml:space="preserve">    6）防止黑客攻击：实现对SQL注入攻击的防护要求。保证集成接口的安全。防止缓冲区溢出如有对安全协议的要求如HTTPS等请说明。系统后门及权限受招标人控制，并受法律保护。</w:t>
      </w:r>
      <w:r>
        <w:rPr>
          <w:rFonts w:ascii="Times New Roman" w:hAnsi="Times New Roman"/>
          <w:color w:val="auto"/>
          <w:sz w:val="28"/>
          <w:szCs w:val="28"/>
          <w:highlight w:val="none"/>
        </w:rPr>
        <w:br w:type="textWrapping"/>
      </w:r>
      <w:r>
        <w:rPr>
          <w:rFonts w:ascii="Times New Roman" w:hAnsi="Times New Roman"/>
          <w:color w:val="auto"/>
          <w:sz w:val="28"/>
          <w:szCs w:val="28"/>
          <w:highlight w:val="none"/>
        </w:rPr>
        <w:t xml:space="preserve">    7）与招标人现有的UUV和Portal有机整合，并且实现组织架构、用户账号、密码统一管理和单点登录。</w:t>
      </w:r>
    </w:p>
    <w:p w14:paraId="1BCA1413">
      <w:pPr>
        <w:spacing w:line="360" w:lineRule="auto"/>
        <w:jc w:val="left"/>
        <w:outlineLvl w:val="1"/>
        <w:rPr>
          <w:b/>
          <w:bCs/>
          <w:color w:val="auto"/>
          <w:sz w:val="28"/>
          <w:szCs w:val="28"/>
          <w:highlight w:val="none"/>
        </w:rPr>
      </w:pPr>
      <w:bookmarkStart w:id="952" w:name="_Toc17636"/>
      <w:bookmarkStart w:id="953" w:name="_Toc13205"/>
      <w:bookmarkStart w:id="954" w:name="_Toc17138"/>
      <w:bookmarkStart w:id="955" w:name="_Toc6215"/>
      <w:bookmarkStart w:id="956" w:name="_Toc24074"/>
      <w:bookmarkStart w:id="957" w:name="_Toc13192"/>
      <w:bookmarkStart w:id="958" w:name="_Toc973"/>
      <w:r>
        <w:rPr>
          <w:b/>
          <w:bCs/>
          <w:color w:val="auto"/>
          <w:sz w:val="28"/>
          <w:szCs w:val="28"/>
          <w:highlight w:val="none"/>
        </w:rPr>
        <w:t>3.2可靠性</w:t>
      </w:r>
      <w:bookmarkEnd w:id="952"/>
      <w:bookmarkEnd w:id="953"/>
      <w:bookmarkEnd w:id="954"/>
      <w:bookmarkEnd w:id="955"/>
      <w:bookmarkEnd w:id="956"/>
      <w:bookmarkEnd w:id="957"/>
      <w:bookmarkEnd w:id="958"/>
    </w:p>
    <w:p w14:paraId="044D8962">
      <w:pPr>
        <w:spacing w:line="360" w:lineRule="auto"/>
        <w:ind w:firstLine="560" w:firstLineChars="200"/>
        <w:jc w:val="left"/>
        <w:rPr>
          <w:color w:val="auto"/>
          <w:sz w:val="28"/>
          <w:szCs w:val="28"/>
          <w:highlight w:val="none"/>
        </w:rPr>
      </w:pPr>
      <w:r>
        <w:rPr>
          <w:color w:val="auto"/>
          <w:sz w:val="28"/>
          <w:szCs w:val="28"/>
          <w:highlight w:val="none"/>
        </w:rPr>
        <w:t>东莞市轨道交通1号线运营期控制保护区综合管理系统设计应采用成熟、稳定、可靠的软件技术，保证系统在大数据量、高并发的情况下长时间不间断地安全运行。应达到如下要求：</w:t>
      </w:r>
    </w:p>
    <w:p w14:paraId="3202BD35">
      <w:pPr>
        <w:spacing w:line="360" w:lineRule="auto"/>
        <w:ind w:firstLine="560" w:firstLineChars="200"/>
        <w:jc w:val="left"/>
        <w:rPr>
          <w:color w:val="auto"/>
          <w:sz w:val="28"/>
          <w:szCs w:val="28"/>
          <w:highlight w:val="none"/>
        </w:rPr>
      </w:pPr>
      <w:r>
        <w:rPr>
          <w:color w:val="auto"/>
          <w:sz w:val="28"/>
          <w:szCs w:val="28"/>
          <w:highlight w:val="none"/>
        </w:rPr>
        <w:t>1）支持7×24小时连续工作；</w:t>
      </w:r>
    </w:p>
    <w:p w14:paraId="41221067">
      <w:pPr>
        <w:spacing w:line="360" w:lineRule="auto"/>
        <w:ind w:firstLine="560" w:firstLineChars="200"/>
        <w:jc w:val="left"/>
        <w:rPr>
          <w:color w:val="auto"/>
          <w:sz w:val="28"/>
          <w:szCs w:val="28"/>
          <w:highlight w:val="none"/>
        </w:rPr>
      </w:pPr>
      <w:r>
        <w:rPr>
          <w:color w:val="auto"/>
          <w:sz w:val="28"/>
          <w:szCs w:val="28"/>
          <w:highlight w:val="none"/>
        </w:rPr>
        <w:t>2）业务的可用性应达到：99.9%；</w:t>
      </w:r>
    </w:p>
    <w:p w14:paraId="3F4B04EE">
      <w:pPr>
        <w:spacing w:line="360" w:lineRule="auto"/>
        <w:ind w:firstLine="560" w:firstLineChars="200"/>
        <w:jc w:val="left"/>
        <w:rPr>
          <w:color w:val="auto"/>
          <w:sz w:val="28"/>
          <w:szCs w:val="28"/>
          <w:highlight w:val="none"/>
        </w:rPr>
      </w:pPr>
      <w:r>
        <w:rPr>
          <w:color w:val="auto"/>
          <w:sz w:val="28"/>
          <w:szCs w:val="28"/>
          <w:highlight w:val="none"/>
        </w:rPr>
        <w:t>3）MTBF（平均故障间隔）：＞12个月；</w:t>
      </w:r>
    </w:p>
    <w:p w14:paraId="31A5E721">
      <w:pPr>
        <w:spacing w:line="360" w:lineRule="auto"/>
        <w:ind w:firstLine="560" w:firstLineChars="200"/>
        <w:jc w:val="left"/>
        <w:rPr>
          <w:color w:val="auto"/>
          <w:sz w:val="28"/>
          <w:szCs w:val="28"/>
          <w:highlight w:val="none"/>
        </w:rPr>
      </w:pPr>
      <w:r>
        <w:rPr>
          <w:color w:val="auto"/>
          <w:sz w:val="28"/>
          <w:szCs w:val="28"/>
          <w:highlight w:val="none"/>
        </w:rPr>
        <w:t>4）MTBR（平均修复时间）：＜1小时</w:t>
      </w:r>
    </w:p>
    <w:p w14:paraId="4C67458F">
      <w:pPr>
        <w:spacing w:line="360" w:lineRule="auto"/>
        <w:ind w:firstLine="560" w:firstLineChars="200"/>
        <w:jc w:val="left"/>
        <w:rPr>
          <w:color w:val="auto"/>
          <w:sz w:val="28"/>
          <w:szCs w:val="28"/>
          <w:highlight w:val="none"/>
        </w:rPr>
      </w:pPr>
      <w:r>
        <w:rPr>
          <w:color w:val="auto"/>
          <w:sz w:val="28"/>
          <w:szCs w:val="28"/>
          <w:highlight w:val="none"/>
        </w:rPr>
        <w:t>5）确保硬件出现单点故障时，不影响信息系统的使用。同时系统应具备事务一致性处理的功能,以确保数据不因意外情况丢失或损坏。</w:t>
      </w:r>
    </w:p>
    <w:p w14:paraId="36A19067">
      <w:pPr>
        <w:spacing w:line="360" w:lineRule="auto"/>
        <w:jc w:val="left"/>
        <w:outlineLvl w:val="1"/>
        <w:rPr>
          <w:b/>
          <w:bCs/>
          <w:color w:val="auto"/>
          <w:sz w:val="28"/>
          <w:szCs w:val="28"/>
          <w:highlight w:val="none"/>
        </w:rPr>
      </w:pPr>
      <w:bookmarkStart w:id="959" w:name="_Toc25144"/>
      <w:bookmarkStart w:id="960" w:name="_Toc507"/>
      <w:bookmarkStart w:id="961" w:name="_Toc20219"/>
      <w:bookmarkStart w:id="962" w:name="_Toc4657"/>
      <w:bookmarkStart w:id="963" w:name="_Toc26179"/>
      <w:bookmarkStart w:id="964" w:name="_Toc16921"/>
      <w:bookmarkStart w:id="965" w:name="_Toc30628"/>
      <w:r>
        <w:rPr>
          <w:b/>
          <w:bCs/>
          <w:color w:val="auto"/>
          <w:sz w:val="28"/>
          <w:szCs w:val="28"/>
          <w:highlight w:val="none"/>
        </w:rPr>
        <w:t>3.3先进性</w:t>
      </w:r>
      <w:bookmarkEnd w:id="959"/>
      <w:bookmarkEnd w:id="960"/>
      <w:bookmarkEnd w:id="961"/>
      <w:bookmarkEnd w:id="962"/>
      <w:bookmarkEnd w:id="963"/>
      <w:bookmarkEnd w:id="964"/>
      <w:bookmarkEnd w:id="965"/>
    </w:p>
    <w:p w14:paraId="066DCC39">
      <w:pPr>
        <w:spacing w:line="360" w:lineRule="auto"/>
        <w:ind w:firstLine="560" w:firstLineChars="200"/>
        <w:jc w:val="left"/>
        <w:rPr>
          <w:color w:val="auto"/>
          <w:sz w:val="28"/>
          <w:szCs w:val="28"/>
          <w:highlight w:val="none"/>
        </w:rPr>
      </w:pPr>
      <w:r>
        <w:rPr>
          <w:color w:val="auto"/>
          <w:sz w:val="28"/>
          <w:szCs w:val="28"/>
          <w:highlight w:val="none"/>
        </w:rPr>
        <w:t>投标人提供的软硬件应遵循国际、国内开放系统标准及协议，属于当前业界的主流产品，并已经得到广泛使用，占有较高的市场份额。在同类产品中处于领先地位，是经过各方面考验的先进和成熟的产品，应当采用当今主流技术，既要考虑应用平台和工具的先进，更要考虑系统结构应用设计的先进性，以适应宏观上业务管理、发展规划和微观上事务办理的需求。</w:t>
      </w:r>
    </w:p>
    <w:p w14:paraId="359DD981">
      <w:pPr>
        <w:spacing w:line="360" w:lineRule="auto"/>
        <w:jc w:val="left"/>
        <w:outlineLvl w:val="1"/>
        <w:rPr>
          <w:b/>
          <w:bCs/>
          <w:color w:val="auto"/>
          <w:sz w:val="28"/>
          <w:szCs w:val="28"/>
          <w:highlight w:val="none"/>
        </w:rPr>
      </w:pPr>
      <w:bookmarkStart w:id="966" w:name="_Toc32172"/>
      <w:bookmarkStart w:id="967" w:name="_Toc8161"/>
      <w:bookmarkStart w:id="968" w:name="_Toc9989"/>
      <w:bookmarkStart w:id="969" w:name="_Toc6501"/>
      <w:bookmarkStart w:id="970" w:name="_Toc11291"/>
      <w:bookmarkStart w:id="971" w:name="_Toc30733"/>
      <w:bookmarkStart w:id="972" w:name="_Toc9422"/>
      <w:r>
        <w:rPr>
          <w:b/>
          <w:bCs/>
          <w:color w:val="auto"/>
          <w:sz w:val="28"/>
          <w:szCs w:val="28"/>
          <w:highlight w:val="none"/>
        </w:rPr>
        <w:t>3.4实用性</w:t>
      </w:r>
      <w:bookmarkEnd w:id="966"/>
      <w:bookmarkEnd w:id="967"/>
      <w:bookmarkEnd w:id="968"/>
      <w:bookmarkEnd w:id="969"/>
      <w:bookmarkEnd w:id="970"/>
      <w:bookmarkEnd w:id="971"/>
      <w:bookmarkEnd w:id="972"/>
    </w:p>
    <w:p w14:paraId="5D18318D">
      <w:pPr>
        <w:spacing w:line="360" w:lineRule="auto"/>
        <w:ind w:firstLine="560" w:firstLineChars="200"/>
        <w:jc w:val="left"/>
        <w:rPr>
          <w:color w:val="auto"/>
          <w:sz w:val="28"/>
          <w:szCs w:val="28"/>
          <w:highlight w:val="none"/>
        </w:rPr>
      </w:pPr>
      <w:r>
        <w:rPr>
          <w:color w:val="auto"/>
          <w:sz w:val="28"/>
          <w:szCs w:val="28"/>
          <w:highlight w:val="none"/>
        </w:rPr>
        <w:t>根据业务需求和业务流程，从方便用户使用的角度进行系统设计、功能和模块划分。工作流程设计要求简捷流畅，能适应工作流不稳定和突发事件等各种现实情况。</w:t>
      </w:r>
    </w:p>
    <w:p w14:paraId="062BCA48">
      <w:pPr>
        <w:spacing w:line="360" w:lineRule="auto"/>
        <w:jc w:val="left"/>
        <w:outlineLvl w:val="1"/>
        <w:rPr>
          <w:b/>
          <w:bCs/>
          <w:color w:val="auto"/>
          <w:sz w:val="28"/>
          <w:szCs w:val="28"/>
          <w:highlight w:val="none"/>
        </w:rPr>
      </w:pPr>
      <w:bookmarkStart w:id="973" w:name="_Toc3415"/>
      <w:bookmarkStart w:id="974" w:name="_Toc11096"/>
      <w:bookmarkStart w:id="975" w:name="_Toc28158"/>
      <w:bookmarkStart w:id="976" w:name="_Toc9693"/>
      <w:bookmarkStart w:id="977" w:name="_Toc19819"/>
      <w:bookmarkStart w:id="978" w:name="_Toc7958"/>
      <w:bookmarkStart w:id="979" w:name="_Toc12001"/>
      <w:r>
        <w:rPr>
          <w:b/>
          <w:bCs/>
          <w:color w:val="auto"/>
          <w:sz w:val="28"/>
          <w:szCs w:val="28"/>
          <w:highlight w:val="none"/>
        </w:rPr>
        <w:t>3.5易用性</w:t>
      </w:r>
      <w:bookmarkEnd w:id="973"/>
      <w:bookmarkEnd w:id="974"/>
      <w:bookmarkEnd w:id="975"/>
      <w:bookmarkEnd w:id="976"/>
      <w:bookmarkEnd w:id="977"/>
      <w:bookmarkEnd w:id="978"/>
      <w:bookmarkEnd w:id="979"/>
    </w:p>
    <w:p w14:paraId="73E62439">
      <w:pPr>
        <w:spacing w:line="360" w:lineRule="auto"/>
        <w:ind w:firstLine="560" w:firstLineChars="200"/>
        <w:jc w:val="left"/>
        <w:rPr>
          <w:color w:val="auto"/>
          <w:sz w:val="28"/>
          <w:szCs w:val="28"/>
          <w:highlight w:val="none"/>
        </w:rPr>
      </w:pPr>
      <w:r>
        <w:rPr>
          <w:color w:val="auto"/>
          <w:sz w:val="28"/>
          <w:szCs w:val="28"/>
          <w:highlight w:val="none"/>
        </w:rPr>
        <w:t>东莞市轨道交通1号线运营期地铁控制保护区综合管理系统应用界面简捷、直观，尽量减少菜单的层次和不必要的点击过程，使用户在使用时一目了然，便于快速掌握系统操作方法，特别是要符合工作人员的思维方式和工作习惯，方便非计算机专业人员的使用。安装方式简单易用，非专业人员通过帮助文档部署安装。</w:t>
      </w:r>
    </w:p>
    <w:p w14:paraId="500C3062">
      <w:pPr>
        <w:spacing w:line="360" w:lineRule="auto"/>
        <w:jc w:val="left"/>
        <w:outlineLvl w:val="1"/>
        <w:rPr>
          <w:b/>
          <w:bCs/>
          <w:color w:val="auto"/>
          <w:sz w:val="28"/>
          <w:szCs w:val="28"/>
          <w:highlight w:val="none"/>
        </w:rPr>
      </w:pPr>
      <w:bookmarkStart w:id="980" w:name="_Toc13672"/>
      <w:bookmarkStart w:id="981" w:name="_Toc17818"/>
      <w:bookmarkStart w:id="982" w:name="_Toc3610"/>
      <w:bookmarkStart w:id="983" w:name="_Toc30804"/>
      <w:bookmarkStart w:id="984" w:name="_Toc20331"/>
      <w:bookmarkStart w:id="985" w:name="_Toc20281"/>
      <w:bookmarkStart w:id="986" w:name="_Toc14504"/>
      <w:r>
        <w:rPr>
          <w:b/>
          <w:bCs/>
          <w:color w:val="auto"/>
          <w:sz w:val="28"/>
          <w:szCs w:val="28"/>
          <w:highlight w:val="none"/>
        </w:rPr>
        <w:t>3.6开放性</w:t>
      </w:r>
      <w:bookmarkEnd w:id="980"/>
      <w:bookmarkEnd w:id="981"/>
      <w:bookmarkEnd w:id="982"/>
      <w:bookmarkEnd w:id="983"/>
      <w:bookmarkEnd w:id="984"/>
      <w:bookmarkEnd w:id="985"/>
      <w:bookmarkEnd w:id="986"/>
    </w:p>
    <w:p w14:paraId="783DCA0E">
      <w:pPr>
        <w:spacing w:line="360" w:lineRule="auto"/>
        <w:ind w:firstLine="560" w:firstLineChars="200"/>
        <w:jc w:val="left"/>
        <w:rPr>
          <w:color w:val="auto"/>
          <w:sz w:val="28"/>
          <w:szCs w:val="28"/>
          <w:highlight w:val="none"/>
        </w:rPr>
      </w:pPr>
      <w:r>
        <w:rPr>
          <w:color w:val="auto"/>
          <w:sz w:val="28"/>
          <w:szCs w:val="28"/>
          <w:highlight w:val="none"/>
        </w:rPr>
        <w:t>投标人须承诺按招标人要求及时向招标人提供应用软件完整的技术文件和开放接口协议，满足招标人对软件、硬件功能的维护、修改、更新等使用要求。</w:t>
      </w:r>
    </w:p>
    <w:p w14:paraId="5663F467">
      <w:pPr>
        <w:spacing w:line="360" w:lineRule="auto"/>
        <w:ind w:firstLine="560" w:firstLineChars="200"/>
        <w:jc w:val="left"/>
        <w:rPr>
          <w:color w:val="auto"/>
          <w:sz w:val="28"/>
          <w:szCs w:val="28"/>
          <w:highlight w:val="none"/>
        </w:rPr>
      </w:pPr>
      <w:r>
        <w:rPr>
          <w:color w:val="auto"/>
          <w:sz w:val="28"/>
          <w:szCs w:val="28"/>
          <w:highlight w:val="none"/>
        </w:rPr>
        <w:t>东莞市轨道交通1号线控制保护区综合管理系统的主要数据、功能应具备开放性，通过标准或通用的接口向外部提供数据和功能的支持，且对接口有安全性的保护控制。</w:t>
      </w:r>
    </w:p>
    <w:p w14:paraId="46CEF52C">
      <w:pPr>
        <w:spacing w:line="360" w:lineRule="auto"/>
        <w:jc w:val="left"/>
        <w:outlineLvl w:val="1"/>
        <w:rPr>
          <w:b/>
          <w:bCs/>
          <w:color w:val="auto"/>
          <w:sz w:val="28"/>
          <w:szCs w:val="28"/>
          <w:highlight w:val="none"/>
        </w:rPr>
      </w:pPr>
      <w:bookmarkStart w:id="987" w:name="_Toc13095"/>
      <w:bookmarkStart w:id="988" w:name="_Toc31735"/>
      <w:bookmarkStart w:id="989" w:name="_Toc18037"/>
      <w:bookmarkStart w:id="990" w:name="_Toc2570"/>
      <w:bookmarkStart w:id="991" w:name="_Toc20178"/>
      <w:bookmarkStart w:id="992" w:name="_Toc15460"/>
      <w:bookmarkStart w:id="993" w:name="_Toc20893"/>
      <w:r>
        <w:rPr>
          <w:b/>
          <w:bCs/>
          <w:color w:val="auto"/>
          <w:sz w:val="28"/>
          <w:szCs w:val="28"/>
          <w:highlight w:val="none"/>
        </w:rPr>
        <w:t>3.7可扩展性</w:t>
      </w:r>
      <w:bookmarkEnd w:id="987"/>
      <w:bookmarkEnd w:id="988"/>
      <w:bookmarkEnd w:id="989"/>
      <w:bookmarkEnd w:id="990"/>
      <w:bookmarkEnd w:id="991"/>
      <w:bookmarkEnd w:id="992"/>
      <w:bookmarkEnd w:id="993"/>
    </w:p>
    <w:p w14:paraId="59FC422B">
      <w:pPr>
        <w:spacing w:line="360" w:lineRule="auto"/>
        <w:ind w:firstLine="560" w:firstLineChars="200"/>
        <w:jc w:val="left"/>
        <w:rPr>
          <w:color w:val="auto"/>
          <w:sz w:val="28"/>
          <w:szCs w:val="28"/>
          <w:highlight w:val="none"/>
        </w:rPr>
      </w:pPr>
      <w:r>
        <w:rPr>
          <w:color w:val="auto"/>
          <w:sz w:val="28"/>
          <w:szCs w:val="28"/>
          <w:highlight w:val="none"/>
        </w:rPr>
        <w:t>东莞市轨道交通1号线控制保护区综合管理系统是一个不断发展中的应用系统，在系统设计时要考虑到新技术，新产品出现时对本系统的兼容性；当业务需求、外部环境发生变化时，可以扩展系统的功能和性能。软件设计要简明，各功能模块间的耦合度小，以适应业务发展需要，便于系统的继承和扩展。</w:t>
      </w:r>
    </w:p>
    <w:p w14:paraId="09F29349">
      <w:pPr>
        <w:spacing w:line="360" w:lineRule="auto"/>
        <w:jc w:val="left"/>
        <w:outlineLvl w:val="1"/>
        <w:rPr>
          <w:b/>
          <w:bCs/>
          <w:color w:val="auto"/>
          <w:sz w:val="28"/>
          <w:szCs w:val="28"/>
          <w:highlight w:val="none"/>
        </w:rPr>
      </w:pPr>
      <w:bookmarkStart w:id="994" w:name="_Toc909"/>
      <w:bookmarkStart w:id="995" w:name="_Toc13300"/>
      <w:bookmarkStart w:id="996" w:name="_Toc21373"/>
      <w:bookmarkStart w:id="997" w:name="_Toc5141"/>
      <w:bookmarkStart w:id="998" w:name="_Toc3788"/>
      <w:bookmarkStart w:id="999" w:name="_Toc26834"/>
      <w:bookmarkStart w:id="1000" w:name="_Toc9103"/>
      <w:r>
        <w:rPr>
          <w:b/>
          <w:bCs/>
          <w:color w:val="auto"/>
          <w:sz w:val="28"/>
          <w:szCs w:val="28"/>
          <w:highlight w:val="none"/>
        </w:rPr>
        <w:t>3.8可维护性</w:t>
      </w:r>
      <w:bookmarkEnd w:id="994"/>
      <w:bookmarkEnd w:id="995"/>
      <w:bookmarkEnd w:id="996"/>
      <w:bookmarkEnd w:id="997"/>
      <w:bookmarkEnd w:id="998"/>
      <w:bookmarkEnd w:id="999"/>
      <w:bookmarkEnd w:id="1000"/>
    </w:p>
    <w:p w14:paraId="1DEA404F">
      <w:pPr>
        <w:spacing w:line="360" w:lineRule="auto"/>
        <w:ind w:firstLine="560" w:firstLineChars="200"/>
        <w:jc w:val="left"/>
        <w:rPr>
          <w:color w:val="auto"/>
          <w:sz w:val="28"/>
          <w:szCs w:val="28"/>
          <w:highlight w:val="none"/>
        </w:rPr>
      </w:pPr>
      <w:r>
        <w:rPr>
          <w:color w:val="auto"/>
          <w:sz w:val="28"/>
          <w:szCs w:val="28"/>
          <w:highlight w:val="none"/>
        </w:rPr>
        <w:t>东莞市轨道交通1号线控制保护区综合管理系统应提供可视化的管理工具，允许通过多种手段，快捷管理、配置和监控系统运行状况，为系统正常运行提供技术保障。</w:t>
      </w:r>
    </w:p>
    <w:p w14:paraId="6B2E3401">
      <w:pPr>
        <w:spacing w:line="360" w:lineRule="auto"/>
        <w:jc w:val="left"/>
        <w:outlineLvl w:val="1"/>
        <w:rPr>
          <w:b/>
          <w:bCs/>
          <w:color w:val="auto"/>
          <w:sz w:val="28"/>
          <w:szCs w:val="28"/>
          <w:highlight w:val="none"/>
        </w:rPr>
      </w:pPr>
      <w:bookmarkStart w:id="1001" w:name="_Toc1621"/>
      <w:bookmarkStart w:id="1002" w:name="_Toc31377"/>
      <w:bookmarkStart w:id="1003" w:name="_Toc31058"/>
      <w:bookmarkStart w:id="1004" w:name="_Toc2286"/>
      <w:bookmarkStart w:id="1005" w:name="_Toc5742"/>
      <w:bookmarkStart w:id="1006" w:name="_Toc29573"/>
      <w:bookmarkStart w:id="1007" w:name="_Toc22288"/>
      <w:r>
        <w:rPr>
          <w:b/>
          <w:bCs/>
          <w:color w:val="auto"/>
          <w:sz w:val="28"/>
          <w:szCs w:val="28"/>
          <w:highlight w:val="none"/>
        </w:rPr>
        <w:t>3.9可升级性</w:t>
      </w:r>
      <w:bookmarkEnd w:id="1001"/>
      <w:bookmarkEnd w:id="1002"/>
      <w:bookmarkEnd w:id="1003"/>
      <w:bookmarkEnd w:id="1004"/>
      <w:bookmarkEnd w:id="1005"/>
      <w:bookmarkEnd w:id="1006"/>
      <w:bookmarkEnd w:id="1007"/>
    </w:p>
    <w:p w14:paraId="0BF1AEBD">
      <w:pPr>
        <w:spacing w:line="360" w:lineRule="auto"/>
        <w:ind w:firstLine="560" w:firstLineChars="200"/>
        <w:jc w:val="left"/>
        <w:rPr>
          <w:color w:val="auto"/>
          <w:sz w:val="28"/>
          <w:szCs w:val="28"/>
          <w:highlight w:val="none"/>
        </w:rPr>
      </w:pPr>
      <w:r>
        <w:rPr>
          <w:color w:val="auto"/>
          <w:sz w:val="28"/>
          <w:szCs w:val="28"/>
          <w:highlight w:val="none"/>
        </w:rPr>
        <w:t>在质保期内提供免费升级服务与相应的技术支持及培训。</w:t>
      </w:r>
    </w:p>
    <w:p w14:paraId="25B4F415">
      <w:pPr>
        <w:spacing w:line="360" w:lineRule="auto"/>
        <w:jc w:val="left"/>
        <w:outlineLvl w:val="1"/>
        <w:rPr>
          <w:b/>
          <w:bCs/>
          <w:color w:val="auto"/>
          <w:sz w:val="28"/>
          <w:szCs w:val="28"/>
          <w:highlight w:val="none"/>
        </w:rPr>
      </w:pPr>
      <w:bookmarkStart w:id="1008" w:name="_Toc10194"/>
      <w:bookmarkStart w:id="1009" w:name="_Toc11667"/>
      <w:bookmarkStart w:id="1010" w:name="_Toc14505"/>
      <w:bookmarkStart w:id="1011" w:name="_Toc25601"/>
      <w:bookmarkStart w:id="1012" w:name="_Toc26603"/>
      <w:bookmarkStart w:id="1013" w:name="_Toc32497"/>
      <w:bookmarkStart w:id="1014" w:name="_Toc2379"/>
      <w:r>
        <w:rPr>
          <w:b/>
          <w:bCs/>
          <w:color w:val="auto"/>
          <w:sz w:val="28"/>
          <w:szCs w:val="28"/>
          <w:highlight w:val="none"/>
        </w:rPr>
        <w:t>3.10完整性</w:t>
      </w:r>
      <w:bookmarkEnd w:id="1008"/>
      <w:bookmarkEnd w:id="1009"/>
      <w:bookmarkEnd w:id="1010"/>
      <w:bookmarkEnd w:id="1011"/>
      <w:bookmarkEnd w:id="1012"/>
      <w:bookmarkEnd w:id="1013"/>
      <w:bookmarkEnd w:id="1014"/>
    </w:p>
    <w:p w14:paraId="6C7383C5">
      <w:pPr>
        <w:spacing w:line="360" w:lineRule="auto"/>
        <w:ind w:firstLine="560" w:firstLineChars="200"/>
        <w:jc w:val="left"/>
        <w:rPr>
          <w:color w:val="auto"/>
          <w:sz w:val="28"/>
          <w:szCs w:val="28"/>
          <w:highlight w:val="none"/>
        </w:rPr>
      </w:pPr>
      <w:r>
        <w:rPr>
          <w:color w:val="auto"/>
          <w:sz w:val="28"/>
          <w:szCs w:val="28"/>
          <w:highlight w:val="none"/>
        </w:rPr>
        <w:t>投标人应对本用户需求进行完全理解，充分研究东莞市轨道交通业务特点，对项目现场进行详细了解，对所提供系统的建设方案完整性负全责。</w:t>
      </w:r>
    </w:p>
    <w:p w14:paraId="5DEC5BA7">
      <w:pPr>
        <w:spacing w:line="360" w:lineRule="auto"/>
        <w:jc w:val="left"/>
        <w:outlineLvl w:val="1"/>
        <w:rPr>
          <w:b/>
          <w:bCs/>
          <w:color w:val="auto"/>
          <w:sz w:val="28"/>
          <w:szCs w:val="28"/>
          <w:highlight w:val="none"/>
        </w:rPr>
      </w:pPr>
      <w:bookmarkStart w:id="1015" w:name="_Toc26328"/>
      <w:bookmarkStart w:id="1016" w:name="_Toc29628"/>
      <w:bookmarkStart w:id="1017" w:name="_Toc3727"/>
      <w:bookmarkStart w:id="1018" w:name="_Toc15992"/>
      <w:bookmarkStart w:id="1019" w:name="_Toc29017"/>
      <w:bookmarkStart w:id="1020" w:name="_Toc29942"/>
      <w:bookmarkStart w:id="1021" w:name="_Toc9911"/>
      <w:r>
        <w:rPr>
          <w:b/>
          <w:bCs/>
          <w:color w:val="auto"/>
          <w:sz w:val="28"/>
          <w:szCs w:val="28"/>
          <w:highlight w:val="none"/>
        </w:rPr>
        <w:t>3.11集成性</w:t>
      </w:r>
      <w:bookmarkEnd w:id="1015"/>
      <w:bookmarkEnd w:id="1016"/>
      <w:bookmarkEnd w:id="1017"/>
      <w:bookmarkEnd w:id="1018"/>
      <w:bookmarkEnd w:id="1019"/>
      <w:bookmarkEnd w:id="1020"/>
      <w:bookmarkEnd w:id="1021"/>
    </w:p>
    <w:p w14:paraId="12136D80">
      <w:pPr>
        <w:spacing w:line="360" w:lineRule="auto"/>
        <w:ind w:firstLine="560" w:firstLineChars="200"/>
        <w:jc w:val="left"/>
        <w:rPr>
          <w:color w:val="auto"/>
          <w:sz w:val="28"/>
          <w:szCs w:val="28"/>
          <w:highlight w:val="none"/>
        </w:rPr>
      </w:pPr>
      <w:r>
        <w:rPr>
          <w:color w:val="auto"/>
          <w:sz w:val="28"/>
          <w:szCs w:val="28"/>
          <w:highlight w:val="none"/>
        </w:rPr>
        <w:t>系统具有良好的集成性，对流程审批、数据获取、信息集成等功能提供标准接口，以实现与其他相关系统的功能和数据共享与交换。</w:t>
      </w:r>
      <w:r>
        <w:rPr>
          <w:rFonts w:hint="eastAsia"/>
          <w:color w:val="auto"/>
          <w:sz w:val="28"/>
          <w:szCs w:val="28"/>
          <w:highlight w:val="none"/>
          <w:lang w:val="en-US" w:eastAsia="zh-CN"/>
        </w:rPr>
        <w:t>投标人所开发的无人机巡查系统需满足所采购无人机场和无人机硬件设备接口的兼容性，确保整套无人机巡查系统能正常运作。</w:t>
      </w:r>
    </w:p>
    <w:p w14:paraId="15BF74D6">
      <w:pPr>
        <w:spacing w:line="360" w:lineRule="auto"/>
        <w:outlineLvl w:val="0"/>
        <w:rPr>
          <w:b/>
          <w:bCs/>
          <w:color w:val="auto"/>
          <w:sz w:val="28"/>
          <w:szCs w:val="28"/>
          <w:highlight w:val="none"/>
        </w:rPr>
      </w:pPr>
      <w:bookmarkStart w:id="1022" w:name="_Toc26414"/>
      <w:bookmarkStart w:id="1023" w:name="_Toc12576"/>
      <w:bookmarkStart w:id="1024" w:name="_Toc15234"/>
      <w:bookmarkStart w:id="1025" w:name="_Toc18511"/>
      <w:bookmarkStart w:id="1026" w:name="_Toc7628"/>
      <w:bookmarkStart w:id="1027" w:name="_Toc25383"/>
      <w:bookmarkStart w:id="1028" w:name="_Toc3913"/>
      <w:r>
        <w:rPr>
          <w:b/>
          <w:bCs/>
          <w:color w:val="auto"/>
          <w:sz w:val="28"/>
          <w:szCs w:val="28"/>
          <w:highlight w:val="none"/>
        </w:rPr>
        <w:t>4系统用户需求</w:t>
      </w:r>
      <w:bookmarkEnd w:id="1022"/>
      <w:bookmarkEnd w:id="1023"/>
      <w:bookmarkEnd w:id="1024"/>
      <w:bookmarkEnd w:id="1025"/>
      <w:bookmarkEnd w:id="1026"/>
      <w:bookmarkEnd w:id="1027"/>
      <w:bookmarkEnd w:id="1028"/>
    </w:p>
    <w:p w14:paraId="6A790B4B">
      <w:pPr>
        <w:spacing w:line="360" w:lineRule="auto"/>
        <w:jc w:val="left"/>
        <w:outlineLvl w:val="1"/>
        <w:rPr>
          <w:b/>
          <w:bCs/>
          <w:color w:val="auto"/>
          <w:sz w:val="28"/>
          <w:szCs w:val="28"/>
          <w:highlight w:val="none"/>
        </w:rPr>
      </w:pPr>
      <w:bookmarkStart w:id="1029" w:name="_Toc12758"/>
      <w:bookmarkStart w:id="1030" w:name="_Toc5947"/>
      <w:bookmarkStart w:id="1031" w:name="_Toc13313"/>
      <w:bookmarkStart w:id="1032" w:name="_Toc22010"/>
      <w:bookmarkStart w:id="1033" w:name="_Toc12124"/>
      <w:bookmarkStart w:id="1034" w:name="_Toc30663"/>
      <w:bookmarkStart w:id="1035" w:name="_Toc23381"/>
      <w:r>
        <w:rPr>
          <w:b/>
          <w:bCs/>
          <w:color w:val="auto"/>
          <w:sz w:val="28"/>
          <w:szCs w:val="28"/>
          <w:highlight w:val="none"/>
        </w:rPr>
        <w:t>4.1系统功能要求</w:t>
      </w:r>
      <w:bookmarkEnd w:id="1029"/>
      <w:bookmarkEnd w:id="1030"/>
      <w:bookmarkEnd w:id="1031"/>
      <w:bookmarkEnd w:id="1032"/>
      <w:bookmarkEnd w:id="1033"/>
      <w:bookmarkEnd w:id="1034"/>
      <w:bookmarkEnd w:id="1035"/>
    </w:p>
    <w:p w14:paraId="0F31F0AC">
      <w:pPr>
        <w:spacing w:line="360" w:lineRule="auto"/>
        <w:ind w:firstLine="560" w:firstLineChars="200"/>
        <w:jc w:val="left"/>
        <w:rPr>
          <w:color w:val="auto"/>
          <w:sz w:val="28"/>
          <w:szCs w:val="28"/>
          <w:highlight w:val="none"/>
        </w:rPr>
      </w:pPr>
      <w:r>
        <w:rPr>
          <w:color w:val="auto"/>
          <w:sz w:val="28"/>
          <w:szCs w:val="28"/>
          <w:highlight w:val="none"/>
        </w:rPr>
        <w:t>本系统综合运用物联网、大数据、GIS等信息技术，终端设备与管理过程、流程及标准深度融合，建立地铁保护区管理“全过程”“全覆盖”“全流程”的东莞市轨道交通1号线运营期地铁控制保护区综合管理平台。</w:t>
      </w:r>
    </w:p>
    <w:p w14:paraId="1CDB7546">
      <w:pPr>
        <w:spacing w:line="360" w:lineRule="auto"/>
        <w:ind w:firstLine="562" w:firstLineChars="200"/>
        <w:jc w:val="left"/>
        <w:outlineLvl w:val="2"/>
        <w:rPr>
          <w:b/>
          <w:bCs/>
          <w:color w:val="auto"/>
          <w:sz w:val="28"/>
          <w:szCs w:val="28"/>
          <w:highlight w:val="none"/>
        </w:rPr>
      </w:pPr>
      <w:bookmarkStart w:id="1036" w:name="_Toc26537"/>
      <w:bookmarkStart w:id="1037" w:name="_Toc25355"/>
      <w:bookmarkStart w:id="1038" w:name="_Toc3861"/>
      <w:bookmarkStart w:id="1039" w:name="_Toc17530"/>
      <w:bookmarkStart w:id="1040" w:name="_Toc31436"/>
      <w:r>
        <w:rPr>
          <w:b/>
          <w:bCs/>
          <w:color w:val="auto"/>
          <w:sz w:val="28"/>
          <w:szCs w:val="28"/>
          <w:highlight w:val="none"/>
        </w:rPr>
        <w:t>4.1.1系统构架</w:t>
      </w:r>
      <w:bookmarkEnd w:id="1036"/>
      <w:bookmarkEnd w:id="1037"/>
      <w:bookmarkEnd w:id="1038"/>
      <w:bookmarkEnd w:id="1039"/>
      <w:bookmarkEnd w:id="1040"/>
    </w:p>
    <w:p w14:paraId="52796A00">
      <w:pPr>
        <w:spacing w:line="360" w:lineRule="auto"/>
        <w:ind w:firstLine="560" w:firstLineChars="200"/>
        <w:jc w:val="left"/>
        <w:rPr>
          <w:color w:val="auto"/>
          <w:sz w:val="28"/>
          <w:szCs w:val="28"/>
          <w:highlight w:val="none"/>
        </w:rPr>
      </w:pPr>
      <w:r>
        <w:rPr>
          <w:color w:val="auto"/>
          <w:sz w:val="28"/>
          <w:szCs w:val="28"/>
          <w:highlight w:val="none"/>
        </w:rPr>
        <w:t>1）开放性：平台架构需确保开放体系与接口，遵循相关技术规范，支持主流集成接口，实现配置式单点登录与数据交换。</w:t>
      </w:r>
    </w:p>
    <w:p w14:paraId="29A3A8A2">
      <w:pPr>
        <w:spacing w:line="360" w:lineRule="auto"/>
        <w:ind w:firstLine="560" w:firstLineChars="200"/>
        <w:jc w:val="left"/>
        <w:rPr>
          <w:color w:val="auto"/>
          <w:sz w:val="28"/>
          <w:szCs w:val="28"/>
          <w:highlight w:val="none"/>
        </w:rPr>
      </w:pPr>
      <w:r>
        <w:rPr>
          <w:color w:val="auto"/>
          <w:sz w:val="28"/>
          <w:szCs w:val="28"/>
          <w:highlight w:val="none"/>
        </w:rPr>
        <w:t>2）跨平台支持：采用开放式技术架构，客户端与服务端兼容多种操作系统与主流数据库，采用B/S架构支持浏览器访问，移动端支持定制APP或集成企业微信平台。</w:t>
      </w:r>
    </w:p>
    <w:p w14:paraId="5F7F549C">
      <w:pPr>
        <w:spacing w:line="360" w:lineRule="auto"/>
        <w:ind w:firstLine="560" w:firstLineChars="200"/>
        <w:jc w:val="left"/>
        <w:rPr>
          <w:color w:val="auto"/>
          <w:sz w:val="28"/>
          <w:szCs w:val="28"/>
          <w:highlight w:val="none"/>
        </w:rPr>
      </w:pPr>
      <w:r>
        <w:rPr>
          <w:color w:val="auto"/>
          <w:sz w:val="28"/>
          <w:szCs w:val="28"/>
          <w:highlight w:val="none"/>
        </w:rPr>
        <w:t>3）服务器兼容性：系统需在最新Windows Server或Linux发行版上稳定运行。</w:t>
      </w:r>
    </w:p>
    <w:p w14:paraId="1CDAE42A">
      <w:pPr>
        <w:spacing w:line="360" w:lineRule="auto"/>
        <w:ind w:firstLine="560" w:firstLineChars="200"/>
        <w:jc w:val="left"/>
        <w:rPr>
          <w:color w:val="auto"/>
          <w:sz w:val="28"/>
          <w:szCs w:val="28"/>
          <w:highlight w:val="none"/>
        </w:rPr>
      </w:pPr>
      <w:r>
        <w:rPr>
          <w:color w:val="auto"/>
          <w:sz w:val="28"/>
          <w:szCs w:val="28"/>
          <w:highlight w:val="none"/>
        </w:rPr>
        <w:t>4）数据库支持：兼容SQL Server、Oracle、MySQL等主流数据库，提供永久授权文件（如为商业软件）。</w:t>
      </w:r>
    </w:p>
    <w:p w14:paraId="1CC85258">
      <w:pPr>
        <w:spacing w:line="360" w:lineRule="auto"/>
        <w:ind w:firstLine="560" w:firstLineChars="200"/>
        <w:jc w:val="left"/>
        <w:rPr>
          <w:color w:val="auto"/>
          <w:sz w:val="28"/>
          <w:szCs w:val="28"/>
          <w:highlight w:val="none"/>
          <w:lang w:val="zh-CN"/>
        </w:rPr>
      </w:pPr>
      <w:r>
        <w:rPr>
          <w:color w:val="auto"/>
          <w:sz w:val="28"/>
          <w:szCs w:val="28"/>
          <w:highlight w:val="none"/>
        </w:rPr>
        <w:t>5）数据备份与恢复：支持全量、增量数据备份，确保服务器间数据无损转移，快速恢复备份数据以投入使用</w:t>
      </w:r>
      <w:r>
        <w:rPr>
          <w:color w:val="auto"/>
          <w:sz w:val="28"/>
          <w:szCs w:val="28"/>
          <w:highlight w:val="none"/>
          <w:lang w:val="zh-CN"/>
        </w:rPr>
        <w:t>。</w:t>
      </w:r>
    </w:p>
    <w:p w14:paraId="52676938">
      <w:pPr>
        <w:spacing w:line="360" w:lineRule="auto"/>
        <w:ind w:firstLine="560" w:firstLineChars="200"/>
        <w:jc w:val="left"/>
        <w:rPr>
          <w:rFonts w:hint="default" w:eastAsia="宋体"/>
          <w:color w:val="auto"/>
          <w:sz w:val="28"/>
          <w:szCs w:val="28"/>
          <w:highlight w:val="none"/>
          <w:lang w:val="en-US" w:eastAsia="zh-CN"/>
        </w:rPr>
      </w:pPr>
      <w:r>
        <w:rPr>
          <w:rFonts w:hint="default"/>
          <w:color w:val="auto"/>
          <w:sz w:val="28"/>
          <w:szCs w:val="28"/>
          <w:highlight w:val="none"/>
          <w:lang w:val="en-US" w:eastAsia="zh-CN"/>
        </w:rPr>
        <w:t>6）系统架构需按照</w:t>
      </w:r>
      <w:r>
        <w:rPr>
          <w:rFonts w:hint="default" w:ascii="Times New Roman" w:hAnsi="Times New Roman" w:eastAsia="宋体" w:cs="Times New Roman"/>
          <w:color w:val="auto"/>
          <w:sz w:val="28"/>
          <w:szCs w:val="28"/>
          <w:highlight w:val="none"/>
          <w:lang w:val="en-US" w:eastAsia="zh-CN" w:bidi="ar"/>
        </w:rPr>
        <w:t>国家</w:t>
      </w:r>
      <w:r>
        <w:rPr>
          <w:rFonts w:hint="eastAsia" w:cs="Times New Roman"/>
          <w:color w:val="auto"/>
          <w:sz w:val="28"/>
          <w:szCs w:val="28"/>
          <w:highlight w:val="none"/>
          <w:lang w:val="en-US" w:eastAsia="zh-CN" w:bidi="ar"/>
        </w:rPr>
        <w:t>信创</w:t>
      </w:r>
      <w:r>
        <w:rPr>
          <w:rFonts w:hint="default" w:ascii="Times New Roman" w:hAnsi="Times New Roman" w:eastAsia="宋体" w:cs="Times New Roman"/>
          <w:color w:val="auto"/>
          <w:sz w:val="28"/>
          <w:szCs w:val="28"/>
          <w:highlight w:val="none"/>
          <w:lang w:val="en-US" w:eastAsia="zh-CN" w:bidi="ar"/>
        </w:rPr>
        <w:t>要求建设，</w:t>
      </w:r>
      <w:r>
        <w:rPr>
          <w:rFonts w:hint="eastAsia" w:cs="Times New Roman"/>
          <w:color w:val="auto"/>
          <w:sz w:val="28"/>
          <w:szCs w:val="28"/>
          <w:highlight w:val="none"/>
          <w:lang w:val="en-US" w:eastAsia="zh-CN" w:bidi="ar"/>
        </w:rPr>
        <w:t>并需提供相应新创操作系统和信创数据库。</w:t>
      </w:r>
    </w:p>
    <w:p w14:paraId="33468E5C">
      <w:pPr>
        <w:spacing w:line="360" w:lineRule="auto"/>
        <w:ind w:firstLine="562" w:firstLineChars="200"/>
        <w:jc w:val="left"/>
        <w:outlineLvl w:val="2"/>
        <w:rPr>
          <w:b/>
          <w:bCs/>
          <w:color w:val="auto"/>
          <w:sz w:val="28"/>
          <w:szCs w:val="28"/>
          <w:highlight w:val="none"/>
        </w:rPr>
      </w:pPr>
      <w:bookmarkStart w:id="1041" w:name="_Toc9709"/>
      <w:bookmarkStart w:id="1042" w:name="_Toc27038"/>
      <w:bookmarkStart w:id="1043" w:name="_Toc31520"/>
      <w:bookmarkStart w:id="1044" w:name="_Toc22124"/>
      <w:bookmarkStart w:id="1045" w:name="_Toc1578"/>
      <w:r>
        <w:rPr>
          <w:b/>
          <w:bCs/>
          <w:color w:val="auto"/>
          <w:sz w:val="28"/>
          <w:szCs w:val="28"/>
          <w:highlight w:val="none"/>
        </w:rPr>
        <w:t>4.1.2系统性能要求</w:t>
      </w:r>
      <w:bookmarkEnd w:id="1041"/>
      <w:bookmarkEnd w:id="1042"/>
      <w:bookmarkEnd w:id="1043"/>
      <w:bookmarkEnd w:id="1044"/>
      <w:bookmarkEnd w:id="1045"/>
    </w:p>
    <w:p w14:paraId="78E4DD87">
      <w:pPr>
        <w:spacing w:line="360" w:lineRule="auto"/>
        <w:ind w:firstLine="560" w:firstLineChars="200"/>
        <w:jc w:val="left"/>
        <w:rPr>
          <w:color w:val="auto"/>
          <w:sz w:val="28"/>
          <w:szCs w:val="28"/>
          <w:highlight w:val="none"/>
        </w:rPr>
      </w:pPr>
      <w:r>
        <w:rPr>
          <w:color w:val="auto"/>
          <w:sz w:val="28"/>
          <w:szCs w:val="28"/>
          <w:highlight w:val="none"/>
        </w:rPr>
        <w:t>1）并发处理能力：支持200+并发用户请求，系统容量超出时不应崩溃。</w:t>
      </w:r>
    </w:p>
    <w:p w14:paraId="78EF5E74">
      <w:pPr>
        <w:spacing w:line="360" w:lineRule="auto"/>
        <w:ind w:firstLine="560" w:firstLineChars="200"/>
        <w:jc w:val="left"/>
        <w:rPr>
          <w:color w:val="auto"/>
          <w:sz w:val="28"/>
          <w:szCs w:val="28"/>
          <w:highlight w:val="none"/>
        </w:rPr>
      </w:pPr>
      <w:r>
        <w:rPr>
          <w:color w:val="auto"/>
          <w:sz w:val="28"/>
          <w:szCs w:val="28"/>
          <w:highlight w:val="none"/>
        </w:rPr>
        <w:t>2）资源利用率：服务器CPU与内存使用率均控制在70%以下。</w:t>
      </w:r>
    </w:p>
    <w:p w14:paraId="13CC66D2">
      <w:pPr>
        <w:spacing w:line="360" w:lineRule="auto"/>
        <w:ind w:firstLine="560" w:firstLineChars="200"/>
        <w:jc w:val="left"/>
        <w:rPr>
          <w:color w:val="auto"/>
          <w:sz w:val="28"/>
          <w:szCs w:val="28"/>
          <w:highlight w:val="none"/>
        </w:rPr>
      </w:pPr>
      <w:r>
        <w:rPr>
          <w:color w:val="auto"/>
          <w:sz w:val="28"/>
          <w:szCs w:val="28"/>
          <w:highlight w:val="none"/>
        </w:rPr>
        <w:t>3）响应速度：在网络稳定和所有系统在最大并发用户的情况下，用户打开系统页面响应要求：非报表功能页面交互&lt;2秒，报表功能页面交互&lt;3秒，特殊情况下页面交互&lt;5秒。</w:t>
      </w:r>
    </w:p>
    <w:p w14:paraId="0675CD3E">
      <w:pPr>
        <w:spacing w:line="360" w:lineRule="auto"/>
        <w:ind w:firstLine="560" w:firstLineChars="200"/>
        <w:jc w:val="left"/>
        <w:rPr>
          <w:color w:val="auto"/>
          <w:sz w:val="28"/>
          <w:szCs w:val="28"/>
          <w:highlight w:val="none"/>
        </w:rPr>
      </w:pPr>
      <w:r>
        <w:rPr>
          <w:color w:val="auto"/>
          <w:sz w:val="28"/>
          <w:szCs w:val="28"/>
          <w:highlight w:val="none"/>
        </w:rPr>
        <w:t>4）负荷持续时间：系统最高负荷不超过1小时。</w:t>
      </w:r>
    </w:p>
    <w:p w14:paraId="1C7115E9">
      <w:pPr>
        <w:spacing w:line="360" w:lineRule="auto"/>
        <w:ind w:firstLine="562" w:firstLineChars="200"/>
        <w:jc w:val="left"/>
        <w:outlineLvl w:val="2"/>
        <w:rPr>
          <w:rFonts w:hint="default" w:eastAsia="宋体"/>
          <w:b/>
          <w:bCs/>
          <w:color w:val="auto"/>
          <w:sz w:val="28"/>
          <w:szCs w:val="28"/>
          <w:highlight w:val="none"/>
          <w:lang w:val="en-US" w:eastAsia="zh-CN"/>
        </w:rPr>
      </w:pPr>
      <w:bookmarkStart w:id="1046" w:name="_Toc12013"/>
      <w:bookmarkStart w:id="1047" w:name="_Toc22640"/>
      <w:bookmarkStart w:id="1048" w:name="_Toc14681"/>
      <w:bookmarkStart w:id="1049" w:name="_Toc1780"/>
      <w:bookmarkStart w:id="1050" w:name="_Toc1709"/>
      <w:r>
        <w:rPr>
          <w:b/>
          <w:bCs/>
          <w:color w:val="auto"/>
          <w:sz w:val="28"/>
          <w:szCs w:val="28"/>
          <w:highlight w:val="none"/>
        </w:rPr>
        <w:t>4.1.3系统安全</w:t>
      </w:r>
      <w:bookmarkEnd w:id="1046"/>
      <w:bookmarkEnd w:id="1047"/>
      <w:bookmarkEnd w:id="1048"/>
      <w:bookmarkEnd w:id="1049"/>
      <w:r>
        <w:rPr>
          <w:rFonts w:hint="eastAsia"/>
          <w:b/>
          <w:bCs/>
          <w:color w:val="auto"/>
          <w:sz w:val="28"/>
          <w:szCs w:val="28"/>
          <w:highlight w:val="none"/>
          <w:lang w:val="en-US" w:eastAsia="zh-CN"/>
        </w:rPr>
        <w:t>第三方测评要求</w:t>
      </w:r>
      <w:bookmarkEnd w:id="1050"/>
    </w:p>
    <w:p w14:paraId="2974EC82">
      <w:pPr>
        <w:spacing w:line="360" w:lineRule="auto"/>
        <w:ind w:firstLine="560" w:firstLineChars="200"/>
        <w:jc w:val="left"/>
        <w:rPr>
          <w:rFonts w:hint="eastAsia" w:eastAsia="宋体"/>
          <w:color w:val="auto"/>
          <w:sz w:val="28"/>
          <w:szCs w:val="28"/>
          <w:highlight w:val="none"/>
          <w:lang w:val="en-US" w:eastAsia="zh-CN"/>
        </w:rPr>
      </w:pPr>
      <w:r>
        <w:rPr>
          <w:color w:val="auto"/>
          <w:sz w:val="28"/>
          <w:szCs w:val="28"/>
          <w:highlight w:val="none"/>
        </w:rPr>
        <w:t>系统应符合信息安全等级保护二级标准。检测所需费用全部由投标人承担</w:t>
      </w:r>
      <w:r>
        <w:rPr>
          <w:rFonts w:hint="eastAsia"/>
          <w:color w:val="auto"/>
          <w:sz w:val="28"/>
          <w:szCs w:val="28"/>
          <w:highlight w:val="none"/>
          <w:lang w:eastAsia="zh-CN"/>
        </w:rPr>
        <w:t>，</w:t>
      </w:r>
      <w:r>
        <w:rPr>
          <w:rFonts w:hint="eastAsia"/>
          <w:color w:val="auto"/>
          <w:sz w:val="28"/>
          <w:szCs w:val="28"/>
          <w:highlight w:val="none"/>
          <w:lang w:val="en-US" w:eastAsia="zh-CN"/>
        </w:rPr>
        <w:t>并应同步进</w:t>
      </w:r>
      <w:r>
        <w:rPr>
          <w:rFonts w:hint="default"/>
          <w:color w:val="auto"/>
          <w:sz w:val="28"/>
          <w:szCs w:val="28"/>
          <w:highlight w:val="none"/>
          <w:lang w:val="en-US" w:eastAsia="zh-CN"/>
        </w:rPr>
        <w:t>行</w:t>
      </w:r>
      <w:r>
        <w:rPr>
          <w:rFonts w:hint="eastAsia"/>
          <w:color w:val="auto"/>
          <w:sz w:val="28"/>
          <w:szCs w:val="28"/>
          <w:highlight w:val="none"/>
          <w:lang w:val="en-US" w:eastAsia="zh-CN"/>
        </w:rPr>
        <w:t>相应的</w:t>
      </w:r>
      <w:r>
        <w:rPr>
          <w:rFonts w:hint="default" w:ascii="Times New Roman" w:hAnsi="Times New Roman" w:eastAsia="宋体" w:cs="Times New Roman"/>
          <w:color w:val="auto"/>
          <w:sz w:val="28"/>
          <w:szCs w:val="28"/>
          <w:highlight w:val="none"/>
          <w:lang w:val="en-US" w:eastAsia="zh-CN" w:bidi="ar"/>
        </w:rPr>
        <w:t>网络安全防护和测评备案工作</w:t>
      </w:r>
      <w:r>
        <w:rPr>
          <w:rFonts w:hint="eastAsia" w:cs="Times New Roman"/>
          <w:color w:val="auto"/>
          <w:sz w:val="28"/>
          <w:szCs w:val="28"/>
          <w:highlight w:val="none"/>
          <w:lang w:val="en-US" w:eastAsia="zh-CN" w:bidi="ar"/>
        </w:rPr>
        <w:t>。</w:t>
      </w:r>
    </w:p>
    <w:p w14:paraId="5617F504">
      <w:pPr>
        <w:spacing w:line="360" w:lineRule="auto"/>
        <w:ind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测试内容：根据本项目系统应用场景，评估为等保二级系统，项目初步验收前，需通过信息系统网络安全等级保护二级测评及备案工作。</w:t>
      </w:r>
    </w:p>
    <w:p w14:paraId="68B76254">
      <w:pPr>
        <w:spacing w:line="360" w:lineRule="auto"/>
        <w:ind w:firstLine="560" w:firstLineChars="200"/>
        <w:jc w:val="left"/>
        <w:rPr>
          <w:rFonts w:hint="default"/>
          <w:color w:val="auto"/>
          <w:sz w:val="28"/>
          <w:szCs w:val="28"/>
          <w:highlight w:val="none"/>
          <w:lang w:val="en-US" w:eastAsia="zh-CN"/>
        </w:rPr>
      </w:pPr>
      <w:r>
        <w:rPr>
          <w:rFonts w:hint="eastAsia"/>
          <w:color w:val="auto"/>
          <w:sz w:val="28"/>
          <w:szCs w:val="28"/>
          <w:highlight w:val="none"/>
          <w:lang w:val="en-US" w:eastAsia="zh-CN"/>
        </w:rPr>
        <w:t>测试要求：</w:t>
      </w:r>
      <w:r>
        <w:rPr>
          <w:rFonts w:hint="default"/>
          <w:color w:val="auto"/>
          <w:sz w:val="28"/>
          <w:szCs w:val="28"/>
          <w:highlight w:val="none"/>
          <w:lang w:val="en-US" w:eastAsia="zh-CN"/>
        </w:rPr>
        <w:t>由</w:t>
      </w:r>
      <w:r>
        <w:rPr>
          <w:rFonts w:hint="eastAsia"/>
          <w:color w:val="auto"/>
          <w:sz w:val="28"/>
          <w:szCs w:val="28"/>
          <w:highlight w:val="none"/>
          <w:lang w:val="en-US" w:eastAsia="zh-CN"/>
        </w:rPr>
        <w:t>投标人</w:t>
      </w:r>
      <w:r>
        <w:rPr>
          <w:rFonts w:hint="default"/>
          <w:color w:val="auto"/>
          <w:sz w:val="28"/>
          <w:szCs w:val="28"/>
          <w:highlight w:val="none"/>
          <w:lang w:val="en-US" w:eastAsia="zh-CN"/>
        </w:rPr>
        <w:t>负责安排有相关资质的第三方等保专业测评公司开展本项目的测评工作，第三方测评公司须具备国家认可的相关资质，须经过</w:t>
      </w:r>
      <w:r>
        <w:rPr>
          <w:rFonts w:hint="eastAsia"/>
          <w:color w:val="auto"/>
          <w:sz w:val="28"/>
          <w:szCs w:val="28"/>
          <w:highlight w:val="none"/>
          <w:lang w:val="en-US" w:eastAsia="zh-CN"/>
        </w:rPr>
        <w:t>招标人</w:t>
      </w:r>
      <w:r>
        <w:rPr>
          <w:rFonts w:hint="default"/>
          <w:color w:val="auto"/>
          <w:sz w:val="28"/>
          <w:szCs w:val="28"/>
          <w:highlight w:val="none"/>
          <w:lang w:val="en-US" w:eastAsia="zh-CN"/>
        </w:rPr>
        <w:t>确认后方可进行测试。</w:t>
      </w:r>
    </w:p>
    <w:p w14:paraId="50E70FA3">
      <w:pPr>
        <w:spacing w:line="360" w:lineRule="auto"/>
        <w:ind w:firstLine="560" w:firstLineChars="200"/>
        <w:jc w:val="left"/>
        <w:rPr>
          <w:rFonts w:hint="default"/>
          <w:color w:val="auto"/>
          <w:sz w:val="28"/>
          <w:szCs w:val="28"/>
          <w:highlight w:val="none"/>
          <w:lang w:val="en-US" w:eastAsia="zh-CN"/>
        </w:rPr>
      </w:pPr>
      <w:r>
        <w:rPr>
          <w:rFonts w:hint="default"/>
          <w:color w:val="auto"/>
          <w:sz w:val="28"/>
          <w:szCs w:val="28"/>
          <w:highlight w:val="none"/>
          <w:lang w:val="en-US" w:eastAsia="zh-CN"/>
        </w:rPr>
        <w:t>相关测试内容必须通过第三方等保测评和备案才能进行初步验收。</w:t>
      </w:r>
    </w:p>
    <w:p w14:paraId="22F10EC9">
      <w:pPr>
        <w:spacing w:line="360" w:lineRule="auto"/>
        <w:ind w:firstLine="560" w:firstLineChars="200"/>
        <w:jc w:val="left"/>
        <w:rPr>
          <w:color w:val="auto"/>
          <w:sz w:val="28"/>
          <w:szCs w:val="28"/>
          <w:highlight w:val="none"/>
        </w:rPr>
      </w:pPr>
      <w:r>
        <w:rPr>
          <w:rFonts w:hint="default"/>
          <w:color w:val="auto"/>
          <w:sz w:val="28"/>
          <w:szCs w:val="28"/>
          <w:highlight w:val="none"/>
          <w:lang w:val="en-US" w:eastAsia="zh-CN"/>
        </w:rPr>
        <w:t>由于</w:t>
      </w:r>
      <w:r>
        <w:rPr>
          <w:rFonts w:hint="eastAsia"/>
          <w:color w:val="auto"/>
          <w:sz w:val="28"/>
          <w:szCs w:val="28"/>
          <w:highlight w:val="none"/>
          <w:lang w:val="en-US" w:eastAsia="zh-CN"/>
        </w:rPr>
        <w:t>投标人</w:t>
      </w:r>
      <w:r>
        <w:rPr>
          <w:rFonts w:hint="default"/>
          <w:color w:val="auto"/>
          <w:sz w:val="28"/>
          <w:szCs w:val="28"/>
          <w:highlight w:val="none"/>
          <w:lang w:val="en-US" w:eastAsia="zh-CN"/>
        </w:rPr>
        <w:t>原因导致测试不通过的责任由</w:t>
      </w:r>
      <w:r>
        <w:rPr>
          <w:rFonts w:hint="eastAsia"/>
          <w:color w:val="auto"/>
          <w:sz w:val="28"/>
          <w:szCs w:val="28"/>
          <w:highlight w:val="none"/>
          <w:lang w:val="en-US" w:eastAsia="zh-CN"/>
        </w:rPr>
        <w:t>投标人</w:t>
      </w:r>
      <w:r>
        <w:rPr>
          <w:rFonts w:hint="default"/>
          <w:color w:val="auto"/>
          <w:sz w:val="28"/>
          <w:szCs w:val="28"/>
          <w:highlight w:val="none"/>
          <w:lang w:val="en-US" w:eastAsia="zh-CN"/>
        </w:rPr>
        <w:t>承担，</w:t>
      </w:r>
      <w:r>
        <w:rPr>
          <w:rFonts w:hint="eastAsia"/>
          <w:color w:val="auto"/>
          <w:sz w:val="28"/>
          <w:szCs w:val="28"/>
          <w:highlight w:val="none"/>
          <w:lang w:val="en-US" w:eastAsia="zh-CN"/>
        </w:rPr>
        <w:t>投标人</w:t>
      </w:r>
      <w:r>
        <w:rPr>
          <w:rFonts w:hint="default"/>
          <w:color w:val="auto"/>
          <w:sz w:val="28"/>
          <w:szCs w:val="28"/>
          <w:highlight w:val="none"/>
          <w:lang w:val="en-US" w:eastAsia="zh-CN"/>
        </w:rPr>
        <w:t>应充分考虑测试不通过所带来的风险。</w:t>
      </w:r>
    </w:p>
    <w:p w14:paraId="7F2E7D09">
      <w:pPr>
        <w:spacing w:line="360" w:lineRule="auto"/>
        <w:ind w:firstLine="562" w:firstLineChars="200"/>
        <w:jc w:val="left"/>
        <w:outlineLvl w:val="2"/>
        <w:rPr>
          <w:b/>
          <w:bCs/>
          <w:color w:val="auto"/>
          <w:sz w:val="28"/>
          <w:szCs w:val="28"/>
          <w:highlight w:val="none"/>
        </w:rPr>
      </w:pPr>
      <w:bookmarkStart w:id="1051" w:name="_Toc29009"/>
      <w:bookmarkStart w:id="1052" w:name="_Toc29795"/>
      <w:bookmarkStart w:id="1053" w:name="_Toc5845"/>
      <w:bookmarkStart w:id="1054" w:name="_Toc3729"/>
      <w:bookmarkStart w:id="1055" w:name="_Toc19410"/>
      <w:r>
        <w:rPr>
          <w:b/>
          <w:bCs/>
          <w:color w:val="auto"/>
          <w:sz w:val="28"/>
          <w:szCs w:val="28"/>
          <w:highlight w:val="none"/>
        </w:rPr>
        <w:t>4.1.4运行环境要求</w:t>
      </w:r>
      <w:bookmarkEnd w:id="1051"/>
      <w:bookmarkEnd w:id="1052"/>
      <w:bookmarkEnd w:id="1053"/>
      <w:bookmarkEnd w:id="1054"/>
      <w:bookmarkEnd w:id="1055"/>
    </w:p>
    <w:p w14:paraId="7F2745F3">
      <w:pPr>
        <w:spacing w:line="360" w:lineRule="auto"/>
        <w:ind w:firstLine="560" w:firstLineChars="200"/>
        <w:jc w:val="left"/>
        <w:rPr>
          <w:color w:val="auto"/>
          <w:sz w:val="28"/>
          <w:szCs w:val="28"/>
          <w:highlight w:val="none"/>
        </w:rPr>
      </w:pPr>
      <w:r>
        <w:rPr>
          <w:color w:val="auto"/>
          <w:sz w:val="28"/>
          <w:szCs w:val="28"/>
          <w:highlight w:val="none"/>
        </w:rPr>
        <w:t>4.1.4.1 系统部署要求</w:t>
      </w:r>
    </w:p>
    <w:p w14:paraId="3337E334">
      <w:pPr>
        <w:spacing w:line="360" w:lineRule="auto"/>
        <w:ind w:firstLine="560" w:firstLineChars="200"/>
        <w:jc w:val="left"/>
        <w:rPr>
          <w:rFonts w:hint="default" w:eastAsia="宋体"/>
          <w:color w:val="auto"/>
          <w:sz w:val="28"/>
          <w:szCs w:val="28"/>
          <w:highlight w:val="none"/>
          <w:lang w:val="en-US" w:eastAsia="zh-CN"/>
        </w:rPr>
      </w:pPr>
      <w:r>
        <w:rPr>
          <w:color w:val="auto"/>
          <w:sz w:val="28"/>
          <w:szCs w:val="28"/>
          <w:highlight w:val="none"/>
        </w:rPr>
        <w:t>系统部署环境分两个阶段，项目前期将</w:t>
      </w:r>
      <w:r>
        <w:rPr>
          <w:color w:val="auto"/>
          <w:sz w:val="28"/>
          <w:szCs w:val="28"/>
          <w:highlight w:val="none"/>
          <w:lang w:bidi="ar"/>
        </w:rPr>
        <w:t>首先部署在公有云环境下，确保网络通畅、正常运行；到</w:t>
      </w:r>
      <w:r>
        <w:rPr>
          <w:rFonts w:hint="eastAsia" w:eastAsia="宋体"/>
          <w:color w:val="auto"/>
          <w:sz w:val="28"/>
          <w:szCs w:val="28"/>
          <w:highlight w:val="none"/>
          <w:lang w:eastAsia="zh-CN" w:bidi="ar"/>
        </w:rPr>
        <w:t>招标人私有云平台建设完成后，</w:t>
      </w:r>
      <w:r>
        <w:rPr>
          <w:color w:val="auto"/>
          <w:sz w:val="28"/>
          <w:szCs w:val="28"/>
          <w:highlight w:val="none"/>
          <w:lang w:bidi="ar"/>
        </w:rPr>
        <w:t>需配合</w:t>
      </w:r>
      <w:r>
        <w:rPr>
          <w:rFonts w:hint="eastAsia"/>
          <w:color w:val="auto"/>
          <w:sz w:val="28"/>
          <w:szCs w:val="28"/>
          <w:highlight w:val="none"/>
          <w:lang w:bidi="ar"/>
        </w:rPr>
        <w:t>招标人</w:t>
      </w:r>
      <w:r>
        <w:rPr>
          <w:color w:val="auto"/>
          <w:sz w:val="28"/>
          <w:szCs w:val="28"/>
          <w:highlight w:val="none"/>
          <w:lang w:bidi="ar"/>
        </w:rPr>
        <w:t>进行系统转移工作，系统将迁移</w:t>
      </w:r>
      <w:r>
        <w:rPr>
          <w:color w:val="auto"/>
          <w:sz w:val="28"/>
          <w:szCs w:val="28"/>
          <w:highlight w:val="none"/>
        </w:rPr>
        <w:t>部署至实施信创适配后的私有云平台。</w:t>
      </w:r>
      <w:r>
        <w:rPr>
          <w:rFonts w:hint="eastAsia"/>
          <w:color w:val="auto"/>
          <w:sz w:val="28"/>
          <w:szCs w:val="28"/>
          <w:highlight w:val="none"/>
          <w:lang w:val="en-US" w:eastAsia="zh-CN" w:bidi="ar"/>
        </w:rPr>
        <w:t>前后两阶段的公有云和私有云平台环境均需</w:t>
      </w:r>
      <w:r>
        <w:rPr>
          <w:rFonts w:hint="eastAsia" w:ascii="Times New Roman" w:hAnsi="Times New Roman" w:eastAsia="宋体" w:cs="Times New Roman"/>
          <w:color w:val="auto"/>
          <w:sz w:val="28"/>
          <w:szCs w:val="28"/>
          <w:highlight w:val="none"/>
          <w:lang w:val="en-US" w:eastAsia="zh-CN" w:bidi="ar"/>
        </w:rPr>
        <w:t>按照二级等保防护要求，进行相应</w:t>
      </w:r>
      <w:r>
        <w:rPr>
          <w:rFonts w:hint="eastAsia" w:cs="Times New Roman"/>
          <w:color w:val="auto"/>
          <w:sz w:val="28"/>
          <w:szCs w:val="28"/>
          <w:highlight w:val="none"/>
          <w:lang w:val="en-US" w:eastAsia="zh-CN" w:bidi="ar"/>
        </w:rPr>
        <w:t>的</w:t>
      </w:r>
      <w:r>
        <w:rPr>
          <w:rFonts w:hint="eastAsia" w:ascii="Times New Roman" w:hAnsi="Times New Roman" w:eastAsia="宋体" w:cs="Times New Roman"/>
          <w:color w:val="auto"/>
          <w:sz w:val="28"/>
          <w:szCs w:val="28"/>
          <w:highlight w:val="none"/>
          <w:lang w:val="en-US" w:eastAsia="zh-CN" w:bidi="ar"/>
        </w:rPr>
        <w:t>测评</w:t>
      </w:r>
      <w:r>
        <w:rPr>
          <w:rFonts w:hint="eastAsia" w:cs="Times New Roman"/>
          <w:color w:val="auto"/>
          <w:sz w:val="28"/>
          <w:szCs w:val="28"/>
          <w:highlight w:val="none"/>
          <w:lang w:val="en-US" w:eastAsia="zh-CN" w:bidi="ar"/>
        </w:rPr>
        <w:t>、</w:t>
      </w:r>
      <w:r>
        <w:rPr>
          <w:rFonts w:hint="eastAsia" w:ascii="Times New Roman" w:hAnsi="Times New Roman" w:eastAsia="宋体" w:cs="Times New Roman"/>
          <w:color w:val="auto"/>
          <w:sz w:val="28"/>
          <w:szCs w:val="28"/>
          <w:highlight w:val="none"/>
          <w:lang w:val="en-US" w:eastAsia="zh-CN" w:bidi="ar"/>
        </w:rPr>
        <w:t>认证</w:t>
      </w:r>
      <w:r>
        <w:rPr>
          <w:rFonts w:hint="eastAsia" w:cs="Times New Roman"/>
          <w:color w:val="auto"/>
          <w:sz w:val="28"/>
          <w:szCs w:val="28"/>
          <w:highlight w:val="none"/>
          <w:lang w:val="en-US" w:eastAsia="zh-CN" w:bidi="ar"/>
        </w:rPr>
        <w:t>、备案等</w:t>
      </w:r>
      <w:r>
        <w:rPr>
          <w:rFonts w:hint="eastAsia" w:ascii="Times New Roman" w:hAnsi="Times New Roman" w:eastAsia="宋体" w:cs="Times New Roman"/>
          <w:color w:val="auto"/>
          <w:sz w:val="28"/>
          <w:szCs w:val="28"/>
          <w:highlight w:val="none"/>
          <w:lang w:val="en-US" w:eastAsia="zh-CN" w:bidi="ar"/>
        </w:rPr>
        <w:t>工作。</w:t>
      </w:r>
    </w:p>
    <w:p w14:paraId="289E18D0">
      <w:pPr>
        <w:spacing w:line="360" w:lineRule="auto"/>
        <w:ind w:firstLine="560" w:firstLineChars="200"/>
        <w:jc w:val="left"/>
        <w:rPr>
          <w:color w:val="auto"/>
          <w:sz w:val="28"/>
          <w:szCs w:val="28"/>
          <w:highlight w:val="none"/>
          <w:lang w:bidi="ar"/>
        </w:rPr>
      </w:pPr>
      <w:r>
        <w:rPr>
          <w:rFonts w:hint="eastAsia"/>
          <w:color w:val="auto"/>
          <w:sz w:val="28"/>
          <w:szCs w:val="28"/>
          <w:highlight w:val="none"/>
          <w:lang w:val="en-US" w:eastAsia="zh-CN"/>
        </w:rPr>
        <w:t>系统部署环境需支持常见信创架构、操作系统和数据库，满足国家信创要求；</w:t>
      </w:r>
      <w:r>
        <w:rPr>
          <w:color w:val="auto"/>
          <w:sz w:val="28"/>
          <w:szCs w:val="28"/>
          <w:highlight w:val="none"/>
        </w:rPr>
        <w:t>客户端</w:t>
      </w:r>
      <w:r>
        <w:rPr>
          <w:rFonts w:hint="eastAsia"/>
          <w:color w:val="auto"/>
          <w:sz w:val="28"/>
          <w:szCs w:val="28"/>
          <w:highlight w:val="none"/>
          <w:lang w:val="en-US" w:eastAsia="zh-CN"/>
        </w:rPr>
        <w:t>需要</w:t>
      </w:r>
      <w:r>
        <w:rPr>
          <w:color w:val="auto"/>
          <w:sz w:val="28"/>
          <w:szCs w:val="28"/>
          <w:highlight w:val="none"/>
        </w:rPr>
        <w:t>适配</w:t>
      </w:r>
      <w:r>
        <w:rPr>
          <w:rFonts w:hint="eastAsia"/>
          <w:color w:val="auto"/>
          <w:sz w:val="28"/>
          <w:szCs w:val="28"/>
          <w:highlight w:val="none"/>
          <w:lang w:val="en-US" w:eastAsia="zh-CN"/>
        </w:rPr>
        <w:t>常见</w:t>
      </w:r>
      <w:r>
        <w:rPr>
          <w:color w:val="auto"/>
          <w:sz w:val="28"/>
          <w:szCs w:val="28"/>
          <w:highlight w:val="none"/>
        </w:rPr>
        <w:t>国产</w:t>
      </w:r>
      <w:r>
        <w:rPr>
          <w:rFonts w:hint="eastAsia"/>
          <w:color w:val="auto"/>
          <w:sz w:val="28"/>
          <w:szCs w:val="28"/>
          <w:highlight w:val="none"/>
          <w:lang w:val="en-US" w:eastAsia="zh-CN"/>
        </w:rPr>
        <w:t>信创</w:t>
      </w:r>
      <w:r>
        <w:rPr>
          <w:color w:val="auto"/>
          <w:sz w:val="28"/>
          <w:szCs w:val="28"/>
          <w:highlight w:val="none"/>
        </w:rPr>
        <w:t>操作系统、国产浏览器环境，也应适配Windows操作系统和主流浏览器。移动端应适配iOS、Android和鸿蒙等操作系统</w:t>
      </w:r>
      <w:r>
        <w:rPr>
          <w:color w:val="auto"/>
          <w:sz w:val="28"/>
          <w:szCs w:val="28"/>
          <w:highlight w:val="none"/>
          <w:lang w:bidi="ar"/>
        </w:rPr>
        <w:t>。</w:t>
      </w:r>
    </w:p>
    <w:p w14:paraId="2E3FC180">
      <w:pPr>
        <w:spacing w:line="360" w:lineRule="auto"/>
        <w:ind w:firstLine="560" w:firstLineChars="200"/>
        <w:jc w:val="left"/>
        <w:rPr>
          <w:color w:val="auto"/>
          <w:sz w:val="28"/>
          <w:szCs w:val="28"/>
          <w:highlight w:val="none"/>
        </w:rPr>
      </w:pPr>
      <w:r>
        <w:rPr>
          <w:color w:val="auto"/>
          <w:sz w:val="28"/>
          <w:szCs w:val="28"/>
          <w:highlight w:val="none"/>
        </w:rPr>
        <w:t>4.1.4.2管理系统组网方案</w:t>
      </w:r>
    </w:p>
    <w:p w14:paraId="69A9AF51">
      <w:pPr>
        <w:spacing w:line="360" w:lineRule="auto"/>
        <w:ind w:firstLine="560" w:firstLineChars="200"/>
        <w:jc w:val="left"/>
        <w:rPr>
          <w:color w:val="auto"/>
          <w:sz w:val="28"/>
          <w:szCs w:val="28"/>
          <w:highlight w:val="none"/>
        </w:rPr>
      </w:pPr>
      <w:r>
        <w:rPr>
          <w:color w:val="auto"/>
          <w:sz w:val="28"/>
          <w:szCs w:val="28"/>
          <w:highlight w:val="none"/>
        </w:rPr>
        <w:t>地保综合管理系统、无人机巡查管理系统及各站点、机场、手持无人机、手持终端的网络拓扑图示意如下。</w:t>
      </w:r>
    </w:p>
    <w:p w14:paraId="2D606E5A">
      <w:pPr>
        <w:keepNext w:val="0"/>
        <w:keepLines w:val="0"/>
        <w:widowControl/>
        <w:suppressLineNumbers w:val="0"/>
        <w:spacing w:before="0" w:beforeAutospacing="0" w:after="0" w:afterAutospacing="0" w:line="360" w:lineRule="auto"/>
        <w:ind w:right="0"/>
        <w:jc w:val="left"/>
        <w:rPr>
          <w:color w:val="auto"/>
          <w:highlight w:val="none"/>
        </w:rPr>
      </w:pPr>
      <w:r>
        <w:rPr>
          <w:color w:val="auto"/>
          <w:highlight w:val="none"/>
        </w:rPr>
        <w:drawing>
          <wp:inline distT="0" distB="0" distL="114300" distR="114300">
            <wp:extent cx="5996940" cy="4622165"/>
            <wp:effectExtent l="0" t="0" r="3810" b="698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4"/>
                    <a:stretch>
                      <a:fillRect/>
                    </a:stretch>
                  </pic:blipFill>
                  <pic:spPr>
                    <a:xfrm>
                      <a:off x="0" y="0"/>
                      <a:ext cx="5996940" cy="4622165"/>
                    </a:xfrm>
                    <a:prstGeom prst="rect">
                      <a:avLst/>
                    </a:prstGeom>
                    <a:noFill/>
                    <a:ln>
                      <a:noFill/>
                    </a:ln>
                  </pic:spPr>
                </pic:pic>
              </a:graphicData>
            </a:graphic>
          </wp:inline>
        </w:drawing>
      </w:r>
    </w:p>
    <w:p w14:paraId="6D9C05B9">
      <w:pPr>
        <w:keepNext w:val="0"/>
        <w:keepLines w:val="0"/>
        <w:widowControl/>
        <w:suppressLineNumbers w:val="0"/>
        <w:spacing w:before="0" w:beforeAutospacing="0" w:after="0" w:afterAutospacing="0" w:line="360" w:lineRule="auto"/>
        <w:ind w:right="0"/>
        <w:jc w:val="left"/>
        <w:rPr>
          <w:rFonts w:hint="default" w:ascii="Times New Roman" w:hAnsi="Times New Roman" w:eastAsia="宋体" w:cs="Times New Roman"/>
          <w:color w:val="auto"/>
          <w:sz w:val="28"/>
          <w:szCs w:val="32"/>
          <w:highlight w:val="none"/>
          <w:lang w:val="en-US"/>
        </w:rPr>
      </w:pPr>
      <w:r>
        <w:rPr>
          <w:rFonts w:hint="eastAsia" w:ascii="Times New Roman" w:hAnsi="Times New Roman" w:eastAsia="宋体" w:cs="Times New Roman"/>
          <w:b/>
          <w:bCs/>
          <w:color w:val="auto"/>
          <w:kern w:val="2"/>
          <w:sz w:val="28"/>
          <w:szCs w:val="32"/>
          <w:highlight w:val="none"/>
          <w:lang w:val="en-US" w:eastAsia="zh-CN" w:bidi="ar"/>
        </w:rPr>
        <w:t>组网方案说明如下：</w:t>
      </w:r>
    </w:p>
    <w:p w14:paraId="3B535297">
      <w:pPr>
        <w:keepNext w:val="0"/>
        <w:keepLines w:val="0"/>
        <w:widowControl/>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auto"/>
          <w:sz w:val="28"/>
          <w:szCs w:val="32"/>
          <w:highlight w:val="none"/>
          <w:lang w:val="en-US"/>
        </w:rPr>
      </w:pPr>
      <w:r>
        <w:rPr>
          <w:rFonts w:hint="default" w:ascii="Times New Roman" w:hAnsi="Times New Roman" w:eastAsia="宋体" w:cs="Times New Roman"/>
          <w:color w:val="auto"/>
          <w:kern w:val="2"/>
          <w:sz w:val="28"/>
          <w:szCs w:val="32"/>
          <w:highlight w:val="none"/>
          <w:lang w:val="en-US" w:eastAsia="zh-CN" w:bidi="ar"/>
        </w:rPr>
        <w:t>1.</w:t>
      </w:r>
      <w:r>
        <w:rPr>
          <w:rFonts w:hint="eastAsia" w:ascii="Times New Roman" w:hAnsi="Times New Roman" w:eastAsia="宋体" w:cs="Times New Roman"/>
          <w:color w:val="auto"/>
          <w:kern w:val="2"/>
          <w:sz w:val="28"/>
          <w:szCs w:val="32"/>
          <w:highlight w:val="none"/>
          <w:lang w:val="en-US" w:eastAsia="zh-CN" w:bidi="ar"/>
        </w:rPr>
        <w:t>地保综合管理系统和无人机自动巡查管理系统处于云平台上，通过站间光路网络连接到网络汇聚节点，总带宽要求</w:t>
      </w:r>
      <w:r>
        <w:rPr>
          <w:rFonts w:hint="default" w:ascii="Times New Roman" w:hAnsi="Times New Roman" w:eastAsia="宋体" w:cs="Times New Roman"/>
          <w:color w:val="auto"/>
          <w:kern w:val="2"/>
          <w:sz w:val="28"/>
          <w:szCs w:val="32"/>
          <w:highlight w:val="none"/>
          <w:lang w:val="en-US" w:eastAsia="zh-CN" w:bidi="ar"/>
        </w:rPr>
        <w:t>500M</w:t>
      </w:r>
      <w:r>
        <w:rPr>
          <w:rFonts w:hint="eastAsia" w:ascii="Times New Roman" w:hAnsi="Times New Roman" w:eastAsia="宋体" w:cs="Times New Roman"/>
          <w:color w:val="auto"/>
          <w:kern w:val="2"/>
          <w:sz w:val="28"/>
          <w:szCs w:val="32"/>
          <w:highlight w:val="none"/>
          <w:lang w:val="en-US" w:eastAsia="zh-CN" w:bidi="ar"/>
        </w:rPr>
        <w:t>，整体物理环境部署于</w:t>
      </w:r>
      <w:r>
        <w:rPr>
          <w:rFonts w:hint="default" w:ascii="Times New Roman" w:hAnsi="Times New Roman" w:eastAsia="宋体" w:cs="Times New Roman"/>
          <w:color w:val="auto"/>
          <w:kern w:val="2"/>
          <w:sz w:val="28"/>
          <w:szCs w:val="32"/>
          <w:highlight w:val="none"/>
          <w:lang w:val="en-US" w:eastAsia="zh-CN" w:bidi="ar"/>
        </w:rPr>
        <w:t>OCC4</w:t>
      </w:r>
      <w:r>
        <w:rPr>
          <w:rFonts w:hint="eastAsia" w:ascii="Times New Roman" w:hAnsi="Times New Roman" w:eastAsia="宋体" w:cs="Times New Roman"/>
          <w:color w:val="auto"/>
          <w:kern w:val="2"/>
          <w:sz w:val="28"/>
          <w:szCs w:val="32"/>
          <w:highlight w:val="none"/>
          <w:lang w:val="en-US" w:eastAsia="zh-CN" w:bidi="ar"/>
        </w:rPr>
        <w:t>楼的计算机设备房；</w:t>
      </w:r>
    </w:p>
    <w:p w14:paraId="38F2AFF8">
      <w:pPr>
        <w:keepNext w:val="0"/>
        <w:keepLines w:val="0"/>
        <w:widowControl/>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auto"/>
          <w:sz w:val="28"/>
          <w:szCs w:val="32"/>
          <w:highlight w:val="none"/>
          <w:lang w:val="en-US"/>
        </w:rPr>
      </w:pPr>
      <w:r>
        <w:rPr>
          <w:rFonts w:hint="default" w:ascii="Times New Roman" w:hAnsi="Times New Roman" w:eastAsia="宋体" w:cs="Times New Roman"/>
          <w:color w:val="auto"/>
          <w:kern w:val="2"/>
          <w:sz w:val="28"/>
          <w:szCs w:val="32"/>
          <w:highlight w:val="none"/>
          <w:lang w:val="en-US" w:eastAsia="zh-CN" w:bidi="ar"/>
        </w:rPr>
        <w:t>2.</w:t>
      </w:r>
      <w:r>
        <w:rPr>
          <w:rFonts w:hint="eastAsia" w:ascii="Times New Roman" w:hAnsi="Times New Roman" w:eastAsia="宋体" w:cs="Times New Roman"/>
          <w:color w:val="auto"/>
          <w:kern w:val="2"/>
          <w:sz w:val="28"/>
          <w:szCs w:val="32"/>
          <w:highlight w:val="none"/>
          <w:lang w:val="en-US" w:eastAsia="zh-CN" w:bidi="ar"/>
        </w:rPr>
        <w:t>地保综合管理系统中预留接口，与行业监管部门、东莞市轨道交通有限公司其他系统等进行集成，数据链接至上级监管平台；</w:t>
      </w:r>
    </w:p>
    <w:p w14:paraId="04BCCF12">
      <w:pPr>
        <w:keepNext w:val="0"/>
        <w:keepLines w:val="0"/>
        <w:widowControl/>
        <w:suppressLineNumbers w:val="0"/>
        <w:spacing w:before="0" w:beforeAutospacing="0" w:after="0" w:afterAutospacing="0" w:line="360" w:lineRule="auto"/>
        <w:ind w:left="0" w:right="0" w:firstLine="560" w:firstLineChars="200"/>
        <w:jc w:val="left"/>
        <w:rPr>
          <w:rFonts w:hint="eastAsia" w:cs="Times New Roman"/>
          <w:color w:val="auto"/>
          <w:kern w:val="2"/>
          <w:sz w:val="28"/>
          <w:szCs w:val="32"/>
          <w:highlight w:val="none"/>
          <w:lang w:val="en-US" w:eastAsia="zh-CN" w:bidi="ar"/>
        </w:rPr>
      </w:pPr>
      <w:r>
        <w:rPr>
          <w:rFonts w:hint="default" w:ascii="Times New Roman" w:hAnsi="Times New Roman" w:eastAsia="宋体" w:cs="Times New Roman"/>
          <w:color w:val="auto"/>
          <w:kern w:val="2"/>
          <w:sz w:val="28"/>
          <w:szCs w:val="32"/>
          <w:highlight w:val="none"/>
          <w:lang w:val="en-US" w:eastAsia="zh-CN" w:bidi="ar"/>
        </w:rPr>
        <w:t>3.</w:t>
      </w:r>
      <w:r>
        <w:rPr>
          <w:rFonts w:hint="eastAsia" w:ascii="Times New Roman" w:hAnsi="Times New Roman" w:eastAsia="宋体" w:cs="Times New Roman"/>
          <w:color w:val="auto"/>
          <w:kern w:val="2"/>
          <w:sz w:val="28"/>
          <w:szCs w:val="32"/>
          <w:highlight w:val="none"/>
          <w:lang w:val="en-US" w:eastAsia="zh-CN" w:bidi="ar"/>
        </w:rPr>
        <w:t>地保综合管理系统通过网关向公网环境下发布</w:t>
      </w:r>
      <w:r>
        <w:rPr>
          <w:rFonts w:hint="eastAsia" w:cs="Times New Roman"/>
          <w:color w:val="auto"/>
          <w:kern w:val="2"/>
          <w:sz w:val="28"/>
          <w:szCs w:val="32"/>
          <w:highlight w:val="none"/>
          <w:lang w:val="en-US" w:eastAsia="zh-CN" w:bidi="ar"/>
        </w:rPr>
        <w:t>2类</w:t>
      </w:r>
      <w:r>
        <w:rPr>
          <w:rFonts w:hint="eastAsia" w:ascii="Times New Roman" w:hAnsi="Times New Roman" w:eastAsia="宋体" w:cs="Times New Roman"/>
          <w:color w:val="auto"/>
          <w:kern w:val="2"/>
          <w:sz w:val="28"/>
          <w:szCs w:val="32"/>
          <w:highlight w:val="none"/>
          <w:lang w:val="en-US" w:eastAsia="zh-CN" w:bidi="ar"/>
        </w:rPr>
        <w:t>互联网服务</w:t>
      </w:r>
      <w:r>
        <w:rPr>
          <w:rFonts w:hint="eastAsia" w:cs="Times New Roman"/>
          <w:color w:val="auto"/>
          <w:kern w:val="2"/>
          <w:sz w:val="28"/>
          <w:szCs w:val="32"/>
          <w:highlight w:val="none"/>
          <w:lang w:val="en-US" w:eastAsia="zh-CN" w:bidi="ar"/>
        </w:rPr>
        <w:t>：</w:t>
      </w:r>
    </w:p>
    <w:p w14:paraId="2EBDFCD0">
      <w:pPr>
        <w:keepNext w:val="0"/>
        <w:keepLines w:val="0"/>
        <w:widowControl/>
        <w:suppressLineNumbers w:val="0"/>
        <w:spacing w:before="0" w:beforeAutospacing="0" w:after="0" w:afterAutospacing="0" w:line="360" w:lineRule="auto"/>
        <w:ind w:left="0" w:right="0" w:firstLine="560" w:firstLineChars="200"/>
        <w:jc w:val="left"/>
        <w:rPr>
          <w:rFonts w:hint="eastAsia" w:ascii="Times New Roman" w:hAnsi="Times New Roman" w:eastAsia="宋体" w:cs="Times New Roman"/>
          <w:color w:val="auto"/>
          <w:kern w:val="2"/>
          <w:sz w:val="28"/>
          <w:szCs w:val="32"/>
          <w:highlight w:val="none"/>
          <w:lang w:val="en-US" w:eastAsia="zh-CN" w:bidi="ar"/>
        </w:rPr>
      </w:pPr>
      <w:r>
        <w:rPr>
          <w:rFonts w:hint="eastAsia" w:cs="Times New Roman"/>
          <w:color w:val="auto"/>
          <w:kern w:val="2"/>
          <w:sz w:val="28"/>
          <w:szCs w:val="32"/>
          <w:highlight w:val="none"/>
          <w:lang w:val="en-US" w:eastAsia="zh-CN" w:bidi="ar"/>
        </w:rPr>
        <w:t>（1）</w:t>
      </w:r>
      <w:r>
        <w:rPr>
          <w:rFonts w:hint="eastAsia" w:ascii="Times New Roman" w:hAnsi="Times New Roman" w:eastAsia="宋体" w:cs="Times New Roman"/>
          <w:color w:val="auto"/>
          <w:kern w:val="2"/>
          <w:sz w:val="28"/>
          <w:szCs w:val="32"/>
          <w:highlight w:val="none"/>
          <w:lang w:val="en-US" w:eastAsia="zh-CN" w:bidi="ar"/>
        </w:rPr>
        <w:t>用于</w:t>
      </w:r>
      <w:r>
        <w:rPr>
          <w:rFonts w:hint="default" w:ascii="Times New Roman" w:hAnsi="Times New Roman" w:eastAsia="宋体" w:cs="Times New Roman"/>
          <w:color w:val="auto"/>
          <w:kern w:val="2"/>
          <w:sz w:val="28"/>
          <w:szCs w:val="32"/>
          <w:highlight w:val="none"/>
          <w:lang w:val="en-US" w:eastAsia="zh-CN" w:bidi="ar"/>
        </w:rPr>
        <w:t>6</w:t>
      </w:r>
      <w:r>
        <w:rPr>
          <w:rFonts w:hint="eastAsia" w:ascii="Times New Roman" w:hAnsi="Times New Roman" w:eastAsia="宋体" w:cs="Times New Roman"/>
          <w:color w:val="auto"/>
          <w:kern w:val="2"/>
          <w:sz w:val="28"/>
          <w:szCs w:val="32"/>
          <w:highlight w:val="none"/>
          <w:lang w:val="en-US" w:eastAsia="zh-CN" w:bidi="ar"/>
        </w:rPr>
        <w:t>台手持终端进行数据接收与下发，并在终端内配置</w:t>
      </w:r>
      <w:r>
        <w:rPr>
          <w:rFonts w:hint="default" w:ascii="Times New Roman" w:hAnsi="Times New Roman" w:eastAsia="宋体" w:cs="Times New Roman"/>
          <w:color w:val="auto"/>
          <w:kern w:val="2"/>
          <w:sz w:val="28"/>
          <w:szCs w:val="32"/>
          <w:highlight w:val="none"/>
          <w:lang w:val="en-US" w:eastAsia="zh-CN" w:bidi="ar"/>
        </w:rPr>
        <w:t>4G/5G</w:t>
      </w:r>
      <w:r>
        <w:rPr>
          <w:rFonts w:hint="eastAsia" w:ascii="Times New Roman" w:hAnsi="Times New Roman" w:eastAsia="宋体" w:cs="Times New Roman"/>
          <w:color w:val="auto"/>
          <w:kern w:val="2"/>
          <w:sz w:val="28"/>
          <w:szCs w:val="32"/>
          <w:highlight w:val="none"/>
          <w:lang w:val="en-US" w:eastAsia="zh-CN" w:bidi="ar"/>
        </w:rPr>
        <w:t>流量卡，链接至此互联网服务端口；</w:t>
      </w:r>
    </w:p>
    <w:p w14:paraId="6DD8729D">
      <w:pPr>
        <w:keepNext w:val="0"/>
        <w:keepLines w:val="0"/>
        <w:widowControl/>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auto"/>
          <w:kern w:val="2"/>
          <w:sz w:val="28"/>
          <w:szCs w:val="32"/>
          <w:highlight w:val="none"/>
          <w:lang w:val="en-US" w:eastAsia="zh-CN" w:bidi="ar"/>
        </w:rPr>
      </w:pPr>
      <w:r>
        <w:rPr>
          <w:rFonts w:hint="eastAsia" w:cs="Times New Roman"/>
          <w:color w:val="auto"/>
          <w:kern w:val="2"/>
          <w:sz w:val="28"/>
          <w:szCs w:val="32"/>
          <w:highlight w:val="none"/>
          <w:lang w:val="en-US" w:eastAsia="zh-CN" w:bidi="ar"/>
        </w:rPr>
        <w:t>（2）无人机场4G图传备用信号链路，用于在无人机到机场的直接信号链路因距离过远/地形阻隔而中断时，通过无人机配备的4G模块连接至4G移动网络、进而通过备用信号链路完成与无人机巡查管理系统和无人机场的控制和通信；</w:t>
      </w:r>
    </w:p>
    <w:p w14:paraId="0676E605">
      <w:pPr>
        <w:keepNext w:val="0"/>
        <w:keepLines w:val="0"/>
        <w:widowControl/>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auto"/>
          <w:sz w:val="28"/>
          <w:szCs w:val="32"/>
          <w:highlight w:val="none"/>
          <w:lang w:val="en-US"/>
        </w:rPr>
      </w:pPr>
      <w:r>
        <w:rPr>
          <w:rFonts w:hint="default" w:ascii="Times New Roman" w:hAnsi="Times New Roman" w:eastAsia="宋体" w:cs="Times New Roman"/>
          <w:color w:val="auto"/>
          <w:kern w:val="2"/>
          <w:sz w:val="28"/>
          <w:szCs w:val="32"/>
          <w:highlight w:val="none"/>
          <w:lang w:val="en-US" w:eastAsia="zh-CN" w:bidi="ar"/>
        </w:rPr>
        <w:t>4.</w:t>
      </w:r>
      <w:r>
        <w:rPr>
          <w:rFonts w:hint="eastAsia" w:ascii="Times New Roman" w:hAnsi="Times New Roman" w:eastAsia="宋体" w:cs="Times New Roman"/>
          <w:color w:val="auto"/>
          <w:kern w:val="2"/>
          <w:sz w:val="28"/>
          <w:szCs w:val="32"/>
          <w:highlight w:val="none"/>
          <w:lang w:val="en-US" w:eastAsia="zh-CN" w:bidi="ar"/>
        </w:rPr>
        <w:t>地保综合管理系统集成各类业务应用，并与无人机自动巡查管理系统之间预留接口，读取无人机巡查情况、各类数据情况，并可下发各类指令；</w:t>
      </w:r>
    </w:p>
    <w:p w14:paraId="0B50613F">
      <w:pPr>
        <w:keepNext w:val="0"/>
        <w:keepLines w:val="0"/>
        <w:widowControl/>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auto"/>
          <w:sz w:val="28"/>
          <w:szCs w:val="32"/>
          <w:highlight w:val="none"/>
          <w:lang w:val="en-US"/>
        </w:rPr>
      </w:pPr>
      <w:r>
        <w:rPr>
          <w:rFonts w:hint="default" w:ascii="Times New Roman" w:hAnsi="Times New Roman" w:eastAsia="宋体" w:cs="Times New Roman"/>
          <w:color w:val="auto"/>
          <w:kern w:val="2"/>
          <w:sz w:val="28"/>
          <w:szCs w:val="32"/>
          <w:highlight w:val="none"/>
          <w:lang w:val="en-US" w:eastAsia="zh-CN" w:bidi="ar"/>
        </w:rPr>
        <w:t>5.</w:t>
      </w:r>
      <w:r>
        <w:rPr>
          <w:rFonts w:hint="eastAsia" w:ascii="Times New Roman" w:hAnsi="Times New Roman" w:eastAsia="宋体" w:cs="Times New Roman"/>
          <w:color w:val="auto"/>
          <w:kern w:val="2"/>
          <w:sz w:val="28"/>
          <w:szCs w:val="32"/>
          <w:highlight w:val="none"/>
          <w:lang w:val="en-US" w:eastAsia="zh-CN" w:bidi="ar"/>
        </w:rPr>
        <w:t>无人机自动巡查管理系统通过道滘车辆段汇聚交换机，负责汇聚所有</w:t>
      </w:r>
      <w:r>
        <w:rPr>
          <w:rFonts w:hint="default" w:ascii="Times New Roman" w:hAnsi="Times New Roman" w:eastAsia="宋体" w:cs="Times New Roman"/>
          <w:color w:val="auto"/>
          <w:kern w:val="2"/>
          <w:sz w:val="28"/>
          <w:szCs w:val="32"/>
          <w:highlight w:val="none"/>
          <w:lang w:val="en-US" w:eastAsia="zh-CN" w:bidi="ar"/>
        </w:rPr>
        <w:t>10</w:t>
      </w:r>
      <w:r>
        <w:rPr>
          <w:rFonts w:hint="eastAsia" w:ascii="Times New Roman" w:hAnsi="Times New Roman" w:eastAsia="宋体" w:cs="Times New Roman"/>
          <w:color w:val="auto"/>
          <w:kern w:val="2"/>
          <w:sz w:val="28"/>
          <w:szCs w:val="32"/>
          <w:highlight w:val="none"/>
          <w:lang w:val="en-US" w:eastAsia="zh-CN" w:bidi="ar"/>
        </w:rPr>
        <w:t>个站点的无人机场采集数据的传入、存储、处理、识别等功能需求，网络汇聚节点通过站间光路网络连接到</w:t>
      </w:r>
      <w:r>
        <w:rPr>
          <w:rFonts w:hint="default" w:ascii="Times New Roman" w:hAnsi="Times New Roman" w:eastAsia="宋体" w:cs="Times New Roman"/>
          <w:color w:val="auto"/>
          <w:kern w:val="2"/>
          <w:sz w:val="28"/>
          <w:szCs w:val="32"/>
          <w:highlight w:val="none"/>
          <w:lang w:val="en-US" w:eastAsia="zh-CN" w:bidi="ar"/>
        </w:rPr>
        <w:t>10</w:t>
      </w:r>
      <w:r>
        <w:rPr>
          <w:rFonts w:hint="eastAsia" w:ascii="Times New Roman" w:hAnsi="Times New Roman" w:eastAsia="宋体" w:cs="Times New Roman"/>
          <w:color w:val="auto"/>
          <w:kern w:val="2"/>
          <w:sz w:val="28"/>
          <w:szCs w:val="32"/>
          <w:highlight w:val="none"/>
          <w:lang w:val="en-US" w:eastAsia="zh-CN" w:bidi="ar"/>
        </w:rPr>
        <w:t>个站点机房，接入交换机，每个站点的总带宽要求为</w:t>
      </w:r>
      <w:r>
        <w:rPr>
          <w:rFonts w:hint="default" w:ascii="Times New Roman" w:hAnsi="Times New Roman" w:eastAsia="宋体" w:cs="Times New Roman"/>
          <w:color w:val="auto"/>
          <w:kern w:val="2"/>
          <w:sz w:val="28"/>
          <w:szCs w:val="32"/>
          <w:highlight w:val="none"/>
          <w:lang w:val="en-US" w:eastAsia="zh-CN" w:bidi="ar"/>
        </w:rPr>
        <w:t>50M</w:t>
      </w:r>
      <w:r>
        <w:rPr>
          <w:rFonts w:hint="eastAsia" w:ascii="Times New Roman" w:hAnsi="Times New Roman" w:eastAsia="宋体" w:cs="Times New Roman"/>
          <w:color w:val="auto"/>
          <w:kern w:val="2"/>
          <w:sz w:val="28"/>
          <w:szCs w:val="32"/>
          <w:highlight w:val="none"/>
          <w:lang w:val="en-US" w:eastAsia="zh-CN" w:bidi="ar"/>
        </w:rPr>
        <w:t>（包括无人机场和环境监控摄像头的数据上传）；</w:t>
      </w:r>
    </w:p>
    <w:p w14:paraId="36D44EC0">
      <w:pPr>
        <w:keepNext w:val="0"/>
        <w:keepLines w:val="0"/>
        <w:widowControl/>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auto"/>
          <w:sz w:val="28"/>
          <w:szCs w:val="32"/>
          <w:highlight w:val="none"/>
          <w:lang w:val="en-US"/>
        </w:rPr>
      </w:pPr>
      <w:r>
        <w:rPr>
          <w:rFonts w:hint="default" w:ascii="Times New Roman" w:hAnsi="Times New Roman" w:eastAsia="宋体" w:cs="Times New Roman"/>
          <w:color w:val="auto"/>
          <w:kern w:val="2"/>
          <w:sz w:val="28"/>
          <w:szCs w:val="32"/>
          <w:highlight w:val="none"/>
          <w:lang w:val="en-US" w:eastAsia="zh-CN" w:bidi="ar"/>
        </w:rPr>
        <w:t>6.</w:t>
      </w:r>
      <w:r>
        <w:rPr>
          <w:rFonts w:hint="eastAsia" w:ascii="Times New Roman" w:hAnsi="Times New Roman" w:eastAsia="宋体" w:cs="Times New Roman"/>
          <w:color w:val="auto"/>
          <w:kern w:val="2"/>
          <w:sz w:val="28"/>
          <w:szCs w:val="32"/>
          <w:highlight w:val="none"/>
          <w:lang w:val="en-US" w:eastAsia="zh-CN" w:bidi="ar"/>
        </w:rPr>
        <w:t>每个站点中，交换机通过网线连接至光纤收发器，进行光电信号转换，随后通过光纤连接至机场所在位置的配电箱，接入光纤收发器，光纤收发器通过网线连接至路由器</w:t>
      </w:r>
      <w:r>
        <w:rPr>
          <w:rFonts w:hint="default" w:ascii="Times New Roman" w:hAnsi="Times New Roman" w:eastAsia="宋体" w:cs="Times New Roman"/>
          <w:color w:val="auto"/>
          <w:kern w:val="2"/>
          <w:sz w:val="28"/>
          <w:szCs w:val="32"/>
          <w:highlight w:val="none"/>
          <w:lang w:val="en-US" w:eastAsia="zh-CN" w:bidi="ar"/>
        </w:rPr>
        <w:t>WAN</w:t>
      </w:r>
      <w:r>
        <w:rPr>
          <w:rFonts w:hint="eastAsia" w:ascii="Times New Roman" w:hAnsi="Times New Roman" w:eastAsia="宋体" w:cs="Times New Roman"/>
          <w:color w:val="auto"/>
          <w:kern w:val="2"/>
          <w:sz w:val="28"/>
          <w:szCs w:val="32"/>
          <w:highlight w:val="none"/>
          <w:lang w:val="en-US" w:eastAsia="zh-CN" w:bidi="ar"/>
        </w:rPr>
        <w:t>端口；</w:t>
      </w:r>
    </w:p>
    <w:p w14:paraId="4A003799">
      <w:pPr>
        <w:keepNext w:val="0"/>
        <w:keepLines w:val="0"/>
        <w:widowControl/>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auto"/>
          <w:sz w:val="28"/>
          <w:szCs w:val="32"/>
          <w:highlight w:val="none"/>
          <w:lang w:val="en-US"/>
        </w:rPr>
      </w:pPr>
      <w:r>
        <w:rPr>
          <w:rFonts w:hint="default" w:ascii="Times New Roman" w:hAnsi="Times New Roman" w:eastAsia="宋体" w:cs="Times New Roman"/>
          <w:color w:val="auto"/>
          <w:kern w:val="2"/>
          <w:sz w:val="28"/>
          <w:szCs w:val="32"/>
          <w:highlight w:val="none"/>
          <w:lang w:val="en-US" w:eastAsia="zh-CN" w:bidi="ar"/>
        </w:rPr>
        <w:t>7.</w:t>
      </w:r>
      <w:r>
        <w:rPr>
          <w:rFonts w:hint="eastAsia" w:ascii="Times New Roman" w:hAnsi="Times New Roman" w:eastAsia="宋体" w:cs="Times New Roman"/>
          <w:color w:val="auto"/>
          <w:kern w:val="2"/>
          <w:sz w:val="28"/>
          <w:szCs w:val="32"/>
          <w:highlight w:val="none"/>
          <w:lang w:val="en-US" w:eastAsia="zh-CN" w:bidi="ar"/>
        </w:rPr>
        <w:t>路由器须有</w:t>
      </w:r>
      <w:r>
        <w:rPr>
          <w:rFonts w:hint="default" w:ascii="Times New Roman" w:hAnsi="Times New Roman" w:eastAsia="宋体" w:cs="Times New Roman"/>
          <w:color w:val="auto"/>
          <w:kern w:val="2"/>
          <w:sz w:val="28"/>
          <w:szCs w:val="32"/>
          <w:highlight w:val="none"/>
          <w:lang w:val="en-US" w:eastAsia="zh-CN" w:bidi="ar"/>
        </w:rPr>
        <w:t>2</w:t>
      </w:r>
      <w:r>
        <w:rPr>
          <w:rFonts w:hint="eastAsia" w:ascii="Times New Roman" w:hAnsi="Times New Roman" w:eastAsia="宋体" w:cs="Times New Roman"/>
          <w:color w:val="auto"/>
          <w:kern w:val="2"/>
          <w:sz w:val="28"/>
          <w:szCs w:val="32"/>
          <w:highlight w:val="none"/>
          <w:lang w:val="en-US" w:eastAsia="zh-CN" w:bidi="ar"/>
        </w:rPr>
        <w:t>个以上</w:t>
      </w:r>
      <w:r>
        <w:rPr>
          <w:rFonts w:hint="default" w:ascii="Times New Roman" w:hAnsi="Times New Roman" w:eastAsia="宋体" w:cs="Times New Roman"/>
          <w:color w:val="auto"/>
          <w:kern w:val="2"/>
          <w:sz w:val="28"/>
          <w:szCs w:val="32"/>
          <w:highlight w:val="none"/>
          <w:lang w:val="en-US" w:eastAsia="zh-CN" w:bidi="ar"/>
        </w:rPr>
        <w:t>LAN</w:t>
      </w:r>
      <w:r>
        <w:rPr>
          <w:rFonts w:hint="eastAsia" w:ascii="Times New Roman" w:hAnsi="Times New Roman" w:eastAsia="宋体" w:cs="Times New Roman"/>
          <w:color w:val="auto"/>
          <w:kern w:val="2"/>
          <w:sz w:val="28"/>
          <w:szCs w:val="32"/>
          <w:highlight w:val="none"/>
          <w:lang w:val="en-US" w:eastAsia="zh-CN" w:bidi="ar"/>
        </w:rPr>
        <w:t>网络端口，</w:t>
      </w:r>
      <w:r>
        <w:rPr>
          <w:rFonts w:hint="default" w:ascii="Times New Roman" w:hAnsi="Times New Roman" w:eastAsia="宋体" w:cs="Times New Roman"/>
          <w:color w:val="auto"/>
          <w:kern w:val="2"/>
          <w:sz w:val="28"/>
          <w:szCs w:val="32"/>
          <w:highlight w:val="none"/>
          <w:lang w:val="en-US" w:eastAsia="zh-CN" w:bidi="ar"/>
        </w:rPr>
        <w:t>1</w:t>
      </w:r>
      <w:r>
        <w:rPr>
          <w:rFonts w:hint="eastAsia" w:ascii="Times New Roman" w:hAnsi="Times New Roman" w:eastAsia="宋体" w:cs="Times New Roman"/>
          <w:color w:val="auto"/>
          <w:kern w:val="2"/>
          <w:sz w:val="28"/>
          <w:szCs w:val="32"/>
          <w:highlight w:val="none"/>
          <w:lang w:val="en-US" w:eastAsia="zh-CN" w:bidi="ar"/>
        </w:rPr>
        <w:t>个通过网线连接至机场网线接口，另一个通过网线连接至现场环境摄像头，环境摄像头的视频流数据上传至无人机自动巡查管理系统，用于感知机场周边情况；</w:t>
      </w:r>
    </w:p>
    <w:p w14:paraId="7844D0BF">
      <w:pPr>
        <w:keepNext w:val="0"/>
        <w:keepLines w:val="0"/>
        <w:widowControl/>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auto"/>
          <w:sz w:val="28"/>
          <w:szCs w:val="32"/>
          <w:highlight w:val="none"/>
          <w:lang w:val="en-US"/>
        </w:rPr>
      </w:pPr>
      <w:r>
        <w:rPr>
          <w:rFonts w:hint="default" w:ascii="Times New Roman" w:hAnsi="Times New Roman" w:eastAsia="宋体" w:cs="Times New Roman"/>
          <w:color w:val="auto"/>
          <w:kern w:val="2"/>
          <w:sz w:val="28"/>
          <w:szCs w:val="32"/>
          <w:highlight w:val="none"/>
          <w:lang w:val="en-US" w:eastAsia="zh-CN" w:bidi="ar"/>
        </w:rPr>
        <w:t>8.</w:t>
      </w:r>
      <w:r>
        <w:rPr>
          <w:rFonts w:hint="eastAsia" w:ascii="Times New Roman" w:hAnsi="Times New Roman" w:eastAsia="宋体" w:cs="Times New Roman"/>
          <w:color w:val="auto"/>
          <w:kern w:val="2"/>
          <w:sz w:val="28"/>
          <w:szCs w:val="32"/>
          <w:highlight w:val="none"/>
          <w:lang w:val="en-US" w:eastAsia="zh-CN" w:bidi="ar"/>
        </w:rPr>
        <w:t>机场到无人机的链接</w:t>
      </w:r>
      <w:r>
        <w:rPr>
          <w:rFonts w:hint="eastAsia" w:cs="Times New Roman"/>
          <w:color w:val="auto"/>
          <w:kern w:val="2"/>
          <w:sz w:val="28"/>
          <w:szCs w:val="32"/>
          <w:highlight w:val="none"/>
          <w:lang w:val="en-US" w:eastAsia="zh-CN" w:bidi="ar"/>
        </w:rPr>
        <w:t>，在距离较近、信号良好时</w:t>
      </w:r>
      <w:r>
        <w:rPr>
          <w:rFonts w:hint="eastAsia" w:ascii="Times New Roman" w:hAnsi="Times New Roman" w:eastAsia="宋体" w:cs="Times New Roman"/>
          <w:color w:val="auto"/>
          <w:kern w:val="2"/>
          <w:sz w:val="28"/>
          <w:szCs w:val="32"/>
          <w:highlight w:val="none"/>
          <w:lang w:val="en-US" w:eastAsia="zh-CN" w:bidi="ar"/>
        </w:rPr>
        <w:t>通过</w:t>
      </w:r>
      <w:r>
        <w:rPr>
          <w:rFonts w:hint="default" w:ascii="Times New Roman" w:hAnsi="Times New Roman" w:eastAsia="宋体" w:cs="Times New Roman"/>
          <w:color w:val="auto"/>
          <w:kern w:val="2"/>
          <w:sz w:val="28"/>
          <w:szCs w:val="32"/>
          <w:highlight w:val="none"/>
          <w:lang w:val="en-US" w:eastAsia="zh-CN" w:bidi="ar"/>
        </w:rPr>
        <w:t>2.4/5.8GHz</w:t>
      </w:r>
      <w:r>
        <w:rPr>
          <w:rFonts w:hint="eastAsia" w:ascii="Times New Roman" w:hAnsi="Times New Roman" w:eastAsia="宋体" w:cs="Times New Roman"/>
          <w:color w:val="auto"/>
          <w:kern w:val="2"/>
          <w:sz w:val="28"/>
          <w:szCs w:val="32"/>
          <w:highlight w:val="none"/>
          <w:lang w:val="en-US" w:eastAsia="zh-CN" w:bidi="ar"/>
        </w:rPr>
        <w:t>无线电通信频段，进行图像和数字信号的收发，无需额外接入网络设备；</w:t>
      </w:r>
      <w:r>
        <w:rPr>
          <w:rFonts w:hint="eastAsia" w:cs="Times New Roman"/>
          <w:color w:val="auto"/>
          <w:kern w:val="2"/>
          <w:sz w:val="28"/>
          <w:szCs w:val="32"/>
          <w:highlight w:val="none"/>
          <w:lang w:val="en-US" w:eastAsia="zh-CN" w:bidi="ar"/>
        </w:rPr>
        <w:t>在距离超限或大量建筑阻隔时，可通过无人机上加装的4G增强图传模块进行中继，将图传画面通过4G网络传输至服务器和无人机场端；</w:t>
      </w:r>
    </w:p>
    <w:p w14:paraId="037DCD9E">
      <w:pPr>
        <w:keepNext w:val="0"/>
        <w:keepLines w:val="0"/>
        <w:widowControl/>
        <w:suppressLineNumbers w:val="0"/>
        <w:spacing w:before="0" w:beforeAutospacing="0" w:after="0" w:afterAutospacing="0" w:line="360" w:lineRule="auto"/>
        <w:ind w:left="0" w:right="0" w:firstLine="560" w:firstLineChars="200"/>
        <w:jc w:val="left"/>
        <w:rPr>
          <w:color w:val="auto"/>
          <w:sz w:val="28"/>
          <w:szCs w:val="28"/>
          <w:highlight w:val="none"/>
          <w:lang w:bidi="ar"/>
        </w:rPr>
      </w:pPr>
      <w:r>
        <w:rPr>
          <w:rFonts w:hint="default" w:ascii="Times New Roman" w:hAnsi="Times New Roman" w:eastAsia="宋体" w:cs="Times New Roman"/>
          <w:color w:val="auto"/>
          <w:kern w:val="2"/>
          <w:sz w:val="28"/>
          <w:szCs w:val="32"/>
          <w:highlight w:val="none"/>
          <w:lang w:val="en-US" w:eastAsia="zh-CN" w:bidi="ar"/>
        </w:rPr>
        <w:t>9.</w:t>
      </w:r>
      <w:r>
        <w:rPr>
          <w:rFonts w:hint="eastAsia" w:ascii="Times New Roman" w:hAnsi="Times New Roman" w:eastAsia="宋体" w:cs="Times New Roman"/>
          <w:color w:val="auto"/>
          <w:kern w:val="2"/>
          <w:sz w:val="28"/>
          <w:szCs w:val="32"/>
          <w:highlight w:val="none"/>
          <w:lang w:val="en-US" w:eastAsia="zh-CN" w:bidi="ar"/>
        </w:rPr>
        <w:t>无人机自动巡查管理系统接收</w:t>
      </w:r>
      <w:r>
        <w:rPr>
          <w:rFonts w:hint="default" w:ascii="Times New Roman" w:hAnsi="Times New Roman" w:eastAsia="宋体" w:cs="Times New Roman"/>
          <w:color w:val="auto"/>
          <w:kern w:val="2"/>
          <w:sz w:val="28"/>
          <w:szCs w:val="32"/>
          <w:highlight w:val="none"/>
          <w:lang w:val="en-US" w:eastAsia="zh-CN" w:bidi="ar"/>
        </w:rPr>
        <w:t>2</w:t>
      </w:r>
      <w:r>
        <w:rPr>
          <w:rFonts w:hint="eastAsia" w:ascii="Times New Roman" w:hAnsi="Times New Roman" w:eastAsia="宋体" w:cs="Times New Roman"/>
          <w:color w:val="auto"/>
          <w:kern w:val="2"/>
          <w:sz w:val="28"/>
          <w:szCs w:val="32"/>
          <w:highlight w:val="none"/>
          <w:lang w:val="en-US" w:eastAsia="zh-CN" w:bidi="ar"/>
        </w:rPr>
        <w:t>台手持无人机的数据传入，手持无人机端不具备网络设备，所有飞行数据由巡查人员通过物理介质，读取无人机机身内存卡数据，并由各自办公环境内的工作电脑进行手动转存、上传归档等操作，不涉及公网环境。</w:t>
      </w:r>
    </w:p>
    <w:p w14:paraId="0456CB31">
      <w:pPr>
        <w:numPr>
          <w:ilvl w:val="0"/>
          <w:numId w:val="0"/>
        </w:numPr>
        <w:ind w:firstLine="560" w:firstLineChars="200"/>
        <w:jc w:val="left"/>
        <w:rPr>
          <w:rFonts w:hint="default" w:eastAsia="宋体"/>
          <w:color w:val="auto"/>
          <w:sz w:val="28"/>
          <w:szCs w:val="28"/>
          <w:highlight w:val="none"/>
          <w:lang w:val="en-US" w:eastAsia="zh-CN" w:bidi="ar"/>
        </w:rPr>
      </w:pPr>
      <w:r>
        <w:rPr>
          <w:rFonts w:hint="eastAsia"/>
          <w:color w:val="auto"/>
          <w:sz w:val="28"/>
          <w:szCs w:val="28"/>
          <w:highlight w:val="none"/>
          <w:lang w:val="en-US" w:eastAsia="zh-CN" w:bidi="ar"/>
        </w:rPr>
        <w:t>网络安装服务由投标人提供，投标人应充分考虑机场至招标人最近地铁车站计算机机房的网络部署要求，防火墙、光纤线、光纤收发器、路由器和无人机巡查系统AI算力服务器及其他网络安装所需零星材料由投标人提供，地保综合管理系统的所需服务器由招标人提供。</w:t>
      </w:r>
    </w:p>
    <w:p w14:paraId="00AEFB29">
      <w:pPr>
        <w:spacing w:line="360" w:lineRule="auto"/>
        <w:ind w:firstLine="562" w:firstLineChars="200"/>
        <w:jc w:val="left"/>
        <w:outlineLvl w:val="2"/>
        <w:rPr>
          <w:b/>
          <w:bCs/>
          <w:color w:val="auto"/>
          <w:sz w:val="28"/>
          <w:szCs w:val="28"/>
          <w:highlight w:val="none"/>
        </w:rPr>
      </w:pPr>
      <w:bookmarkStart w:id="1056" w:name="_Toc32693"/>
      <w:bookmarkStart w:id="1057" w:name="_Toc30251"/>
      <w:bookmarkStart w:id="1058" w:name="_Toc2212"/>
      <w:bookmarkStart w:id="1059" w:name="_Toc23147"/>
      <w:bookmarkStart w:id="1060" w:name="_Toc25220"/>
      <w:r>
        <w:rPr>
          <w:b/>
          <w:bCs/>
          <w:color w:val="auto"/>
          <w:sz w:val="28"/>
          <w:szCs w:val="28"/>
          <w:highlight w:val="none"/>
        </w:rPr>
        <w:t>4.1.5系统软件要求</w:t>
      </w:r>
      <w:bookmarkEnd w:id="1056"/>
      <w:bookmarkEnd w:id="1057"/>
      <w:bookmarkEnd w:id="1058"/>
      <w:bookmarkEnd w:id="1059"/>
      <w:bookmarkEnd w:id="1060"/>
    </w:p>
    <w:p w14:paraId="493875C2">
      <w:pPr>
        <w:widowControl/>
        <w:spacing w:line="360" w:lineRule="auto"/>
        <w:ind w:firstLine="560" w:firstLineChars="200"/>
        <w:jc w:val="left"/>
        <w:rPr>
          <w:color w:val="auto"/>
          <w:sz w:val="28"/>
          <w:szCs w:val="28"/>
          <w:highlight w:val="none"/>
        </w:rPr>
      </w:pPr>
      <w:r>
        <w:rPr>
          <w:color w:val="auto"/>
          <w:sz w:val="28"/>
          <w:szCs w:val="28"/>
          <w:highlight w:val="none"/>
        </w:rPr>
        <w:t>1）软件选型：优先选用稳定可靠软件，商业软件需全功能永久授权含后期维护；自研软件需拥有著作权，提供永久免费使用权及免费漏洞修补服务。</w:t>
      </w:r>
    </w:p>
    <w:p w14:paraId="15C55BB2">
      <w:pPr>
        <w:widowControl/>
        <w:spacing w:line="360" w:lineRule="auto"/>
        <w:ind w:firstLine="560" w:firstLineChars="200"/>
        <w:jc w:val="left"/>
        <w:rPr>
          <w:color w:val="auto"/>
          <w:sz w:val="28"/>
          <w:szCs w:val="28"/>
          <w:highlight w:val="none"/>
        </w:rPr>
      </w:pPr>
      <w:r>
        <w:rPr>
          <w:color w:val="auto"/>
          <w:sz w:val="28"/>
          <w:szCs w:val="28"/>
          <w:highlight w:val="none"/>
        </w:rPr>
        <w:t>2）软件维护：投标方负责软件合同期内的漏洞修补与升级，确保升级不影响业务运行与系统稳定性，且整体性能不降低。</w:t>
      </w:r>
    </w:p>
    <w:p w14:paraId="09F60DC7">
      <w:pPr>
        <w:spacing w:line="360" w:lineRule="auto"/>
        <w:ind w:firstLine="562" w:firstLineChars="200"/>
        <w:jc w:val="left"/>
        <w:outlineLvl w:val="2"/>
        <w:rPr>
          <w:b/>
          <w:bCs/>
          <w:color w:val="auto"/>
          <w:sz w:val="28"/>
          <w:szCs w:val="28"/>
          <w:highlight w:val="none"/>
        </w:rPr>
      </w:pPr>
      <w:bookmarkStart w:id="1061" w:name="_Toc25292"/>
      <w:bookmarkStart w:id="1062" w:name="_Toc32127"/>
      <w:bookmarkStart w:id="1063" w:name="_Toc32322"/>
      <w:bookmarkStart w:id="1064" w:name="_Toc17603"/>
      <w:bookmarkStart w:id="1065" w:name="_Toc5889"/>
      <w:r>
        <w:rPr>
          <w:b/>
          <w:bCs/>
          <w:color w:val="auto"/>
          <w:sz w:val="28"/>
          <w:szCs w:val="28"/>
          <w:highlight w:val="none"/>
        </w:rPr>
        <w:t>4.1.6系统硬件要求</w:t>
      </w:r>
      <w:bookmarkEnd w:id="1061"/>
      <w:bookmarkEnd w:id="1062"/>
      <w:bookmarkEnd w:id="1063"/>
      <w:bookmarkEnd w:id="1064"/>
      <w:bookmarkEnd w:id="1065"/>
    </w:p>
    <w:p w14:paraId="49EA5A96">
      <w:pPr>
        <w:widowControl/>
        <w:spacing w:line="360" w:lineRule="auto"/>
        <w:ind w:firstLine="560" w:firstLineChars="200"/>
        <w:jc w:val="left"/>
        <w:rPr>
          <w:color w:val="auto"/>
          <w:sz w:val="28"/>
          <w:szCs w:val="28"/>
          <w:highlight w:val="none"/>
        </w:rPr>
      </w:pPr>
      <w:r>
        <w:rPr>
          <w:color w:val="auto"/>
          <w:sz w:val="28"/>
          <w:szCs w:val="28"/>
          <w:highlight w:val="none"/>
        </w:rPr>
        <w:t>本项目系统依托企业私有云计算技术，采用虚拟化服务器群模式运行。投标人通过云计算虚拟化技术将服务器设备分割为多个虚拟服务器，并至少设立数据库服务器、应用服务器和外部服务器三个核心角色，同时保留根据技术需求增加额外角色的灵活性。关键服务器角色需实施可靠性设计以确保系统稳定运行。若网络硬件设备（如交换机、防火墙等）因设计不当与招标人现场硬件架构不兼容或通讯受阻，投标人需自行负责采购解决。</w:t>
      </w:r>
    </w:p>
    <w:p w14:paraId="41279AD1">
      <w:pPr>
        <w:spacing w:line="360" w:lineRule="auto"/>
        <w:ind w:firstLine="560" w:firstLineChars="200"/>
        <w:jc w:val="left"/>
        <w:rPr>
          <w:color w:val="auto"/>
          <w:sz w:val="28"/>
          <w:szCs w:val="28"/>
          <w:highlight w:val="none"/>
        </w:rPr>
      </w:pPr>
      <w:r>
        <w:rPr>
          <w:color w:val="auto"/>
          <w:sz w:val="28"/>
          <w:szCs w:val="28"/>
          <w:highlight w:val="none"/>
        </w:rPr>
        <w:t>4.1.6.1巡检手动终端需求</w:t>
      </w:r>
    </w:p>
    <w:p w14:paraId="4C50CE50">
      <w:pPr>
        <w:spacing w:line="360" w:lineRule="auto"/>
        <w:ind w:firstLine="560" w:firstLineChars="200"/>
        <w:jc w:val="left"/>
        <w:rPr>
          <w:color w:val="auto"/>
          <w:sz w:val="28"/>
          <w:szCs w:val="28"/>
          <w:highlight w:val="none"/>
        </w:rPr>
      </w:pPr>
      <w:r>
        <w:rPr>
          <w:color w:val="auto"/>
          <w:sz w:val="28"/>
          <w:szCs w:val="28"/>
          <w:highlight w:val="none"/>
        </w:rPr>
        <w:t>经初步估算，计划采购6台现场巡检手动终端设备（巡查人员4台，地保管理人员2台），设备功能满足该信息系统的业务要求及巡检管理工作的具体要求。巡查人员通过巡检手动终端可高效的完成巡查任务，可采用专业的定位设备，实现高精度定位，准确定位作业项目是否在保护区范围内，并提供合同期内数据通信费用/4G流量卡套餐</w:t>
      </w:r>
      <w:r>
        <w:rPr>
          <w:rFonts w:hint="eastAsia"/>
          <w:color w:val="auto"/>
          <w:sz w:val="28"/>
          <w:szCs w:val="28"/>
          <w:highlight w:val="none"/>
          <w:lang w:eastAsia="zh-CN"/>
        </w:rPr>
        <w:t>和终端保护套</w:t>
      </w:r>
      <w:r>
        <w:rPr>
          <w:color w:val="auto"/>
          <w:sz w:val="28"/>
          <w:szCs w:val="28"/>
          <w:highlight w:val="none"/>
        </w:rPr>
        <w:t>。巡检手动终端参数要求如下：</w:t>
      </w:r>
    </w:p>
    <w:tbl>
      <w:tblPr>
        <w:tblStyle w:val="21"/>
        <w:tblW w:w="5000" w:type="pct"/>
        <w:tblInd w:w="91" w:type="dxa"/>
        <w:tblLayout w:type="autofit"/>
        <w:tblCellMar>
          <w:top w:w="0" w:type="dxa"/>
          <w:left w:w="108" w:type="dxa"/>
          <w:bottom w:w="0" w:type="dxa"/>
          <w:right w:w="108" w:type="dxa"/>
        </w:tblCellMar>
      </w:tblPr>
      <w:tblGrid>
        <w:gridCol w:w="2004"/>
        <w:gridCol w:w="7849"/>
      </w:tblGrid>
      <w:tr w14:paraId="148EB1A9">
        <w:tblPrEx>
          <w:tblCellMar>
            <w:top w:w="0" w:type="dxa"/>
            <w:left w:w="108" w:type="dxa"/>
            <w:bottom w:w="0" w:type="dxa"/>
            <w:right w:w="108" w:type="dxa"/>
          </w:tblCellMar>
        </w:tblPrEx>
        <w:trPr>
          <w:trHeight w:val="285" w:hRule="atLeast"/>
        </w:trPr>
        <w:tc>
          <w:tcPr>
            <w:tcW w:w="9286" w:type="dxa"/>
            <w:gridSpan w:val="2"/>
            <w:tcBorders>
              <w:top w:val="single" w:color="000000" w:sz="4" w:space="0"/>
              <w:left w:val="single" w:color="000000" w:sz="4" w:space="0"/>
              <w:bottom w:val="single" w:color="000000" w:sz="4" w:space="0"/>
              <w:right w:val="single" w:color="000000" w:sz="4" w:space="0"/>
            </w:tcBorders>
            <w:noWrap w:val="0"/>
            <w:vAlign w:val="center"/>
          </w:tcPr>
          <w:p w14:paraId="09B720DB">
            <w:pPr>
              <w:widowControl/>
              <w:jc w:val="center"/>
              <w:textAlignment w:val="center"/>
              <w:rPr>
                <w:color w:val="auto"/>
                <w:szCs w:val="21"/>
                <w:highlight w:val="none"/>
              </w:rPr>
            </w:pPr>
            <w:r>
              <w:rPr>
                <w:color w:val="auto"/>
                <w:szCs w:val="21"/>
                <w:highlight w:val="none"/>
              </w:rPr>
              <w:t>巡检</w:t>
            </w:r>
            <w:r>
              <w:rPr>
                <w:color w:val="auto"/>
                <w:kern w:val="0"/>
                <w:szCs w:val="21"/>
                <w:highlight w:val="none"/>
                <w:lang w:bidi="ar"/>
              </w:rPr>
              <w:t>手动终端参数要求</w:t>
            </w:r>
          </w:p>
        </w:tc>
      </w:tr>
      <w:tr w14:paraId="48AD2819">
        <w:tblPrEx>
          <w:tblCellMar>
            <w:top w:w="0" w:type="dxa"/>
            <w:left w:w="108" w:type="dxa"/>
            <w:bottom w:w="0" w:type="dxa"/>
            <w:right w:w="108" w:type="dxa"/>
          </w:tblCellMar>
        </w:tblPrEx>
        <w:trPr>
          <w:trHeight w:val="285" w:hRule="atLeast"/>
        </w:trPr>
        <w:tc>
          <w:tcPr>
            <w:tcW w:w="1889" w:type="dxa"/>
            <w:tcBorders>
              <w:top w:val="single" w:color="000000" w:sz="4" w:space="0"/>
              <w:left w:val="single" w:color="000000" w:sz="4" w:space="0"/>
              <w:bottom w:val="single" w:color="000000" w:sz="4" w:space="0"/>
              <w:right w:val="single" w:color="000000" w:sz="4" w:space="0"/>
            </w:tcBorders>
            <w:noWrap w:val="0"/>
            <w:vAlign w:val="center"/>
          </w:tcPr>
          <w:p w14:paraId="464B297A">
            <w:pPr>
              <w:widowControl/>
              <w:jc w:val="left"/>
              <w:textAlignment w:val="center"/>
              <w:rPr>
                <w:color w:val="auto"/>
                <w:szCs w:val="21"/>
                <w:highlight w:val="none"/>
              </w:rPr>
            </w:pPr>
            <w:r>
              <w:rPr>
                <w:color w:val="auto"/>
                <w:kern w:val="0"/>
                <w:szCs w:val="21"/>
                <w:highlight w:val="none"/>
                <w:lang w:bidi="ar"/>
              </w:rPr>
              <w:t>操作系统</w:t>
            </w:r>
          </w:p>
        </w:tc>
        <w:tc>
          <w:tcPr>
            <w:tcW w:w="7397" w:type="dxa"/>
            <w:tcBorders>
              <w:top w:val="single" w:color="000000" w:sz="4" w:space="0"/>
              <w:left w:val="single" w:color="000000" w:sz="4" w:space="0"/>
              <w:bottom w:val="single" w:color="000000" w:sz="4" w:space="0"/>
              <w:right w:val="single" w:color="000000" w:sz="4" w:space="0"/>
            </w:tcBorders>
            <w:noWrap w:val="0"/>
            <w:vAlign w:val="center"/>
          </w:tcPr>
          <w:p w14:paraId="099ABD8C">
            <w:pPr>
              <w:widowControl/>
              <w:jc w:val="left"/>
              <w:textAlignment w:val="center"/>
              <w:rPr>
                <w:color w:val="auto"/>
                <w:szCs w:val="21"/>
                <w:highlight w:val="none"/>
              </w:rPr>
            </w:pPr>
            <w:r>
              <w:rPr>
                <w:color w:val="auto"/>
                <w:kern w:val="0"/>
                <w:szCs w:val="21"/>
                <w:highlight w:val="none"/>
                <w:lang w:bidi="ar"/>
              </w:rPr>
              <w:t>Android8.1及以上版本或其他同等系统</w:t>
            </w:r>
          </w:p>
        </w:tc>
      </w:tr>
      <w:tr w14:paraId="436B47C7">
        <w:tblPrEx>
          <w:tblCellMar>
            <w:top w:w="0" w:type="dxa"/>
            <w:left w:w="108" w:type="dxa"/>
            <w:bottom w:w="0" w:type="dxa"/>
            <w:right w:w="108" w:type="dxa"/>
          </w:tblCellMar>
        </w:tblPrEx>
        <w:trPr>
          <w:trHeight w:val="376" w:hRule="atLeast"/>
        </w:trPr>
        <w:tc>
          <w:tcPr>
            <w:tcW w:w="1889" w:type="dxa"/>
            <w:tcBorders>
              <w:top w:val="single" w:color="000000" w:sz="4" w:space="0"/>
              <w:left w:val="single" w:color="000000" w:sz="4" w:space="0"/>
              <w:bottom w:val="single" w:color="000000" w:sz="4" w:space="0"/>
              <w:right w:val="single" w:color="000000" w:sz="4" w:space="0"/>
            </w:tcBorders>
            <w:noWrap w:val="0"/>
            <w:vAlign w:val="center"/>
          </w:tcPr>
          <w:p w14:paraId="123DB175">
            <w:pPr>
              <w:widowControl/>
              <w:jc w:val="left"/>
              <w:textAlignment w:val="center"/>
              <w:rPr>
                <w:color w:val="auto"/>
                <w:szCs w:val="21"/>
                <w:highlight w:val="none"/>
              </w:rPr>
            </w:pPr>
            <w:r>
              <w:rPr>
                <w:color w:val="auto"/>
                <w:kern w:val="0"/>
                <w:szCs w:val="21"/>
                <w:highlight w:val="none"/>
                <w:lang w:bidi="ar"/>
              </w:rPr>
              <w:t>处理器</w:t>
            </w:r>
          </w:p>
        </w:tc>
        <w:tc>
          <w:tcPr>
            <w:tcW w:w="7397" w:type="dxa"/>
            <w:tcBorders>
              <w:top w:val="single" w:color="000000" w:sz="4" w:space="0"/>
              <w:left w:val="single" w:color="000000" w:sz="4" w:space="0"/>
              <w:bottom w:val="single" w:color="000000" w:sz="4" w:space="0"/>
              <w:right w:val="single" w:color="000000" w:sz="4" w:space="0"/>
            </w:tcBorders>
            <w:noWrap w:val="0"/>
            <w:vAlign w:val="center"/>
          </w:tcPr>
          <w:p w14:paraId="2755C16E">
            <w:pPr>
              <w:widowControl/>
              <w:jc w:val="left"/>
              <w:textAlignment w:val="center"/>
              <w:rPr>
                <w:color w:val="auto"/>
                <w:kern w:val="0"/>
                <w:szCs w:val="21"/>
                <w:highlight w:val="none"/>
                <w:lang w:bidi="ar"/>
              </w:rPr>
            </w:pPr>
            <w:r>
              <w:rPr>
                <w:color w:val="auto"/>
                <w:kern w:val="0"/>
                <w:szCs w:val="21"/>
                <w:highlight w:val="none"/>
                <w:lang w:bidi="ar"/>
              </w:rPr>
              <w:t>≥八核2.0GHz高速处理器或其他同等配置</w:t>
            </w:r>
          </w:p>
        </w:tc>
      </w:tr>
      <w:tr w14:paraId="2AE3BBA2">
        <w:tblPrEx>
          <w:tblCellMar>
            <w:top w:w="0" w:type="dxa"/>
            <w:left w:w="108" w:type="dxa"/>
            <w:bottom w:w="0" w:type="dxa"/>
            <w:right w:w="108" w:type="dxa"/>
          </w:tblCellMar>
        </w:tblPrEx>
        <w:trPr>
          <w:trHeight w:val="308" w:hRule="atLeast"/>
        </w:trPr>
        <w:tc>
          <w:tcPr>
            <w:tcW w:w="1889" w:type="dxa"/>
            <w:tcBorders>
              <w:top w:val="single" w:color="000000" w:sz="4" w:space="0"/>
              <w:left w:val="single" w:color="000000" w:sz="4" w:space="0"/>
              <w:bottom w:val="single" w:color="000000" w:sz="4" w:space="0"/>
              <w:right w:val="single" w:color="000000" w:sz="4" w:space="0"/>
            </w:tcBorders>
            <w:noWrap w:val="0"/>
            <w:vAlign w:val="center"/>
          </w:tcPr>
          <w:p w14:paraId="0257F248">
            <w:pPr>
              <w:widowControl/>
              <w:jc w:val="left"/>
              <w:textAlignment w:val="center"/>
              <w:rPr>
                <w:color w:val="auto"/>
                <w:szCs w:val="21"/>
                <w:highlight w:val="none"/>
              </w:rPr>
            </w:pPr>
            <w:r>
              <w:rPr>
                <w:color w:val="auto"/>
                <w:szCs w:val="21"/>
                <w:highlight w:val="none"/>
              </w:rPr>
              <w:t>存储</w:t>
            </w:r>
          </w:p>
        </w:tc>
        <w:tc>
          <w:tcPr>
            <w:tcW w:w="7397" w:type="dxa"/>
            <w:tcBorders>
              <w:top w:val="single" w:color="000000" w:sz="4" w:space="0"/>
              <w:left w:val="single" w:color="000000" w:sz="4" w:space="0"/>
              <w:bottom w:val="single" w:color="000000" w:sz="4" w:space="0"/>
              <w:right w:val="single" w:color="000000" w:sz="4" w:space="0"/>
            </w:tcBorders>
            <w:noWrap w:val="0"/>
            <w:vAlign w:val="center"/>
          </w:tcPr>
          <w:p w14:paraId="0B4B8128">
            <w:pPr>
              <w:widowControl/>
              <w:jc w:val="left"/>
              <w:textAlignment w:val="center"/>
              <w:rPr>
                <w:color w:val="auto"/>
                <w:szCs w:val="21"/>
                <w:highlight w:val="none"/>
              </w:rPr>
            </w:pPr>
            <w:r>
              <w:rPr>
                <w:color w:val="auto"/>
                <w:szCs w:val="21"/>
                <w:highlight w:val="none"/>
              </w:rPr>
              <w:t>RAM≥8GB；ROM≥256GB</w:t>
            </w:r>
          </w:p>
        </w:tc>
      </w:tr>
      <w:tr w14:paraId="411FC3CB">
        <w:tblPrEx>
          <w:tblCellMar>
            <w:top w:w="0" w:type="dxa"/>
            <w:left w:w="108" w:type="dxa"/>
            <w:bottom w:w="0" w:type="dxa"/>
            <w:right w:w="108" w:type="dxa"/>
          </w:tblCellMar>
        </w:tblPrEx>
        <w:trPr>
          <w:trHeight w:val="340" w:hRule="atLeast"/>
        </w:trPr>
        <w:tc>
          <w:tcPr>
            <w:tcW w:w="9286" w:type="dxa"/>
            <w:gridSpan w:val="2"/>
            <w:tcBorders>
              <w:top w:val="single" w:color="000000" w:sz="4" w:space="0"/>
              <w:left w:val="single" w:color="000000" w:sz="4" w:space="0"/>
              <w:bottom w:val="single" w:color="000000" w:sz="4" w:space="0"/>
              <w:right w:val="single" w:color="000000" w:sz="4" w:space="0"/>
            </w:tcBorders>
            <w:noWrap w:val="0"/>
            <w:vAlign w:val="center"/>
          </w:tcPr>
          <w:p w14:paraId="3760C63B">
            <w:pPr>
              <w:rPr>
                <w:color w:val="auto"/>
                <w:szCs w:val="21"/>
                <w:highlight w:val="none"/>
              </w:rPr>
            </w:pPr>
            <w:r>
              <w:rPr>
                <w:color w:val="auto"/>
                <w:kern w:val="0"/>
                <w:szCs w:val="21"/>
                <w:highlight w:val="none"/>
                <w:lang w:bidi="ar"/>
              </w:rPr>
              <w:t>卫星定位性能</w:t>
            </w:r>
          </w:p>
        </w:tc>
      </w:tr>
      <w:tr w14:paraId="3F2D841A">
        <w:tblPrEx>
          <w:tblCellMar>
            <w:top w:w="0" w:type="dxa"/>
            <w:left w:w="108" w:type="dxa"/>
            <w:bottom w:w="0" w:type="dxa"/>
            <w:right w:w="108" w:type="dxa"/>
          </w:tblCellMar>
        </w:tblPrEx>
        <w:trPr>
          <w:trHeight w:val="285" w:hRule="atLeast"/>
        </w:trPr>
        <w:tc>
          <w:tcPr>
            <w:tcW w:w="1889" w:type="dxa"/>
            <w:tcBorders>
              <w:top w:val="single" w:color="000000" w:sz="4" w:space="0"/>
              <w:left w:val="single" w:color="000000" w:sz="4" w:space="0"/>
              <w:bottom w:val="single" w:color="000000" w:sz="4" w:space="0"/>
              <w:right w:val="single" w:color="000000" w:sz="4" w:space="0"/>
            </w:tcBorders>
            <w:noWrap w:val="0"/>
            <w:vAlign w:val="center"/>
          </w:tcPr>
          <w:p w14:paraId="475B8C52">
            <w:pPr>
              <w:widowControl/>
              <w:jc w:val="left"/>
              <w:textAlignment w:val="center"/>
              <w:rPr>
                <w:color w:val="auto"/>
                <w:szCs w:val="21"/>
                <w:highlight w:val="none"/>
              </w:rPr>
            </w:pPr>
            <w:r>
              <w:rPr>
                <w:color w:val="auto"/>
                <w:kern w:val="0"/>
                <w:szCs w:val="21"/>
                <w:highlight w:val="none"/>
                <w:lang w:bidi="ar"/>
              </w:rPr>
              <w:t>卫星接收</w:t>
            </w:r>
          </w:p>
        </w:tc>
        <w:tc>
          <w:tcPr>
            <w:tcW w:w="7397" w:type="dxa"/>
            <w:tcBorders>
              <w:top w:val="single" w:color="000000" w:sz="4" w:space="0"/>
              <w:left w:val="single" w:color="000000" w:sz="4" w:space="0"/>
              <w:bottom w:val="single" w:color="000000" w:sz="4" w:space="0"/>
              <w:right w:val="single" w:color="000000" w:sz="4" w:space="0"/>
            </w:tcBorders>
            <w:noWrap w:val="0"/>
            <w:vAlign w:val="center"/>
          </w:tcPr>
          <w:p w14:paraId="22714B67">
            <w:pPr>
              <w:widowControl/>
              <w:jc w:val="left"/>
              <w:textAlignment w:val="center"/>
              <w:rPr>
                <w:color w:val="auto"/>
                <w:szCs w:val="21"/>
                <w:highlight w:val="none"/>
              </w:rPr>
            </w:pPr>
            <w:r>
              <w:rPr>
                <w:color w:val="auto"/>
                <w:sz w:val="24"/>
                <w:highlight w:val="none"/>
              </w:rPr>
              <w:t>支持 GPS (L1+L5 双频) / AGPS / GLONASS / 北斗 (B1I+B1C+B2a+B2b 四频) / GALILEO (E1+E5a+E5b 三频) / QZSS (L1+L5 双频) / NavIC</w:t>
            </w:r>
          </w:p>
        </w:tc>
      </w:tr>
      <w:tr w14:paraId="7567F6E4">
        <w:tblPrEx>
          <w:tblCellMar>
            <w:top w:w="0" w:type="dxa"/>
            <w:left w:w="108" w:type="dxa"/>
            <w:bottom w:w="0" w:type="dxa"/>
            <w:right w:w="108" w:type="dxa"/>
          </w:tblCellMar>
        </w:tblPrEx>
        <w:trPr>
          <w:trHeight w:val="408" w:hRule="atLeast"/>
        </w:trPr>
        <w:tc>
          <w:tcPr>
            <w:tcW w:w="1889" w:type="dxa"/>
            <w:tcBorders>
              <w:top w:val="single" w:color="000000" w:sz="4" w:space="0"/>
              <w:left w:val="single" w:color="000000" w:sz="4" w:space="0"/>
              <w:bottom w:val="single" w:color="000000" w:sz="4" w:space="0"/>
              <w:right w:val="single" w:color="000000" w:sz="4" w:space="0"/>
            </w:tcBorders>
            <w:noWrap w:val="0"/>
            <w:vAlign w:val="center"/>
          </w:tcPr>
          <w:p w14:paraId="280EE2A2">
            <w:pPr>
              <w:widowControl/>
              <w:jc w:val="left"/>
              <w:textAlignment w:val="center"/>
              <w:rPr>
                <w:color w:val="auto"/>
                <w:szCs w:val="21"/>
                <w:highlight w:val="none"/>
              </w:rPr>
            </w:pPr>
            <w:r>
              <w:rPr>
                <w:color w:val="auto"/>
                <w:kern w:val="0"/>
                <w:szCs w:val="21"/>
                <w:highlight w:val="none"/>
                <w:lang w:bidi="ar"/>
              </w:rPr>
              <w:t>定位精度</w:t>
            </w:r>
          </w:p>
        </w:tc>
        <w:tc>
          <w:tcPr>
            <w:tcW w:w="7397" w:type="dxa"/>
            <w:tcBorders>
              <w:top w:val="single" w:color="000000" w:sz="4" w:space="0"/>
              <w:left w:val="single" w:color="000000" w:sz="4" w:space="0"/>
              <w:bottom w:val="single" w:color="000000" w:sz="4" w:space="0"/>
              <w:right w:val="single" w:color="000000" w:sz="4" w:space="0"/>
            </w:tcBorders>
            <w:noWrap w:val="0"/>
            <w:vAlign w:val="center"/>
          </w:tcPr>
          <w:p w14:paraId="7D2641BF">
            <w:pPr>
              <w:widowControl/>
              <w:jc w:val="left"/>
              <w:textAlignment w:val="center"/>
              <w:rPr>
                <w:color w:val="auto"/>
                <w:szCs w:val="21"/>
                <w:highlight w:val="none"/>
              </w:rPr>
            </w:pPr>
            <w:r>
              <w:rPr>
                <w:color w:val="auto"/>
                <w:kern w:val="0"/>
                <w:szCs w:val="21"/>
                <w:highlight w:val="none"/>
                <w:lang w:bidi="ar"/>
              </w:rPr>
              <w:t>单点定位误差：≤3m</w:t>
            </w:r>
          </w:p>
        </w:tc>
      </w:tr>
      <w:tr w14:paraId="60948B0D">
        <w:tblPrEx>
          <w:tblCellMar>
            <w:top w:w="0" w:type="dxa"/>
            <w:left w:w="108" w:type="dxa"/>
            <w:bottom w:w="0" w:type="dxa"/>
            <w:right w:w="108" w:type="dxa"/>
          </w:tblCellMar>
        </w:tblPrEx>
        <w:trPr>
          <w:trHeight w:val="285" w:hRule="atLeast"/>
        </w:trPr>
        <w:tc>
          <w:tcPr>
            <w:tcW w:w="1889" w:type="dxa"/>
            <w:tcBorders>
              <w:top w:val="single" w:color="000000" w:sz="4" w:space="0"/>
              <w:left w:val="single" w:color="000000" w:sz="4" w:space="0"/>
              <w:bottom w:val="single" w:color="000000" w:sz="4" w:space="0"/>
              <w:right w:val="single" w:color="000000" w:sz="4" w:space="0"/>
            </w:tcBorders>
            <w:noWrap w:val="0"/>
            <w:vAlign w:val="center"/>
          </w:tcPr>
          <w:p w14:paraId="17B227C1">
            <w:pPr>
              <w:widowControl/>
              <w:jc w:val="left"/>
              <w:textAlignment w:val="center"/>
              <w:rPr>
                <w:color w:val="auto"/>
                <w:szCs w:val="21"/>
                <w:highlight w:val="none"/>
              </w:rPr>
            </w:pPr>
            <w:r>
              <w:rPr>
                <w:color w:val="auto"/>
                <w:kern w:val="0"/>
                <w:szCs w:val="21"/>
                <w:highlight w:val="none"/>
                <w:lang w:bidi="ar"/>
              </w:rPr>
              <w:t>数据更新率</w:t>
            </w:r>
          </w:p>
        </w:tc>
        <w:tc>
          <w:tcPr>
            <w:tcW w:w="7397" w:type="dxa"/>
            <w:tcBorders>
              <w:top w:val="single" w:color="000000" w:sz="4" w:space="0"/>
              <w:left w:val="single" w:color="000000" w:sz="4" w:space="0"/>
              <w:bottom w:val="single" w:color="000000" w:sz="4" w:space="0"/>
              <w:right w:val="single" w:color="000000" w:sz="4" w:space="0"/>
            </w:tcBorders>
            <w:noWrap w:val="0"/>
            <w:vAlign w:val="center"/>
          </w:tcPr>
          <w:p w14:paraId="7059A06B">
            <w:pPr>
              <w:widowControl/>
              <w:jc w:val="left"/>
              <w:textAlignment w:val="center"/>
              <w:rPr>
                <w:color w:val="auto"/>
                <w:szCs w:val="21"/>
                <w:highlight w:val="none"/>
              </w:rPr>
            </w:pPr>
            <w:r>
              <w:rPr>
                <w:color w:val="auto"/>
                <w:kern w:val="0"/>
                <w:szCs w:val="21"/>
                <w:highlight w:val="none"/>
                <w:lang w:bidi="ar"/>
              </w:rPr>
              <w:t>≤1HZ-10HZ</w:t>
            </w:r>
          </w:p>
        </w:tc>
      </w:tr>
      <w:tr w14:paraId="4D5779AC">
        <w:tblPrEx>
          <w:tblCellMar>
            <w:top w:w="0" w:type="dxa"/>
            <w:left w:w="108" w:type="dxa"/>
            <w:bottom w:w="0" w:type="dxa"/>
            <w:right w:w="108" w:type="dxa"/>
          </w:tblCellMar>
        </w:tblPrEx>
        <w:trPr>
          <w:trHeight w:val="285" w:hRule="atLeast"/>
        </w:trPr>
        <w:tc>
          <w:tcPr>
            <w:tcW w:w="9286" w:type="dxa"/>
            <w:gridSpan w:val="2"/>
            <w:tcBorders>
              <w:top w:val="single" w:color="000000" w:sz="4" w:space="0"/>
              <w:left w:val="single" w:color="000000" w:sz="4" w:space="0"/>
              <w:bottom w:val="single" w:color="000000" w:sz="4" w:space="0"/>
              <w:right w:val="single" w:color="000000" w:sz="4" w:space="0"/>
            </w:tcBorders>
            <w:noWrap w:val="0"/>
            <w:vAlign w:val="center"/>
          </w:tcPr>
          <w:p w14:paraId="3FECED67">
            <w:pPr>
              <w:rPr>
                <w:color w:val="auto"/>
                <w:szCs w:val="21"/>
                <w:highlight w:val="none"/>
              </w:rPr>
            </w:pPr>
            <w:r>
              <w:rPr>
                <w:color w:val="auto"/>
                <w:kern w:val="0"/>
                <w:szCs w:val="21"/>
                <w:highlight w:val="none"/>
                <w:lang w:bidi="ar"/>
              </w:rPr>
              <w:t>屏幕特性</w:t>
            </w:r>
          </w:p>
        </w:tc>
      </w:tr>
      <w:tr w14:paraId="38F52FCE">
        <w:tblPrEx>
          <w:tblCellMar>
            <w:top w:w="0" w:type="dxa"/>
            <w:left w:w="108" w:type="dxa"/>
            <w:bottom w:w="0" w:type="dxa"/>
            <w:right w:w="108" w:type="dxa"/>
          </w:tblCellMar>
        </w:tblPrEx>
        <w:trPr>
          <w:trHeight w:val="285" w:hRule="atLeast"/>
        </w:trPr>
        <w:tc>
          <w:tcPr>
            <w:tcW w:w="1889" w:type="dxa"/>
            <w:tcBorders>
              <w:top w:val="single" w:color="000000" w:sz="4" w:space="0"/>
              <w:left w:val="single" w:color="000000" w:sz="4" w:space="0"/>
              <w:bottom w:val="single" w:color="000000" w:sz="4" w:space="0"/>
              <w:right w:val="single" w:color="000000" w:sz="4" w:space="0"/>
            </w:tcBorders>
            <w:noWrap w:val="0"/>
            <w:vAlign w:val="center"/>
          </w:tcPr>
          <w:p w14:paraId="4EA46ED9">
            <w:pPr>
              <w:widowControl/>
              <w:jc w:val="left"/>
              <w:textAlignment w:val="center"/>
              <w:rPr>
                <w:color w:val="auto"/>
                <w:szCs w:val="21"/>
                <w:highlight w:val="none"/>
              </w:rPr>
            </w:pPr>
            <w:r>
              <w:rPr>
                <w:color w:val="auto"/>
                <w:kern w:val="0"/>
                <w:szCs w:val="21"/>
                <w:highlight w:val="none"/>
                <w:lang w:bidi="ar"/>
              </w:rPr>
              <w:t>屏幕尺寸</w:t>
            </w:r>
          </w:p>
        </w:tc>
        <w:tc>
          <w:tcPr>
            <w:tcW w:w="7397" w:type="dxa"/>
            <w:tcBorders>
              <w:top w:val="single" w:color="000000" w:sz="4" w:space="0"/>
              <w:left w:val="single" w:color="000000" w:sz="4" w:space="0"/>
              <w:bottom w:val="single" w:color="000000" w:sz="4" w:space="0"/>
              <w:right w:val="single" w:color="000000" w:sz="4" w:space="0"/>
            </w:tcBorders>
            <w:noWrap w:val="0"/>
            <w:vAlign w:val="center"/>
          </w:tcPr>
          <w:p w14:paraId="78E3CA32">
            <w:pPr>
              <w:widowControl/>
              <w:jc w:val="left"/>
              <w:textAlignment w:val="center"/>
              <w:rPr>
                <w:color w:val="auto"/>
                <w:szCs w:val="21"/>
                <w:highlight w:val="none"/>
              </w:rPr>
            </w:pPr>
            <w:r>
              <w:rPr>
                <w:color w:val="auto"/>
                <w:kern w:val="0"/>
                <w:szCs w:val="21"/>
                <w:highlight w:val="none"/>
                <w:lang w:bidi="ar"/>
              </w:rPr>
              <w:t>≥6英寸高清屏</w:t>
            </w:r>
          </w:p>
        </w:tc>
      </w:tr>
      <w:tr w14:paraId="20FAC7A3">
        <w:tblPrEx>
          <w:tblCellMar>
            <w:top w:w="0" w:type="dxa"/>
            <w:left w:w="108" w:type="dxa"/>
            <w:bottom w:w="0" w:type="dxa"/>
            <w:right w:w="108" w:type="dxa"/>
          </w:tblCellMar>
        </w:tblPrEx>
        <w:trPr>
          <w:trHeight w:val="90" w:hRule="atLeast"/>
        </w:trPr>
        <w:tc>
          <w:tcPr>
            <w:tcW w:w="1889" w:type="dxa"/>
            <w:tcBorders>
              <w:top w:val="single" w:color="000000" w:sz="4" w:space="0"/>
              <w:left w:val="single" w:color="000000" w:sz="4" w:space="0"/>
              <w:bottom w:val="single" w:color="000000" w:sz="4" w:space="0"/>
              <w:right w:val="single" w:color="000000" w:sz="4" w:space="0"/>
            </w:tcBorders>
            <w:noWrap w:val="0"/>
            <w:vAlign w:val="center"/>
          </w:tcPr>
          <w:p w14:paraId="10FCAD08">
            <w:pPr>
              <w:rPr>
                <w:color w:val="auto"/>
                <w:highlight w:val="none"/>
              </w:rPr>
            </w:pPr>
            <w:r>
              <w:rPr>
                <w:color w:val="auto"/>
                <w:kern w:val="0"/>
                <w:szCs w:val="21"/>
                <w:highlight w:val="none"/>
                <w:lang w:bidi="ar"/>
              </w:rPr>
              <w:t>分辨率及类</w:t>
            </w:r>
          </w:p>
          <w:p w14:paraId="126886A9">
            <w:pPr>
              <w:widowControl/>
              <w:jc w:val="left"/>
              <w:textAlignment w:val="center"/>
              <w:rPr>
                <w:color w:val="auto"/>
                <w:szCs w:val="21"/>
                <w:highlight w:val="none"/>
              </w:rPr>
            </w:pPr>
            <w:r>
              <w:rPr>
                <w:color w:val="auto"/>
                <w:kern w:val="0"/>
                <w:szCs w:val="21"/>
                <w:highlight w:val="none"/>
                <w:lang w:bidi="ar"/>
              </w:rPr>
              <w:t>型</w:t>
            </w:r>
          </w:p>
        </w:tc>
        <w:tc>
          <w:tcPr>
            <w:tcW w:w="7397" w:type="dxa"/>
            <w:tcBorders>
              <w:top w:val="single" w:color="000000" w:sz="4" w:space="0"/>
              <w:left w:val="single" w:color="000000" w:sz="4" w:space="0"/>
              <w:bottom w:val="single" w:color="000000" w:sz="4" w:space="0"/>
              <w:right w:val="single" w:color="000000" w:sz="4" w:space="0"/>
            </w:tcBorders>
            <w:noWrap w:val="0"/>
            <w:vAlign w:val="center"/>
          </w:tcPr>
          <w:p w14:paraId="7301E0BA">
            <w:pPr>
              <w:widowControl/>
              <w:jc w:val="left"/>
              <w:textAlignment w:val="center"/>
              <w:rPr>
                <w:color w:val="auto"/>
                <w:szCs w:val="21"/>
                <w:highlight w:val="none"/>
              </w:rPr>
            </w:pPr>
            <w:r>
              <w:rPr>
                <w:color w:val="auto"/>
                <w:kern w:val="0"/>
                <w:szCs w:val="21"/>
                <w:highlight w:val="none"/>
                <w:lang w:bidi="ar"/>
              </w:rPr>
              <w:t>≥1920*1200，亮度≥600lux，支持电容手套操作，抗强光屏幕</w:t>
            </w:r>
          </w:p>
        </w:tc>
      </w:tr>
      <w:tr w14:paraId="1A11A3EB">
        <w:tblPrEx>
          <w:tblCellMar>
            <w:top w:w="0" w:type="dxa"/>
            <w:left w:w="108" w:type="dxa"/>
            <w:bottom w:w="0" w:type="dxa"/>
            <w:right w:w="108" w:type="dxa"/>
          </w:tblCellMar>
        </w:tblPrEx>
        <w:trPr>
          <w:trHeight w:val="126" w:hRule="atLeast"/>
        </w:trPr>
        <w:tc>
          <w:tcPr>
            <w:tcW w:w="1889" w:type="dxa"/>
            <w:tcBorders>
              <w:top w:val="single" w:color="000000" w:sz="4" w:space="0"/>
              <w:left w:val="single" w:color="000000" w:sz="4" w:space="0"/>
              <w:bottom w:val="single" w:color="000000" w:sz="4" w:space="0"/>
              <w:right w:val="single" w:color="000000" w:sz="4" w:space="0"/>
            </w:tcBorders>
            <w:noWrap w:val="0"/>
            <w:vAlign w:val="center"/>
          </w:tcPr>
          <w:p w14:paraId="07511C26">
            <w:pPr>
              <w:widowControl/>
              <w:jc w:val="left"/>
              <w:textAlignment w:val="center"/>
              <w:rPr>
                <w:color w:val="auto"/>
                <w:szCs w:val="21"/>
                <w:highlight w:val="none"/>
              </w:rPr>
            </w:pPr>
            <w:r>
              <w:rPr>
                <w:color w:val="auto"/>
                <w:kern w:val="0"/>
                <w:szCs w:val="21"/>
                <w:highlight w:val="none"/>
                <w:lang w:bidi="ar"/>
              </w:rPr>
              <w:t>摄像头</w:t>
            </w:r>
          </w:p>
        </w:tc>
        <w:tc>
          <w:tcPr>
            <w:tcW w:w="7397" w:type="dxa"/>
            <w:tcBorders>
              <w:top w:val="single" w:color="000000" w:sz="4" w:space="0"/>
              <w:left w:val="single" w:color="000000" w:sz="4" w:space="0"/>
              <w:bottom w:val="single" w:color="000000" w:sz="4" w:space="0"/>
              <w:right w:val="single" w:color="000000" w:sz="4" w:space="0"/>
            </w:tcBorders>
            <w:noWrap w:val="0"/>
            <w:vAlign w:val="center"/>
          </w:tcPr>
          <w:p w14:paraId="318BF695">
            <w:pPr>
              <w:widowControl/>
              <w:jc w:val="left"/>
              <w:textAlignment w:val="center"/>
              <w:rPr>
                <w:color w:val="auto"/>
                <w:szCs w:val="21"/>
                <w:highlight w:val="none"/>
              </w:rPr>
            </w:pPr>
            <w:r>
              <w:rPr>
                <w:color w:val="auto"/>
                <w:kern w:val="0"/>
                <w:szCs w:val="21"/>
                <w:highlight w:val="none"/>
                <w:lang w:bidi="ar"/>
              </w:rPr>
              <w:t>后置≥5000万，前置≥800万，自动对焦AF；支持LED闪光灯</w:t>
            </w:r>
          </w:p>
        </w:tc>
      </w:tr>
      <w:tr w14:paraId="45ED956A">
        <w:tblPrEx>
          <w:tblCellMar>
            <w:top w:w="0" w:type="dxa"/>
            <w:left w:w="108" w:type="dxa"/>
            <w:bottom w:w="0" w:type="dxa"/>
            <w:right w:w="108" w:type="dxa"/>
          </w:tblCellMar>
        </w:tblPrEx>
        <w:trPr>
          <w:trHeight w:val="398" w:hRule="atLeast"/>
        </w:trPr>
        <w:tc>
          <w:tcPr>
            <w:tcW w:w="9286" w:type="dxa"/>
            <w:gridSpan w:val="2"/>
            <w:tcBorders>
              <w:top w:val="single" w:color="000000" w:sz="4" w:space="0"/>
              <w:left w:val="single" w:color="000000" w:sz="4" w:space="0"/>
              <w:bottom w:val="single" w:color="000000" w:sz="4" w:space="0"/>
              <w:right w:val="single" w:color="000000" w:sz="4" w:space="0"/>
            </w:tcBorders>
            <w:noWrap w:val="0"/>
            <w:vAlign w:val="center"/>
          </w:tcPr>
          <w:p w14:paraId="5DE85ECA">
            <w:pPr>
              <w:rPr>
                <w:color w:val="auto"/>
                <w:szCs w:val="21"/>
                <w:highlight w:val="none"/>
              </w:rPr>
            </w:pPr>
            <w:r>
              <w:rPr>
                <w:color w:val="auto"/>
                <w:kern w:val="0"/>
                <w:szCs w:val="21"/>
                <w:highlight w:val="none"/>
                <w:lang w:bidi="ar"/>
              </w:rPr>
              <w:t>数据通讯</w:t>
            </w:r>
          </w:p>
        </w:tc>
      </w:tr>
      <w:tr w14:paraId="7714C139">
        <w:tblPrEx>
          <w:tblCellMar>
            <w:top w:w="0" w:type="dxa"/>
            <w:left w:w="108" w:type="dxa"/>
            <w:bottom w:w="0" w:type="dxa"/>
            <w:right w:w="108" w:type="dxa"/>
          </w:tblCellMar>
        </w:tblPrEx>
        <w:trPr>
          <w:trHeight w:val="285" w:hRule="atLeast"/>
        </w:trPr>
        <w:tc>
          <w:tcPr>
            <w:tcW w:w="1889" w:type="dxa"/>
            <w:tcBorders>
              <w:top w:val="single" w:color="000000" w:sz="4" w:space="0"/>
              <w:left w:val="single" w:color="000000" w:sz="4" w:space="0"/>
              <w:bottom w:val="single" w:color="000000" w:sz="4" w:space="0"/>
              <w:right w:val="single" w:color="000000" w:sz="4" w:space="0"/>
            </w:tcBorders>
            <w:noWrap w:val="0"/>
            <w:vAlign w:val="center"/>
          </w:tcPr>
          <w:p w14:paraId="6759E7CA">
            <w:pPr>
              <w:widowControl/>
              <w:jc w:val="left"/>
              <w:textAlignment w:val="center"/>
              <w:rPr>
                <w:color w:val="auto"/>
                <w:szCs w:val="21"/>
                <w:highlight w:val="none"/>
              </w:rPr>
            </w:pPr>
            <w:r>
              <w:rPr>
                <w:color w:val="auto"/>
                <w:kern w:val="0"/>
                <w:szCs w:val="21"/>
                <w:highlight w:val="none"/>
                <w:lang w:bidi="ar"/>
              </w:rPr>
              <w:t>USB制式</w:t>
            </w:r>
          </w:p>
        </w:tc>
        <w:tc>
          <w:tcPr>
            <w:tcW w:w="7397" w:type="dxa"/>
            <w:tcBorders>
              <w:top w:val="single" w:color="000000" w:sz="4" w:space="0"/>
              <w:left w:val="single" w:color="000000" w:sz="4" w:space="0"/>
              <w:bottom w:val="single" w:color="000000" w:sz="4" w:space="0"/>
              <w:right w:val="single" w:color="000000" w:sz="4" w:space="0"/>
            </w:tcBorders>
            <w:noWrap w:val="0"/>
            <w:vAlign w:val="center"/>
          </w:tcPr>
          <w:p w14:paraId="2FF7FD47">
            <w:pPr>
              <w:widowControl/>
              <w:jc w:val="left"/>
              <w:textAlignment w:val="center"/>
              <w:rPr>
                <w:color w:val="auto"/>
                <w:szCs w:val="21"/>
                <w:highlight w:val="none"/>
              </w:rPr>
            </w:pPr>
            <w:r>
              <w:rPr>
                <w:color w:val="auto"/>
                <w:kern w:val="0"/>
                <w:szCs w:val="21"/>
                <w:highlight w:val="none"/>
                <w:lang w:bidi="ar"/>
              </w:rPr>
              <w:t>TypeC，支持OTG</w:t>
            </w:r>
          </w:p>
        </w:tc>
      </w:tr>
      <w:tr w14:paraId="3C55918A">
        <w:tblPrEx>
          <w:tblCellMar>
            <w:top w:w="0" w:type="dxa"/>
            <w:left w:w="108" w:type="dxa"/>
            <w:bottom w:w="0" w:type="dxa"/>
            <w:right w:w="108" w:type="dxa"/>
          </w:tblCellMar>
        </w:tblPrEx>
        <w:trPr>
          <w:trHeight w:val="670" w:hRule="atLeast"/>
        </w:trPr>
        <w:tc>
          <w:tcPr>
            <w:tcW w:w="1889" w:type="dxa"/>
            <w:tcBorders>
              <w:top w:val="single" w:color="000000" w:sz="4" w:space="0"/>
              <w:left w:val="single" w:color="000000" w:sz="4" w:space="0"/>
              <w:bottom w:val="single" w:color="000000" w:sz="4" w:space="0"/>
              <w:right w:val="single" w:color="000000" w:sz="4" w:space="0"/>
            </w:tcBorders>
            <w:noWrap w:val="0"/>
            <w:vAlign w:val="center"/>
          </w:tcPr>
          <w:p w14:paraId="46FFE473">
            <w:pPr>
              <w:widowControl/>
              <w:jc w:val="left"/>
              <w:textAlignment w:val="center"/>
              <w:rPr>
                <w:color w:val="auto"/>
                <w:szCs w:val="21"/>
                <w:highlight w:val="none"/>
              </w:rPr>
            </w:pPr>
            <w:r>
              <w:rPr>
                <w:color w:val="auto"/>
                <w:kern w:val="0"/>
                <w:szCs w:val="21"/>
                <w:highlight w:val="none"/>
                <w:lang w:bidi="ar"/>
              </w:rPr>
              <w:t>运营商网络</w:t>
            </w:r>
          </w:p>
        </w:tc>
        <w:tc>
          <w:tcPr>
            <w:tcW w:w="7397" w:type="dxa"/>
            <w:tcBorders>
              <w:top w:val="single" w:color="000000" w:sz="4" w:space="0"/>
              <w:left w:val="single" w:color="000000" w:sz="4" w:space="0"/>
              <w:bottom w:val="single" w:color="000000" w:sz="4" w:space="0"/>
              <w:right w:val="single" w:color="000000" w:sz="4" w:space="0"/>
            </w:tcBorders>
            <w:noWrap w:val="0"/>
            <w:vAlign w:val="center"/>
          </w:tcPr>
          <w:p w14:paraId="2AAB9E64">
            <w:pPr>
              <w:widowControl/>
              <w:jc w:val="left"/>
              <w:textAlignment w:val="center"/>
              <w:rPr>
                <w:color w:val="auto"/>
                <w:szCs w:val="21"/>
                <w:highlight w:val="none"/>
              </w:rPr>
            </w:pPr>
            <w:r>
              <w:rPr>
                <w:color w:val="auto"/>
                <w:kern w:val="0"/>
                <w:szCs w:val="21"/>
                <w:highlight w:val="none"/>
                <w:lang w:bidi="ar"/>
              </w:rPr>
              <w:t>5G、4G全网通（移动、联通、电信）TDD-LTE/TD-SCDMA/FDD-LTE/WCDMA/GSM/CDMA/EVDO</w:t>
            </w:r>
          </w:p>
        </w:tc>
      </w:tr>
      <w:tr w14:paraId="6354CDDC">
        <w:tblPrEx>
          <w:tblCellMar>
            <w:top w:w="0" w:type="dxa"/>
            <w:left w:w="108" w:type="dxa"/>
            <w:bottom w:w="0" w:type="dxa"/>
            <w:right w:w="108" w:type="dxa"/>
          </w:tblCellMar>
        </w:tblPrEx>
        <w:trPr>
          <w:trHeight w:val="285" w:hRule="atLeast"/>
        </w:trPr>
        <w:tc>
          <w:tcPr>
            <w:tcW w:w="1889" w:type="dxa"/>
            <w:tcBorders>
              <w:top w:val="single" w:color="000000" w:sz="4" w:space="0"/>
              <w:left w:val="single" w:color="000000" w:sz="4" w:space="0"/>
              <w:bottom w:val="single" w:color="000000" w:sz="4" w:space="0"/>
              <w:right w:val="single" w:color="000000" w:sz="4" w:space="0"/>
            </w:tcBorders>
            <w:noWrap w:val="0"/>
            <w:vAlign w:val="center"/>
          </w:tcPr>
          <w:p w14:paraId="42DC0C85">
            <w:pPr>
              <w:widowControl/>
              <w:jc w:val="left"/>
              <w:textAlignment w:val="center"/>
              <w:rPr>
                <w:color w:val="auto"/>
                <w:szCs w:val="21"/>
                <w:highlight w:val="none"/>
              </w:rPr>
            </w:pPr>
            <w:r>
              <w:rPr>
                <w:color w:val="auto"/>
                <w:kern w:val="0"/>
                <w:sz w:val="24"/>
                <w:highlight w:val="none"/>
                <w:lang w:bidi="ar"/>
              </w:rPr>
              <w:t>WLAN</w:t>
            </w:r>
          </w:p>
        </w:tc>
        <w:tc>
          <w:tcPr>
            <w:tcW w:w="7397" w:type="dxa"/>
            <w:tcBorders>
              <w:top w:val="single" w:color="000000" w:sz="4" w:space="0"/>
              <w:left w:val="single" w:color="000000" w:sz="4" w:space="0"/>
              <w:bottom w:val="single" w:color="000000" w:sz="4" w:space="0"/>
              <w:right w:val="single" w:color="000000" w:sz="4" w:space="0"/>
            </w:tcBorders>
            <w:noWrap w:val="0"/>
            <w:vAlign w:val="center"/>
          </w:tcPr>
          <w:p w14:paraId="7AF3D7E8">
            <w:pPr>
              <w:widowControl/>
              <w:jc w:val="left"/>
              <w:rPr>
                <w:color w:val="auto"/>
                <w:highlight w:val="none"/>
              </w:rPr>
            </w:pPr>
            <w:r>
              <w:rPr>
                <w:color w:val="auto"/>
                <w:kern w:val="0"/>
                <w:szCs w:val="21"/>
                <w:highlight w:val="none"/>
                <w:lang w:bidi="ar"/>
              </w:rPr>
              <w:t>支持</w:t>
            </w:r>
            <w:r>
              <w:rPr>
                <w:color w:val="auto"/>
                <w:kern w:val="0"/>
                <w:sz w:val="24"/>
                <w:highlight w:val="none"/>
                <w:lang w:bidi="ar"/>
              </w:rPr>
              <w:t>协议：</w:t>
            </w:r>
          </w:p>
          <w:p w14:paraId="0F1C4D75">
            <w:pPr>
              <w:widowControl/>
              <w:jc w:val="left"/>
              <w:rPr>
                <w:color w:val="auto"/>
                <w:highlight w:val="none"/>
              </w:rPr>
            </w:pPr>
            <w:r>
              <w:rPr>
                <w:color w:val="auto"/>
                <w:kern w:val="0"/>
                <w:sz w:val="24"/>
                <w:highlight w:val="none"/>
                <w:lang w:bidi="ar"/>
              </w:rPr>
              <w:t>802.11 a/b/g/n/ac/ax,2x2 MIMO,HE160,1024QAM,8 Spatial-stream Sounding MU-MIMO</w:t>
            </w:r>
          </w:p>
          <w:p w14:paraId="200ADEC6">
            <w:pPr>
              <w:widowControl/>
              <w:jc w:val="left"/>
              <w:rPr>
                <w:color w:val="auto"/>
                <w:szCs w:val="21"/>
                <w:highlight w:val="none"/>
              </w:rPr>
            </w:pPr>
            <w:r>
              <w:rPr>
                <w:color w:val="auto"/>
                <w:kern w:val="0"/>
                <w:sz w:val="24"/>
                <w:highlight w:val="none"/>
                <w:lang w:bidi="ar"/>
              </w:rPr>
              <w:t>支持频率：2.4GHz和5GHz</w:t>
            </w:r>
          </w:p>
        </w:tc>
      </w:tr>
      <w:tr w14:paraId="4FCEC2D4">
        <w:tblPrEx>
          <w:tblCellMar>
            <w:top w:w="0" w:type="dxa"/>
            <w:left w:w="108" w:type="dxa"/>
            <w:bottom w:w="0" w:type="dxa"/>
            <w:right w:w="108" w:type="dxa"/>
          </w:tblCellMar>
        </w:tblPrEx>
        <w:trPr>
          <w:trHeight w:val="285" w:hRule="atLeast"/>
        </w:trPr>
        <w:tc>
          <w:tcPr>
            <w:tcW w:w="1889" w:type="dxa"/>
            <w:tcBorders>
              <w:top w:val="single" w:color="000000" w:sz="4" w:space="0"/>
              <w:left w:val="single" w:color="000000" w:sz="4" w:space="0"/>
              <w:bottom w:val="single" w:color="000000" w:sz="4" w:space="0"/>
              <w:right w:val="single" w:color="000000" w:sz="4" w:space="0"/>
            </w:tcBorders>
            <w:noWrap w:val="0"/>
            <w:vAlign w:val="center"/>
          </w:tcPr>
          <w:p w14:paraId="575CBA50">
            <w:pPr>
              <w:widowControl/>
              <w:jc w:val="left"/>
              <w:textAlignment w:val="center"/>
              <w:rPr>
                <w:color w:val="auto"/>
                <w:szCs w:val="21"/>
                <w:highlight w:val="none"/>
              </w:rPr>
            </w:pPr>
            <w:r>
              <w:rPr>
                <w:color w:val="auto"/>
                <w:kern w:val="0"/>
                <w:szCs w:val="21"/>
                <w:highlight w:val="none"/>
                <w:lang w:bidi="ar"/>
              </w:rPr>
              <w:t>蓝牙</w:t>
            </w:r>
          </w:p>
        </w:tc>
        <w:tc>
          <w:tcPr>
            <w:tcW w:w="7397" w:type="dxa"/>
            <w:tcBorders>
              <w:top w:val="single" w:color="000000" w:sz="4" w:space="0"/>
              <w:left w:val="single" w:color="000000" w:sz="4" w:space="0"/>
              <w:bottom w:val="single" w:color="000000" w:sz="4" w:space="0"/>
              <w:right w:val="single" w:color="000000" w:sz="4" w:space="0"/>
            </w:tcBorders>
            <w:noWrap w:val="0"/>
            <w:vAlign w:val="center"/>
          </w:tcPr>
          <w:p w14:paraId="3E0EC50E">
            <w:pPr>
              <w:widowControl/>
              <w:jc w:val="left"/>
              <w:textAlignment w:val="center"/>
              <w:rPr>
                <w:color w:val="auto"/>
                <w:szCs w:val="21"/>
                <w:highlight w:val="none"/>
              </w:rPr>
            </w:pPr>
            <w:r>
              <w:rPr>
                <w:color w:val="auto"/>
                <w:sz w:val="24"/>
                <w:highlight w:val="none"/>
              </w:rPr>
              <w:t>Bluetooth 5.</w:t>
            </w:r>
            <w:r>
              <w:rPr>
                <w:color w:val="auto"/>
                <w:kern w:val="0"/>
                <w:szCs w:val="21"/>
                <w:highlight w:val="none"/>
                <w:lang w:bidi="ar"/>
              </w:rPr>
              <w:t>0及以上，支持BLE</w:t>
            </w:r>
          </w:p>
        </w:tc>
      </w:tr>
      <w:tr w14:paraId="53B8F1D4">
        <w:tblPrEx>
          <w:tblCellMar>
            <w:top w:w="0" w:type="dxa"/>
            <w:left w:w="108" w:type="dxa"/>
            <w:bottom w:w="0" w:type="dxa"/>
            <w:right w:w="108" w:type="dxa"/>
          </w:tblCellMar>
        </w:tblPrEx>
        <w:trPr>
          <w:trHeight w:val="360" w:hRule="atLeast"/>
        </w:trPr>
        <w:tc>
          <w:tcPr>
            <w:tcW w:w="1889" w:type="dxa"/>
            <w:tcBorders>
              <w:top w:val="single" w:color="000000" w:sz="4" w:space="0"/>
              <w:left w:val="single" w:color="000000" w:sz="4" w:space="0"/>
              <w:bottom w:val="single" w:color="000000" w:sz="4" w:space="0"/>
              <w:right w:val="single" w:color="000000" w:sz="4" w:space="0"/>
            </w:tcBorders>
            <w:noWrap w:val="0"/>
            <w:vAlign w:val="center"/>
          </w:tcPr>
          <w:p w14:paraId="6D6720C8">
            <w:pPr>
              <w:widowControl/>
              <w:jc w:val="left"/>
              <w:textAlignment w:val="center"/>
              <w:rPr>
                <w:color w:val="auto"/>
                <w:szCs w:val="21"/>
                <w:highlight w:val="none"/>
              </w:rPr>
            </w:pPr>
            <w:r>
              <w:rPr>
                <w:color w:val="auto"/>
                <w:kern w:val="0"/>
                <w:szCs w:val="21"/>
                <w:highlight w:val="none"/>
                <w:lang w:bidi="ar"/>
              </w:rPr>
              <w:t>传感器</w:t>
            </w:r>
          </w:p>
        </w:tc>
        <w:tc>
          <w:tcPr>
            <w:tcW w:w="7397" w:type="dxa"/>
            <w:tcBorders>
              <w:top w:val="single" w:color="000000" w:sz="4" w:space="0"/>
              <w:left w:val="single" w:color="000000" w:sz="4" w:space="0"/>
              <w:bottom w:val="single" w:color="000000" w:sz="4" w:space="0"/>
              <w:right w:val="single" w:color="000000" w:sz="4" w:space="0"/>
            </w:tcBorders>
            <w:noWrap w:val="0"/>
            <w:vAlign w:val="center"/>
          </w:tcPr>
          <w:p w14:paraId="61A4508C">
            <w:pPr>
              <w:widowControl/>
              <w:jc w:val="left"/>
              <w:textAlignment w:val="center"/>
              <w:rPr>
                <w:color w:val="auto"/>
                <w:szCs w:val="21"/>
                <w:highlight w:val="none"/>
              </w:rPr>
            </w:pPr>
            <w:r>
              <w:rPr>
                <w:color w:val="auto"/>
                <w:kern w:val="0"/>
                <w:szCs w:val="21"/>
                <w:highlight w:val="none"/>
                <w:lang w:bidi="ar"/>
              </w:rPr>
              <w:t>重力感应器、电子罗盘、气压计、陀螺仪、光感应器、距离传感器</w:t>
            </w:r>
          </w:p>
        </w:tc>
      </w:tr>
      <w:tr w14:paraId="70A39535">
        <w:tblPrEx>
          <w:tblCellMar>
            <w:top w:w="0" w:type="dxa"/>
            <w:left w:w="108" w:type="dxa"/>
            <w:bottom w:w="0" w:type="dxa"/>
            <w:right w:w="108" w:type="dxa"/>
          </w:tblCellMar>
        </w:tblPrEx>
        <w:trPr>
          <w:trHeight w:val="285" w:hRule="atLeast"/>
        </w:trPr>
        <w:tc>
          <w:tcPr>
            <w:tcW w:w="9286" w:type="dxa"/>
            <w:gridSpan w:val="2"/>
            <w:tcBorders>
              <w:top w:val="single" w:color="000000" w:sz="4" w:space="0"/>
              <w:left w:val="single" w:color="000000" w:sz="4" w:space="0"/>
              <w:bottom w:val="single" w:color="000000" w:sz="4" w:space="0"/>
              <w:right w:val="single" w:color="000000" w:sz="4" w:space="0"/>
            </w:tcBorders>
            <w:noWrap w:val="0"/>
            <w:vAlign w:val="center"/>
          </w:tcPr>
          <w:p w14:paraId="2808D1C8">
            <w:pPr>
              <w:rPr>
                <w:color w:val="auto"/>
                <w:szCs w:val="21"/>
                <w:highlight w:val="none"/>
              </w:rPr>
            </w:pPr>
            <w:r>
              <w:rPr>
                <w:strike/>
                <w:color w:val="auto"/>
                <w:kern w:val="0"/>
                <w:szCs w:val="21"/>
                <w:highlight w:val="none"/>
                <w:lang w:bidi="ar"/>
              </w:rPr>
              <w:t>电源</w:t>
            </w:r>
          </w:p>
        </w:tc>
      </w:tr>
      <w:tr w14:paraId="14FA0127">
        <w:tblPrEx>
          <w:tblCellMar>
            <w:top w:w="0" w:type="dxa"/>
            <w:left w:w="108" w:type="dxa"/>
            <w:bottom w:w="0" w:type="dxa"/>
            <w:right w:w="108" w:type="dxa"/>
          </w:tblCellMar>
        </w:tblPrEx>
        <w:trPr>
          <w:trHeight w:val="285" w:hRule="atLeast"/>
        </w:trPr>
        <w:tc>
          <w:tcPr>
            <w:tcW w:w="1889" w:type="dxa"/>
            <w:tcBorders>
              <w:top w:val="single" w:color="000000" w:sz="4" w:space="0"/>
              <w:left w:val="single" w:color="000000" w:sz="4" w:space="0"/>
              <w:bottom w:val="single" w:color="000000" w:sz="4" w:space="0"/>
              <w:right w:val="single" w:color="000000" w:sz="4" w:space="0"/>
            </w:tcBorders>
            <w:noWrap w:val="0"/>
            <w:vAlign w:val="center"/>
          </w:tcPr>
          <w:p w14:paraId="3BFFDF74">
            <w:pPr>
              <w:widowControl/>
              <w:jc w:val="left"/>
              <w:textAlignment w:val="center"/>
              <w:rPr>
                <w:color w:val="auto"/>
                <w:szCs w:val="21"/>
                <w:highlight w:val="none"/>
              </w:rPr>
            </w:pPr>
            <w:r>
              <w:rPr>
                <w:color w:val="auto"/>
                <w:kern w:val="0"/>
                <w:szCs w:val="21"/>
                <w:highlight w:val="none"/>
                <w:lang w:bidi="ar"/>
              </w:rPr>
              <w:t>电池特性</w:t>
            </w:r>
          </w:p>
        </w:tc>
        <w:tc>
          <w:tcPr>
            <w:tcW w:w="7397" w:type="dxa"/>
            <w:tcBorders>
              <w:top w:val="single" w:color="000000" w:sz="4" w:space="0"/>
              <w:left w:val="single" w:color="000000" w:sz="4" w:space="0"/>
              <w:bottom w:val="single" w:color="000000" w:sz="4" w:space="0"/>
              <w:right w:val="single" w:color="000000" w:sz="4" w:space="0"/>
            </w:tcBorders>
            <w:noWrap w:val="0"/>
            <w:vAlign w:val="center"/>
          </w:tcPr>
          <w:p w14:paraId="773DF248">
            <w:pPr>
              <w:widowControl/>
              <w:jc w:val="left"/>
              <w:textAlignment w:val="center"/>
              <w:rPr>
                <w:color w:val="auto"/>
                <w:szCs w:val="21"/>
                <w:highlight w:val="none"/>
              </w:rPr>
            </w:pPr>
            <w:r>
              <w:rPr>
                <w:color w:val="auto"/>
                <w:kern w:val="0"/>
                <w:szCs w:val="21"/>
                <w:highlight w:val="none"/>
                <w:lang w:bidi="ar"/>
              </w:rPr>
              <w:t>额定电量≥4900mAh，放电：-20℃～60℃，充电：0℃～50℃</w:t>
            </w:r>
          </w:p>
        </w:tc>
      </w:tr>
      <w:tr w14:paraId="7BE3F96B">
        <w:tblPrEx>
          <w:tblCellMar>
            <w:top w:w="0" w:type="dxa"/>
            <w:left w:w="108" w:type="dxa"/>
            <w:bottom w:w="0" w:type="dxa"/>
            <w:right w:w="108" w:type="dxa"/>
          </w:tblCellMar>
        </w:tblPrEx>
        <w:trPr>
          <w:trHeight w:val="285" w:hRule="atLeast"/>
        </w:trPr>
        <w:tc>
          <w:tcPr>
            <w:tcW w:w="9286" w:type="dxa"/>
            <w:gridSpan w:val="2"/>
            <w:tcBorders>
              <w:top w:val="single" w:color="000000" w:sz="4" w:space="0"/>
              <w:left w:val="single" w:color="000000" w:sz="4" w:space="0"/>
              <w:bottom w:val="single" w:color="000000" w:sz="4" w:space="0"/>
              <w:right w:val="single" w:color="000000" w:sz="4" w:space="0"/>
            </w:tcBorders>
            <w:noWrap w:val="0"/>
            <w:vAlign w:val="center"/>
          </w:tcPr>
          <w:p w14:paraId="436A0023">
            <w:pPr>
              <w:rPr>
                <w:color w:val="auto"/>
                <w:szCs w:val="21"/>
                <w:highlight w:val="none"/>
              </w:rPr>
            </w:pPr>
            <w:r>
              <w:rPr>
                <w:color w:val="auto"/>
                <w:kern w:val="0"/>
                <w:szCs w:val="21"/>
                <w:highlight w:val="none"/>
                <w:lang w:bidi="ar"/>
              </w:rPr>
              <w:t>物理特性</w:t>
            </w:r>
          </w:p>
        </w:tc>
      </w:tr>
      <w:tr w14:paraId="0AEBDF0A">
        <w:tblPrEx>
          <w:tblCellMar>
            <w:top w:w="0" w:type="dxa"/>
            <w:left w:w="108" w:type="dxa"/>
            <w:bottom w:w="0" w:type="dxa"/>
            <w:right w:w="108" w:type="dxa"/>
          </w:tblCellMar>
        </w:tblPrEx>
        <w:trPr>
          <w:trHeight w:val="285" w:hRule="atLeast"/>
        </w:trPr>
        <w:tc>
          <w:tcPr>
            <w:tcW w:w="1889" w:type="dxa"/>
            <w:tcBorders>
              <w:top w:val="single" w:color="000000" w:sz="4" w:space="0"/>
              <w:left w:val="single" w:color="000000" w:sz="4" w:space="0"/>
              <w:bottom w:val="single" w:color="000000" w:sz="4" w:space="0"/>
              <w:right w:val="single" w:color="000000" w:sz="4" w:space="0"/>
            </w:tcBorders>
            <w:noWrap w:val="0"/>
            <w:vAlign w:val="center"/>
          </w:tcPr>
          <w:p w14:paraId="5A148724">
            <w:pPr>
              <w:widowControl/>
              <w:jc w:val="left"/>
              <w:textAlignment w:val="center"/>
              <w:rPr>
                <w:color w:val="auto"/>
                <w:szCs w:val="21"/>
                <w:highlight w:val="none"/>
              </w:rPr>
            </w:pPr>
            <w:r>
              <w:rPr>
                <w:color w:val="auto"/>
                <w:kern w:val="0"/>
                <w:szCs w:val="21"/>
                <w:highlight w:val="none"/>
                <w:lang w:bidi="ar"/>
              </w:rPr>
              <w:t>IP等级</w:t>
            </w:r>
          </w:p>
        </w:tc>
        <w:tc>
          <w:tcPr>
            <w:tcW w:w="7397" w:type="dxa"/>
            <w:tcBorders>
              <w:top w:val="single" w:color="000000" w:sz="4" w:space="0"/>
              <w:left w:val="single" w:color="000000" w:sz="4" w:space="0"/>
              <w:bottom w:val="single" w:color="000000" w:sz="4" w:space="0"/>
              <w:right w:val="single" w:color="000000" w:sz="4" w:space="0"/>
            </w:tcBorders>
            <w:noWrap w:val="0"/>
            <w:vAlign w:val="center"/>
          </w:tcPr>
          <w:p w14:paraId="3CCAB541">
            <w:pPr>
              <w:widowControl/>
              <w:jc w:val="left"/>
              <w:textAlignment w:val="center"/>
              <w:rPr>
                <w:color w:val="auto"/>
                <w:szCs w:val="21"/>
                <w:highlight w:val="none"/>
              </w:rPr>
            </w:pPr>
            <w:r>
              <w:rPr>
                <w:color w:val="auto"/>
                <w:kern w:val="0"/>
                <w:szCs w:val="21"/>
                <w:highlight w:val="none"/>
                <w:lang w:bidi="ar"/>
              </w:rPr>
              <w:t>IP68，抗1.5米自由跌落</w:t>
            </w:r>
          </w:p>
        </w:tc>
      </w:tr>
      <w:tr w14:paraId="171228FF">
        <w:tblPrEx>
          <w:tblCellMar>
            <w:top w:w="0" w:type="dxa"/>
            <w:left w:w="108" w:type="dxa"/>
            <w:bottom w:w="0" w:type="dxa"/>
            <w:right w:w="108" w:type="dxa"/>
          </w:tblCellMar>
        </w:tblPrEx>
        <w:trPr>
          <w:trHeight w:val="285" w:hRule="atLeast"/>
        </w:trPr>
        <w:tc>
          <w:tcPr>
            <w:tcW w:w="1889" w:type="dxa"/>
            <w:tcBorders>
              <w:top w:val="single" w:color="000000" w:sz="4" w:space="0"/>
              <w:left w:val="single" w:color="000000" w:sz="4" w:space="0"/>
              <w:bottom w:val="single" w:color="000000" w:sz="4" w:space="0"/>
              <w:right w:val="single" w:color="000000" w:sz="4" w:space="0"/>
            </w:tcBorders>
            <w:noWrap w:val="0"/>
            <w:vAlign w:val="center"/>
          </w:tcPr>
          <w:p w14:paraId="412701E1">
            <w:pPr>
              <w:widowControl/>
              <w:jc w:val="left"/>
              <w:textAlignment w:val="center"/>
              <w:rPr>
                <w:color w:val="auto"/>
                <w:szCs w:val="21"/>
                <w:highlight w:val="none"/>
              </w:rPr>
            </w:pPr>
            <w:r>
              <w:rPr>
                <w:color w:val="auto"/>
                <w:kern w:val="0"/>
                <w:szCs w:val="21"/>
                <w:highlight w:val="none"/>
                <w:lang w:bidi="ar"/>
              </w:rPr>
              <w:t>重量</w:t>
            </w:r>
          </w:p>
        </w:tc>
        <w:tc>
          <w:tcPr>
            <w:tcW w:w="7397" w:type="dxa"/>
            <w:tcBorders>
              <w:top w:val="single" w:color="000000" w:sz="4" w:space="0"/>
              <w:left w:val="single" w:color="000000" w:sz="4" w:space="0"/>
              <w:bottom w:val="single" w:color="000000" w:sz="4" w:space="0"/>
              <w:right w:val="single" w:color="000000" w:sz="4" w:space="0"/>
            </w:tcBorders>
            <w:noWrap w:val="0"/>
            <w:vAlign w:val="center"/>
          </w:tcPr>
          <w:p w14:paraId="6A9C0594">
            <w:pPr>
              <w:widowControl/>
              <w:jc w:val="left"/>
              <w:textAlignment w:val="center"/>
              <w:rPr>
                <w:color w:val="auto"/>
                <w:szCs w:val="21"/>
                <w:highlight w:val="none"/>
              </w:rPr>
            </w:pPr>
            <w:r>
              <w:rPr>
                <w:color w:val="auto"/>
                <w:kern w:val="0"/>
                <w:szCs w:val="21"/>
                <w:highlight w:val="none"/>
                <w:lang w:bidi="ar"/>
              </w:rPr>
              <w:t>≤3500克（含电池）</w:t>
            </w:r>
          </w:p>
        </w:tc>
      </w:tr>
      <w:tr w14:paraId="1D069122">
        <w:tblPrEx>
          <w:tblCellMar>
            <w:top w:w="0" w:type="dxa"/>
            <w:left w:w="108" w:type="dxa"/>
            <w:bottom w:w="0" w:type="dxa"/>
            <w:right w:w="108" w:type="dxa"/>
          </w:tblCellMar>
        </w:tblPrEx>
        <w:trPr>
          <w:trHeight w:val="285" w:hRule="atLeast"/>
        </w:trPr>
        <w:tc>
          <w:tcPr>
            <w:tcW w:w="1889" w:type="dxa"/>
            <w:tcBorders>
              <w:top w:val="single" w:color="000000" w:sz="4" w:space="0"/>
              <w:left w:val="single" w:color="000000" w:sz="4" w:space="0"/>
              <w:bottom w:val="single" w:color="000000" w:sz="4" w:space="0"/>
              <w:right w:val="single" w:color="000000" w:sz="4" w:space="0"/>
            </w:tcBorders>
            <w:noWrap w:val="0"/>
            <w:vAlign w:val="center"/>
          </w:tcPr>
          <w:p w14:paraId="573F86D1">
            <w:pPr>
              <w:widowControl/>
              <w:jc w:val="left"/>
              <w:textAlignment w:val="center"/>
              <w:rPr>
                <w:color w:val="auto"/>
                <w:szCs w:val="21"/>
                <w:highlight w:val="none"/>
              </w:rPr>
            </w:pPr>
            <w:r>
              <w:rPr>
                <w:color w:val="auto"/>
                <w:kern w:val="0"/>
                <w:szCs w:val="21"/>
                <w:highlight w:val="none"/>
                <w:lang w:bidi="ar"/>
              </w:rPr>
              <w:t>工作温度</w:t>
            </w:r>
          </w:p>
        </w:tc>
        <w:tc>
          <w:tcPr>
            <w:tcW w:w="7397" w:type="dxa"/>
            <w:tcBorders>
              <w:top w:val="single" w:color="000000" w:sz="4" w:space="0"/>
              <w:left w:val="single" w:color="000000" w:sz="4" w:space="0"/>
              <w:bottom w:val="single" w:color="000000" w:sz="4" w:space="0"/>
              <w:right w:val="single" w:color="000000" w:sz="4" w:space="0"/>
            </w:tcBorders>
            <w:noWrap w:val="0"/>
            <w:vAlign w:val="center"/>
          </w:tcPr>
          <w:p w14:paraId="5925AC3F">
            <w:pPr>
              <w:widowControl/>
              <w:jc w:val="left"/>
              <w:textAlignment w:val="center"/>
              <w:rPr>
                <w:color w:val="auto"/>
                <w:szCs w:val="21"/>
                <w:highlight w:val="none"/>
              </w:rPr>
            </w:pPr>
            <w:r>
              <w:rPr>
                <w:color w:val="auto"/>
                <w:kern w:val="0"/>
                <w:szCs w:val="21"/>
                <w:highlight w:val="none"/>
                <w:lang w:bidi="ar"/>
              </w:rPr>
              <w:t>0~+35℃</w:t>
            </w:r>
          </w:p>
        </w:tc>
      </w:tr>
      <w:tr w14:paraId="76ECDCC0">
        <w:tblPrEx>
          <w:tblCellMar>
            <w:top w:w="0" w:type="dxa"/>
            <w:left w:w="108" w:type="dxa"/>
            <w:bottom w:w="0" w:type="dxa"/>
            <w:right w:w="108" w:type="dxa"/>
          </w:tblCellMar>
        </w:tblPrEx>
        <w:trPr>
          <w:trHeight w:val="285" w:hRule="atLeast"/>
        </w:trPr>
        <w:tc>
          <w:tcPr>
            <w:tcW w:w="1889" w:type="dxa"/>
            <w:tcBorders>
              <w:top w:val="single" w:color="000000" w:sz="4" w:space="0"/>
              <w:left w:val="single" w:color="000000" w:sz="4" w:space="0"/>
              <w:bottom w:val="single" w:color="000000" w:sz="4" w:space="0"/>
              <w:right w:val="single" w:color="000000" w:sz="4" w:space="0"/>
            </w:tcBorders>
            <w:noWrap w:val="0"/>
            <w:vAlign w:val="center"/>
          </w:tcPr>
          <w:p w14:paraId="0FE7C262">
            <w:pPr>
              <w:widowControl/>
              <w:jc w:val="left"/>
              <w:textAlignment w:val="center"/>
              <w:rPr>
                <w:color w:val="auto"/>
                <w:szCs w:val="21"/>
                <w:highlight w:val="none"/>
              </w:rPr>
            </w:pPr>
            <w:r>
              <w:rPr>
                <w:color w:val="auto"/>
                <w:kern w:val="0"/>
                <w:szCs w:val="21"/>
                <w:highlight w:val="none"/>
                <w:lang w:bidi="ar"/>
              </w:rPr>
              <w:t>存储温度</w:t>
            </w:r>
          </w:p>
        </w:tc>
        <w:tc>
          <w:tcPr>
            <w:tcW w:w="7397" w:type="dxa"/>
            <w:tcBorders>
              <w:top w:val="single" w:color="000000" w:sz="4" w:space="0"/>
              <w:left w:val="single" w:color="000000" w:sz="4" w:space="0"/>
              <w:bottom w:val="single" w:color="000000" w:sz="4" w:space="0"/>
              <w:right w:val="single" w:color="000000" w:sz="4" w:space="0"/>
            </w:tcBorders>
            <w:noWrap w:val="0"/>
            <w:vAlign w:val="center"/>
          </w:tcPr>
          <w:p w14:paraId="48A63DAC">
            <w:pPr>
              <w:widowControl/>
              <w:jc w:val="left"/>
              <w:textAlignment w:val="center"/>
              <w:rPr>
                <w:color w:val="auto"/>
                <w:szCs w:val="21"/>
                <w:highlight w:val="none"/>
              </w:rPr>
            </w:pPr>
            <w:r>
              <w:rPr>
                <w:color w:val="auto"/>
                <w:kern w:val="0"/>
                <w:szCs w:val="21"/>
                <w:highlight w:val="none"/>
                <w:lang w:bidi="ar"/>
              </w:rPr>
              <w:t>-20~+45℃</w:t>
            </w:r>
          </w:p>
        </w:tc>
      </w:tr>
    </w:tbl>
    <w:p w14:paraId="5BDA2285">
      <w:pPr>
        <w:spacing w:line="520" w:lineRule="exact"/>
        <w:ind w:firstLine="560" w:firstLineChars="200"/>
        <w:rPr>
          <w:color w:val="auto"/>
          <w:sz w:val="28"/>
          <w:szCs w:val="28"/>
          <w:highlight w:val="none"/>
        </w:rPr>
      </w:pPr>
      <w:r>
        <w:rPr>
          <w:color w:val="auto"/>
          <w:sz w:val="28"/>
          <w:szCs w:val="28"/>
          <w:highlight w:val="none"/>
        </w:rPr>
        <w:t>4.1.6.2无人机技术要求</w:t>
      </w:r>
    </w:p>
    <w:p w14:paraId="428AE8E4">
      <w:pPr>
        <w:spacing w:line="520" w:lineRule="exact"/>
        <w:ind w:firstLine="560" w:firstLineChars="200"/>
        <w:rPr>
          <w:color w:val="auto"/>
          <w:sz w:val="28"/>
          <w:szCs w:val="28"/>
          <w:highlight w:val="none"/>
        </w:rPr>
      </w:pPr>
      <w:r>
        <w:rPr>
          <w:color w:val="auto"/>
          <w:sz w:val="28"/>
          <w:szCs w:val="28"/>
          <w:highlight w:val="none"/>
        </w:rPr>
        <w:t>本项目按照全线建设10座无人机自动化机场，配置10台自动巡查无人机、2台巡查人员随车携带的手动无人机；费用包括机场设备安装、调试、防护措施以及合同期内的机场数据通信费用、数据升级、维保费用及无人机的电池、桨叶、数据通信、维保等费用（其中自动无人机根据天气和空域申请情况，计划每天飞行频次为</w:t>
      </w:r>
      <w:r>
        <w:rPr>
          <w:rFonts w:hint="eastAsia"/>
          <w:color w:val="auto"/>
          <w:sz w:val="28"/>
          <w:szCs w:val="28"/>
          <w:highlight w:val="none"/>
          <w:lang w:val="en-US" w:eastAsia="zh-CN"/>
        </w:rPr>
        <w:t>2-</w:t>
      </w:r>
      <w:r>
        <w:rPr>
          <w:color w:val="auto"/>
          <w:sz w:val="28"/>
          <w:szCs w:val="28"/>
          <w:highlight w:val="none"/>
        </w:rPr>
        <w:t>6次）。投标人须严格按照《无人驾驶航空器飞行管理暂行条例》和东莞市无人机飞行的相关要求落实开展空域申请、飞行计划申报、无人机驾驶执照取证（</w:t>
      </w:r>
      <w:r>
        <w:rPr>
          <w:rFonts w:hint="eastAsia"/>
          <w:color w:val="auto"/>
          <w:sz w:val="28"/>
          <w:szCs w:val="28"/>
          <w:highlight w:val="none"/>
          <w:lang w:val="en-US" w:eastAsia="zh-CN"/>
        </w:rPr>
        <w:t>6</w:t>
      </w:r>
      <w:r>
        <w:rPr>
          <w:color w:val="auto"/>
          <w:sz w:val="28"/>
          <w:szCs w:val="28"/>
          <w:highlight w:val="none"/>
        </w:rPr>
        <w:t>个人）及管理制度和操作规程编制等规定工作，</w:t>
      </w:r>
      <w:r>
        <w:rPr>
          <w:rFonts w:hint="eastAsia"/>
          <w:color w:val="auto"/>
          <w:sz w:val="28"/>
          <w:szCs w:val="28"/>
          <w:highlight w:val="none"/>
          <w:lang w:eastAsia="zh-CN"/>
        </w:rPr>
        <w:t>及根据实际需要</w:t>
      </w:r>
      <w:r>
        <w:rPr>
          <w:color w:val="auto"/>
          <w:sz w:val="28"/>
          <w:szCs w:val="28"/>
          <w:highlight w:val="none"/>
        </w:rPr>
        <w:t>协助招标人办理运营合格证，并将相关材料按合同规定要求移交招标人，上述工作贯穿整个合同期。</w:t>
      </w:r>
    </w:p>
    <w:p w14:paraId="3B61267C">
      <w:pPr>
        <w:spacing w:line="520" w:lineRule="exact"/>
        <w:ind w:firstLine="560" w:firstLineChars="200"/>
        <w:rPr>
          <w:color w:val="auto"/>
          <w:sz w:val="28"/>
          <w:szCs w:val="28"/>
          <w:highlight w:val="none"/>
        </w:rPr>
      </w:pPr>
      <w:r>
        <w:rPr>
          <w:color w:val="auto"/>
          <w:sz w:val="28"/>
          <w:szCs w:val="28"/>
          <w:highlight w:val="none"/>
        </w:rPr>
        <w:t>（1）手动无人机技术要求</w:t>
      </w:r>
    </w:p>
    <w:p w14:paraId="279F7ED1">
      <w:pPr>
        <w:keepNext/>
        <w:keepLines/>
        <w:spacing w:line="520" w:lineRule="exact"/>
        <w:ind w:firstLine="560" w:firstLineChars="200"/>
        <w:rPr>
          <w:color w:val="auto"/>
          <w:sz w:val="28"/>
          <w:szCs w:val="28"/>
          <w:highlight w:val="none"/>
        </w:rPr>
      </w:pPr>
      <w:r>
        <w:rPr>
          <w:color w:val="auto"/>
          <w:sz w:val="28"/>
          <w:szCs w:val="28"/>
          <w:highlight w:val="none"/>
        </w:rPr>
        <w:t>具备便携性、长达45分钟的续航能力和20公里的图传距离的轻型无人机，配备广角相机和带显示屏的遥控器，支持高清视频录制和JPG/DNG格式照片拍摄。具体参数要求如下：</w:t>
      </w:r>
    </w:p>
    <w:tbl>
      <w:tblPr>
        <w:tblStyle w:val="21"/>
        <w:tblW w:w="5000" w:type="pct"/>
        <w:tblInd w:w="91" w:type="dxa"/>
        <w:tblLayout w:type="autofit"/>
        <w:tblCellMar>
          <w:top w:w="0" w:type="dxa"/>
          <w:left w:w="108" w:type="dxa"/>
          <w:bottom w:w="0" w:type="dxa"/>
          <w:right w:w="108" w:type="dxa"/>
        </w:tblCellMar>
      </w:tblPr>
      <w:tblGrid>
        <w:gridCol w:w="2533"/>
        <w:gridCol w:w="7320"/>
      </w:tblGrid>
      <w:tr w14:paraId="73FB3930">
        <w:tblPrEx>
          <w:tblCellMar>
            <w:top w:w="0" w:type="dxa"/>
            <w:left w:w="108" w:type="dxa"/>
            <w:bottom w:w="0" w:type="dxa"/>
            <w:right w:w="108" w:type="dxa"/>
          </w:tblCellMar>
        </w:tblPrEx>
        <w:trPr>
          <w:trHeight w:val="90" w:hRule="atLeast"/>
        </w:trPr>
        <w:tc>
          <w:tcPr>
            <w:tcW w:w="9286" w:type="dxa"/>
            <w:gridSpan w:val="2"/>
            <w:tcBorders>
              <w:top w:val="single" w:color="000000" w:sz="4" w:space="0"/>
              <w:left w:val="single" w:color="000000" w:sz="4" w:space="0"/>
              <w:bottom w:val="single" w:color="000000" w:sz="4" w:space="0"/>
              <w:right w:val="single" w:color="000000" w:sz="4" w:space="0"/>
            </w:tcBorders>
            <w:noWrap w:val="0"/>
            <w:vAlign w:val="center"/>
          </w:tcPr>
          <w:p w14:paraId="0801376E">
            <w:pPr>
              <w:widowControl/>
              <w:jc w:val="center"/>
              <w:textAlignment w:val="center"/>
              <w:rPr>
                <w:color w:val="auto"/>
                <w:szCs w:val="21"/>
                <w:highlight w:val="none"/>
              </w:rPr>
            </w:pPr>
            <w:r>
              <w:rPr>
                <w:color w:val="auto"/>
                <w:kern w:val="0"/>
                <w:sz w:val="24"/>
                <w:highlight w:val="none"/>
                <w:lang w:bidi="ar"/>
              </w:rPr>
              <w:t>手动无人机关键参数要求</w:t>
            </w:r>
          </w:p>
        </w:tc>
      </w:tr>
      <w:tr w14:paraId="3A36AD25">
        <w:tblPrEx>
          <w:tblCellMar>
            <w:top w:w="0" w:type="dxa"/>
            <w:left w:w="108" w:type="dxa"/>
            <w:bottom w:w="0" w:type="dxa"/>
            <w:right w:w="108" w:type="dxa"/>
          </w:tblCellMar>
        </w:tblPrEx>
        <w:trPr>
          <w:trHeight w:val="90" w:hRule="atLeast"/>
        </w:trPr>
        <w:tc>
          <w:tcPr>
            <w:tcW w:w="2387" w:type="dxa"/>
            <w:tcBorders>
              <w:top w:val="single" w:color="000000" w:sz="4" w:space="0"/>
              <w:left w:val="single" w:color="000000" w:sz="4" w:space="0"/>
              <w:bottom w:val="single" w:color="000000" w:sz="4" w:space="0"/>
              <w:right w:val="single" w:color="000000" w:sz="4" w:space="0"/>
            </w:tcBorders>
            <w:noWrap w:val="0"/>
            <w:vAlign w:val="center"/>
          </w:tcPr>
          <w:p w14:paraId="3D422AC0">
            <w:pPr>
              <w:widowControl/>
              <w:jc w:val="left"/>
              <w:textAlignment w:val="center"/>
              <w:rPr>
                <w:color w:val="auto"/>
                <w:szCs w:val="21"/>
                <w:highlight w:val="none"/>
              </w:rPr>
            </w:pPr>
            <w:r>
              <w:rPr>
                <w:color w:val="auto"/>
                <w:szCs w:val="21"/>
                <w:highlight w:val="none"/>
                <w:lang w:bidi="ar"/>
              </w:rPr>
              <w:t>起飞重量（无配件）</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26203C46">
            <w:pPr>
              <w:widowControl/>
              <w:jc w:val="left"/>
              <w:textAlignment w:val="center"/>
              <w:rPr>
                <w:color w:val="auto"/>
                <w:szCs w:val="21"/>
                <w:highlight w:val="none"/>
              </w:rPr>
            </w:pPr>
            <w:r>
              <w:rPr>
                <w:color w:val="auto"/>
                <w:szCs w:val="21"/>
                <w:highlight w:val="none"/>
                <w:lang w:bidi="ar"/>
              </w:rPr>
              <w:t>≤2000g</w:t>
            </w:r>
          </w:p>
        </w:tc>
      </w:tr>
      <w:tr w14:paraId="78B3DAD3">
        <w:tblPrEx>
          <w:tblCellMar>
            <w:top w:w="0" w:type="dxa"/>
            <w:left w:w="108" w:type="dxa"/>
            <w:bottom w:w="0" w:type="dxa"/>
            <w:right w:w="108" w:type="dxa"/>
          </w:tblCellMar>
        </w:tblPrEx>
        <w:trPr>
          <w:trHeight w:val="90" w:hRule="atLeast"/>
        </w:trPr>
        <w:tc>
          <w:tcPr>
            <w:tcW w:w="2387" w:type="dxa"/>
            <w:tcBorders>
              <w:top w:val="single" w:color="000000" w:sz="4" w:space="0"/>
              <w:left w:val="single" w:color="000000" w:sz="4" w:space="0"/>
              <w:bottom w:val="single" w:color="000000" w:sz="4" w:space="0"/>
              <w:right w:val="single" w:color="000000" w:sz="4" w:space="0"/>
            </w:tcBorders>
            <w:noWrap w:val="0"/>
            <w:vAlign w:val="center"/>
          </w:tcPr>
          <w:p w14:paraId="2AC1004F">
            <w:pPr>
              <w:widowControl/>
              <w:jc w:val="left"/>
              <w:textAlignment w:val="center"/>
              <w:rPr>
                <w:color w:val="auto"/>
                <w:szCs w:val="21"/>
                <w:highlight w:val="none"/>
              </w:rPr>
            </w:pPr>
            <w:r>
              <w:rPr>
                <w:color w:val="auto"/>
                <w:szCs w:val="21"/>
                <w:highlight w:val="none"/>
                <w:lang w:bidi="ar"/>
              </w:rPr>
              <w:t>尺寸（长x宽x高）</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2125202B">
            <w:pPr>
              <w:widowControl/>
              <w:jc w:val="left"/>
              <w:textAlignment w:val="center"/>
              <w:rPr>
                <w:color w:val="auto"/>
                <w:szCs w:val="21"/>
                <w:highlight w:val="none"/>
              </w:rPr>
            </w:pPr>
            <w:r>
              <w:rPr>
                <w:color w:val="auto"/>
                <w:szCs w:val="21"/>
                <w:highlight w:val="none"/>
                <w:lang w:bidi="ar"/>
              </w:rPr>
              <w:t>≤200x150x100mm（折叠后）</w:t>
            </w:r>
          </w:p>
        </w:tc>
      </w:tr>
      <w:tr w14:paraId="31F38E80">
        <w:tblPrEx>
          <w:tblCellMar>
            <w:top w:w="0" w:type="dxa"/>
            <w:left w:w="108" w:type="dxa"/>
            <w:bottom w:w="0" w:type="dxa"/>
            <w:right w:w="108" w:type="dxa"/>
          </w:tblCellMar>
        </w:tblPrEx>
        <w:trPr>
          <w:trHeight w:val="372" w:hRule="atLeast"/>
        </w:trPr>
        <w:tc>
          <w:tcPr>
            <w:tcW w:w="2387" w:type="dxa"/>
            <w:tcBorders>
              <w:top w:val="single" w:color="000000" w:sz="4" w:space="0"/>
              <w:left w:val="single" w:color="000000" w:sz="4" w:space="0"/>
              <w:bottom w:val="single" w:color="000000" w:sz="4" w:space="0"/>
              <w:right w:val="single" w:color="000000" w:sz="4" w:space="0"/>
            </w:tcBorders>
            <w:noWrap w:val="0"/>
            <w:vAlign w:val="center"/>
          </w:tcPr>
          <w:p w14:paraId="110C20E6">
            <w:pPr>
              <w:widowControl/>
              <w:jc w:val="left"/>
              <w:textAlignment w:val="center"/>
              <w:rPr>
                <w:color w:val="auto"/>
                <w:szCs w:val="21"/>
                <w:highlight w:val="none"/>
              </w:rPr>
            </w:pPr>
            <w:r>
              <w:rPr>
                <w:color w:val="auto"/>
                <w:szCs w:val="21"/>
                <w:highlight w:val="none"/>
                <w:lang w:bidi="ar"/>
              </w:rPr>
              <w:t>最大信号有效距离</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375E05A9">
            <w:pPr>
              <w:rPr>
                <w:color w:val="auto"/>
                <w:szCs w:val="21"/>
                <w:highlight w:val="none"/>
              </w:rPr>
            </w:pPr>
            <w:r>
              <w:rPr>
                <w:color w:val="auto"/>
                <w:szCs w:val="21"/>
                <w:highlight w:val="none"/>
                <w:lang w:bidi="ar"/>
              </w:rPr>
              <w:t>≥10km</w:t>
            </w:r>
          </w:p>
        </w:tc>
      </w:tr>
      <w:tr w14:paraId="26CE66AA">
        <w:tblPrEx>
          <w:tblCellMar>
            <w:top w:w="0" w:type="dxa"/>
            <w:left w:w="108" w:type="dxa"/>
            <w:bottom w:w="0" w:type="dxa"/>
            <w:right w:w="108" w:type="dxa"/>
          </w:tblCellMar>
        </w:tblPrEx>
        <w:trPr>
          <w:trHeight w:val="370" w:hRule="atLeast"/>
        </w:trPr>
        <w:tc>
          <w:tcPr>
            <w:tcW w:w="2387" w:type="dxa"/>
            <w:tcBorders>
              <w:top w:val="single" w:color="000000" w:sz="4" w:space="0"/>
              <w:left w:val="single" w:color="000000" w:sz="4" w:space="0"/>
              <w:bottom w:val="single" w:color="000000" w:sz="4" w:space="0"/>
              <w:right w:val="single" w:color="000000" w:sz="4" w:space="0"/>
            </w:tcBorders>
            <w:noWrap w:val="0"/>
            <w:vAlign w:val="center"/>
          </w:tcPr>
          <w:p w14:paraId="7AB4282F">
            <w:pPr>
              <w:widowControl/>
              <w:jc w:val="left"/>
              <w:textAlignment w:val="center"/>
              <w:rPr>
                <w:color w:val="auto"/>
                <w:szCs w:val="21"/>
                <w:highlight w:val="none"/>
              </w:rPr>
            </w:pPr>
            <w:r>
              <w:rPr>
                <w:color w:val="auto"/>
                <w:szCs w:val="21"/>
                <w:highlight w:val="none"/>
                <w:lang w:bidi="ar"/>
              </w:rPr>
              <w:t>最长飞行时间</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74F86D1E">
            <w:pPr>
              <w:widowControl/>
              <w:jc w:val="left"/>
              <w:textAlignment w:val="center"/>
              <w:rPr>
                <w:color w:val="auto"/>
                <w:szCs w:val="21"/>
                <w:highlight w:val="none"/>
              </w:rPr>
            </w:pPr>
            <w:r>
              <w:rPr>
                <w:color w:val="auto"/>
                <w:szCs w:val="21"/>
                <w:highlight w:val="none"/>
                <w:lang w:bidi="ar"/>
              </w:rPr>
              <w:t>≥30min</w:t>
            </w:r>
          </w:p>
        </w:tc>
      </w:tr>
      <w:tr w14:paraId="1F8414DC">
        <w:tblPrEx>
          <w:tblCellMar>
            <w:top w:w="0" w:type="dxa"/>
            <w:left w:w="108" w:type="dxa"/>
            <w:bottom w:w="0" w:type="dxa"/>
            <w:right w:w="108" w:type="dxa"/>
          </w:tblCellMar>
        </w:tblPrEx>
        <w:trPr>
          <w:trHeight w:val="432" w:hRule="atLeast"/>
        </w:trPr>
        <w:tc>
          <w:tcPr>
            <w:tcW w:w="2387" w:type="dxa"/>
            <w:tcBorders>
              <w:top w:val="single" w:color="000000" w:sz="4" w:space="0"/>
              <w:left w:val="single" w:color="000000" w:sz="4" w:space="0"/>
              <w:bottom w:val="single" w:color="000000" w:sz="4" w:space="0"/>
              <w:right w:val="single" w:color="000000" w:sz="4" w:space="0"/>
            </w:tcBorders>
            <w:noWrap w:val="0"/>
            <w:vAlign w:val="center"/>
          </w:tcPr>
          <w:p w14:paraId="515B3F6C">
            <w:pPr>
              <w:widowControl/>
              <w:jc w:val="left"/>
              <w:textAlignment w:val="center"/>
              <w:rPr>
                <w:color w:val="auto"/>
                <w:szCs w:val="21"/>
                <w:highlight w:val="none"/>
              </w:rPr>
            </w:pPr>
            <w:r>
              <w:rPr>
                <w:color w:val="auto"/>
                <w:szCs w:val="21"/>
                <w:highlight w:val="none"/>
                <w:lang w:bidi="ar"/>
              </w:rPr>
              <w:t>最大续航里程</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276CBCA8">
            <w:pPr>
              <w:widowControl/>
              <w:jc w:val="left"/>
              <w:textAlignment w:val="center"/>
              <w:rPr>
                <w:color w:val="auto"/>
                <w:szCs w:val="21"/>
                <w:highlight w:val="none"/>
              </w:rPr>
            </w:pPr>
            <w:r>
              <w:rPr>
                <w:color w:val="auto"/>
                <w:szCs w:val="21"/>
                <w:highlight w:val="none"/>
                <w:lang w:bidi="ar"/>
              </w:rPr>
              <w:t>≥20km</w:t>
            </w:r>
          </w:p>
        </w:tc>
      </w:tr>
      <w:tr w14:paraId="6420F12F">
        <w:tblPrEx>
          <w:tblCellMar>
            <w:top w:w="0" w:type="dxa"/>
            <w:left w:w="108" w:type="dxa"/>
            <w:bottom w:w="0" w:type="dxa"/>
            <w:right w:w="108" w:type="dxa"/>
          </w:tblCellMar>
        </w:tblPrEx>
        <w:trPr>
          <w:trHeight w:val="470" w:hRule="atLeast"/>
        </w:trPr>
        <w:tc>
          <w:tcPr>
            <w:tcW w:w="2387" w:type="dxa"/>
            <w:tcBorders>
              <w:top w:val="single" w:color="000000" w:sz="4" w:space="0"/>
              <w:left w:val="single" w:color="000000" w:sz="4" w:space="0"/>
              <w:bottom w:val="single" w:color="000000" w:sz="4" w:space="0"/>
              <w:right w:val="single" w:color="000000" w:sz="4" w:space="0"/>
            </w:tcBorders>
            <w:noWrap w:val="0"/>
            <w:vAlign w:val="center"/>
          </w:tcPr>
          <w:p w14:paraId="5F746990">
            <w:pPr>
              <w:widowControl/>
              <w:jc w:val="left"/>
              <w:textAlignment w:val="center"/>
              <w:rPr>
                <w:color w:val="auto"/>
                <w:szCs w:val="21"/>
                <w:highlight w:val="none"/>
              </w:rPr>
            </w:pPr>
            <w:r>
              <w:rPr>
                <w:color w:val="auto"/>
                <w:szCs w:val="21"/>
                <w:highlight w:val="none"/>
                <w:lang w:bidi="ar"/>
              </w:rPr>
              <w:t>最大可抗风速</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23374881">
            <w:pPr>
              <w:rPr>
                <w:color w:val="auto"/>
                <w:szCs w:val="21"/>
                <w:highlight w:val="none"/>
              </w:rPr>
            </w:pPr>
            <w:r>
              <w:rPr>
                <w:color w:val="auto"/>
                <w:szCs w:val="21"/>
                <w:highlight w:val="none"/>
                <w:lang w:bidi="ar"/>
              </w:rPr>
              <w:t>≥10m/s</w:t>
            </w:r>
          </w:p>
        </w:tc>
      </w:tr>
      <w:tr w14:paraId="337F59B4">
        <w:tblPrEx>
          <w:tblCellMar>
            <w:top w:w="0" w:type="dxa"/>
            <w:left w:w="108" w:type="dxa"/>
            <w:bottom w:w="0" w:type="dxa"/>
            <w:right w:w="108" w:type="dxa"/>
          </w:tblCellMar>
        </w:tblPrEx>
        <w:trPr>
          <w:trHeight w:val="285" w:hRule="atLeast"/>
        </w:trPr>
        <w:tc>
          <w:tcPr>
            <w:tcW w:w="2387" w:type="dxa"/>
            <w:tcBorders>
              <w:top w:val="single" w:color="000000" w:sz="4" w:space="0"/>
              <w:left w:val="single" w:color="000000" w:sz="4" w:space="0"/>
              <w:bottom w:val="single" w:color="000000" w:sz="4" w:space="0"/>
              <w:right w:val="single" w:color="000000" w:sz="4" w:space="0"/>
            </w:tcBorders>
            <w:noWrap w:val="0"/>
            <w:vAlign w:val="center"/>
          </w:tcPr>
          <w:p w14:paraId="083E2112">
            <w:pPr>
              <w:widowControl/>
              <w:jc w:val="left"/>
              <w:textAlignment w:val="center"/>
              <w:rPr>
                <w:color w:val="auto"/>
                <w:szCs w:val="21"/>
                <w:highlight w:val="none"/>
              </w:rPr>
            </w:pPr>
            <w:r>
              <w:rPr>
                <w:color w:val="auto"/>
                <w:szCs w:val="21"/>
                <w:highlight w:val="none"/>
                <w:lang w:bidi="ar"/>
              </w:rPr>
              <w:t>GNSS</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79B51BF7">
            <w:pPr>
              <w:rPr>
                <w:color w:val="auto"/>
                <w:szCs w:val="21"/>
                <w:highlight w:val="none"/>
              </w:rPr>
            </w:pPr>
            <w:r>
              <w:rPr>
                <w:color w:val="auto"/>
                <w:szCs w:val="21"/>
                <w:highlight w:val="none"/>
                <w:lang w:bidi="ar"/>
              </w:rPr>
              <w:t>支持GPS+Galileo+BeiDou</w:t>
            </w:r>
          </w:p>
        </w:tc>
      </w:tr>
      <w:tr w14:paraId="5B7B58B0">
        <w:tblPrEx>
          <w:tblCellMar>
            <w:top w:w="0" w:type="dxa"/>
            <w:left w:w="108" w:type="dxa"/>
            <w:bottom w:w="0" w:type="dxa"/>
            <w:right w:w="108" w:type="dxa"/>
          </w:tblCellMar>
        </w:tblPrEx>
        <w:trPr>
          <w:trHeight w:val="285" w:hRule="atLeast"/>
        </w:trPr>
        <w:tc>
          <w:tcPr>
            <w:tcW w:w="2387" w:type="dxa"/>
            <w:tcBorders>
              <w:top w:val="single" w:color="000000" w:sz="4" w:space="0"/>
              <w:left w:val="single" w:color="000000" w:sz="4" w:space="0"/>
              <w:bottom w:val="single" w:color="000000" w:sz="4" w:space="0"/>
              <w:right w:val="single" w:color="000000" w:sz="4" w:space="0"/>
            </w:tcBorders>
            <w:noWrap w:val="0"/>
            <w:vAlign w:val="center"/>
          </w:tcPr>
          <w:p w14:paraId="77A1FC29">
            <w:pPr>
              <w:widowControl/>
              <w:jc w:val="left"/>
              <w:textAlignment w:val="center"/>
              <w:rPr>
                <w:color w:val="auto"/>
                <w:szCs w:val="21"/>
                <w:highlight w:val="none"/>
              </w:rPr>
            </w:pPr>
            <w:r>
              <w:rPr>
                <w:color w:val="auto"/>
                <w:szCs w:val="21"/>
                <w:highlight w:val="none"/>
                <w:lang w:bidi="ar"/>
              </w:rPr>
              <w:t>工作环境温度</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471E897C">
            <w:pPr>
              <w:widowControl/>
              <w:jc w:val="left"/>
              <w:textAlignment w:val="center"/>
              <w:rPr>
                <w:color w:val="auto"/>
                <w:szCs w:val="21"/>
                <w:highlight w:val="none"/>
              </w:rPr>
            </w:pPr>
            <w:r>
              <w:rPr>
                <w:color w:val="auto"/>
                <w:szCs w:val="21"/>
                <w:highlight w:val="none"/>
                <w:lang w:bidi="ar"/>
              </w:rPr>
              <w:t>-10℃至40℃</w:t>
            </w:r>
          </w:p>
        </w:tc>
      </w:tr>
      <w:tr w14:paraId="4558F8B4">
        <w:tblPrEx>
          <w:tblCellMar>
            <w:top w:w="0" w:type="dxa"/>
            <w:left w:w="108" w:type="dxa"/>
            <w:bottom w:w="0" w:type="dxa"/>
            <w:right w:w="108" w:type="dxa"/>
          </w:tblCellMar>
        </w:tblPrEx>
        <w:trPr>
          <w:trHeight w:val="285" w:hRule="atLeast"/>
        </w:trPr>
        <w:tc>
          <w:tcPr>
            <w:tcW w:w="2387" w:type="dxa"/>
            <w:tcBorders>
              <w:top w:val="single" w:color="000000" w:sz="4" w:space="0"/>
              <w:left w:val="single" w:color="000000" w:sz="4" w:space="0"/>
              <w:bottom w:val="single" w:color="000000" w:sz="4" w:space="0"/>
              <w:right w:val="single" w:color="000000" w:sz="4" w:space="0"/>
            </w:tcBorders>
            <w:noWrap w:val="0"/>
            <w:vAlign w:val="center"/>
          </w:tcPr>
          <w:p w14:paraId="5955ECEC">
            <w:pPr>
              <w:widowControl/>
              <w:jc w:val="left"/>
              <w:textAlignment w:val="center"/>
              <w:rPr>
                <w:color w:val="auto"/>
                <w:szCs w:val="21"/>
                <w:highlight w:val="none"/>
              </w:rPr>
            </w:pPr>
            <w:r>
              <w:rPr>
                <w:color w:val="auto"/>
                <w:szCs w:val="21"/>
                <w:highlight w:val="none"/>
                <w:lang w:bidi="ar"/>
              </w:rPr>
              <w:t>GNSS定位悬停精度</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392CCCA0">
            <w:pPr>
              <w:widowControl/>
              <w:jc w:val="left"/>
              <w:textAlignment w:val="center"/>
              <w:rPr>
                <w:color w:val="auto"/>
                <w:szCs w:val="21"/>
                <w:highlight w:val="none"/>
              </w:rPr>
            </w:pPr>
            <w:r>
              <w:rPr>
                <w:color w:val="auto"/>
                <w:szCs w:val="21"/>
                <w:highlight w:val="none"/>
                <w:lang w:bidi="ar"/>
              </w:rPr>
              <w:t>垂直≤0.5m，水平≤0.5m</w:t>
            </w:r>
          </w:p>
        </w:tc>
      </w:tr>
      <w:tr w14:paraId="608BF69C">
        <w:tblPrEx>
          <w:tblCellMar>
            <w:top w:w="0" w:type="dxa"/>
            <w:left w:w="108" w:type="dxa"/>
            <w:bottom w:w="0" w:type="dxa"/>
            <w:right w:w="108" w:type="dxa"/>
          </w:tblCellMar>
        </w:tblPrEx>
        <w:trPr>
          <w:trHeight w:val="448" w:hRule="atLeast"/>
        </w:trPr>
        <w:tc>
          <w:tcPr>
            <w:tcW w:w="2387" w:type="dxa"/>
            <w:tcBorders>
              <w:top w:val="single" w:color="000000" w:sz="4" w:space="0"/>
              <w:left w:val="single" w:color="000000" w:sz="4" w:space="0"/>
              <w:bottom w:val="single" w:color="000000" w:sz="4" w:space="0"/>
              <w:right w:val="single" w:color="000000" w:sz="4" w:space="0"/>
            </w:tcBorders>
            <w:noWrap w:val="0"/>
            <w:vAlign w:val="center"/>
          </w:tcPr>
          <w:p w14:paraId="5151A186">
            <w:pPr>
              <w:widowControl/>
              <w:jc w:val="left"/>
              <w:textAlignment w:val="center"/>
              <w:rPr>
                <w:color w:val="auto"/>
                <w:szCs w:val="21"/>
                <w:highlight w:val="none"/>
              </w:rPr>
            </w:pPr>
            <w:r>
              <w:rPr>
                <w:color w:val="auto"/>
                <w:szCs w:val="21"/>
                <w:highlight w:val="none"/>
                <w:lang w:bidi="ar"/>
              </w:rPr>
              <w:t>视觉定位悬停精度</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73011A13">
            <w:pPr>
              <w:widowControl/>
              <w:jc w:val="left"/>
              <w:textAlignment w:val="center"/>
              <w:rPr>
                <w:color w:val="auto"/>
                <w:szCs w:val="21"/>
                <w:highlight w:val="none"/>
              </w:rPr>
            </w:pPr>
            <w:r>
              <w:rPr>
                <w:color w:val="auto"/>
                <w:szCs w:val="21"/>
                <w:highlight w:val="none"/>
                <w:lang w:bidi="ar"/>
              </w:rPr>
              <w:t>垂直≤0.1m，水平≤0.1m</w:t>
            </w:r>
          </w:p>
        </w:tc>
      </w:tr>
      <w:tr w14:paraId="4F3AE95E">
        <w:tblPrEx>
          <w:tblCellMar>
            <w:top w:w="0" w:type="dxa"/>
            <w:left w:w="108" w:type="dxa"/>
            <w:bottom w:w="0" w:type="dxa"/>
            <w:right w:w="108" w:type="dxa"/>
          </w:tblCellMar>
        </w:tblPrEx>
        <w:trPr>
          <w:trHeight w:val="298" w:hRule="atLeast"/>
        </w:trPr>
        <w:tc>
          <w:tcPr>
            <w:tcW w:w="2387" w:type="dxa"/>
            <w:tcBorders>
              <w:top w:val="single" w:color="000000" w:sz="4" w:space="0"/>
              <w:left w:val="single" w:color="000000" w:sz="4" w:space="0"/>
              <w:bottom w:val="single" w:color="000000" w:sz="4" w:space="0"/>
              <w:right w:val="single" w:color="000000" w:sz="4" w:space="0"/>
            </w:tcBorders>
            <w:noWrap w:val="0"/>
            <w:vAlign w:val="center"/>
          </w:tcPr>
          <w:p w14:paraId="037ED050">
            <w:pPr>
              <w:widowControl/>
              <w:jc w:val="left"/>
              <w:textAlignment w:val="center"/>
              <w:rPr>
                <w:color w:val="auto"/>
                <w:szCs w:val="21"/>
                <w:highlight w:val="none"/>
              </w:rPr>
            </w:pPr>
            <w:r>
              <w:rPr>
                <w:color w:val="auto"/>
                <w:szCs w:val="21"/>
                <w:highlight w:val="none"/>
                <w:lang w:bidi="ar"/>
              </w:rPr>
              <w:t>最大上升/下降速度</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01F2DA86">
            <w:pPr>
              <w:rPr>
                <w:color w:val="auto"/>
                <w:szCs w:val="21"/>
                <w:highlight w:val="none"/>
              </w:rPr>
            </w:pPr>
            <w:r>
              <w:rPr>
                <w:color w:val="auto"/>
                <w:szCs w:val="21"/>
                <w:highlight w:val="none"/>
                <w:lang w:bidi="ar"/>
              </w:rPr>
              <w:t>≥5m/s</w:t>
            </w:r>
          </w:p>
        </w:tc>
      </w:tr>
      <w:tr w14:paraId="5DEAC50E">
        <w:tblPrEx>
          <w:tblCellMar>
            <w:top w:w="0" w:type="dxa"/>
            <w:left w:w="108" w:type="dxa"/>
            <w:bottom w:w="0" w:type="dxa"/>
            <w:right w:w="108" w:type="dxa"/>
          </w:tblCellMar>
        </w:tblPrEx>
        <w:trPr>
          <w:trHeight w:val="298" w:hRule="atLeast"/>
        </w:trPr>
        <w:tc>
          <w:tcPr>
            <w:tcW w:w="2387" w:type="dxa"/>
            <w:tcBorders>
              <w:top w:val="single" w:color="000000" w:sz="4" w:space="0"/>
              <w:left w:val="single" w:color="000000" w:sz="4" w:space="0"/>
              <w:bottom w:val="single" w:color="000000" w:sz="4" w:space="0"/>
              <w:right w:val="single" w:color="000000" w:sz="4" w:space="0"/>
            </w:tcBorders>
            <w:noWrap w:val="0"/>
            <w:vAlign w:val="center"/>
          </w:tcPr>
          <w:p w14:paraId="4AF35B44">
            <w:pPr>
              <w:widowControl/>
              <w:jc w:val="left"/>
              <w:textAlignment w:val="center"/>
              <w:rPr>
                <w:color w:val="auto"/>
                <w:szCs w:val="21"/>
                <w:highlight w:val="none"/>
              </w:rPr>
            </w:pPr>
            <w:r>
              <w:rPr>
                <w:color w:val="auto"/>
                <w:szCs w:val="21"/>
                <w:highlight w:val="none"/>
                <w:lang w:bidi="ar"/>
              </w:rPr>
              <w:t>最大水平飞行速度</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2B8A3D0D">
            <w:pPr>
              <w:widowControl/>
              <w:jc w:val="left"/>
              <w:textAlignment w:val="center"/>
              <w:rPr>
                <w:color w:val="auto"/>
                <w:szCs w:val="21"/>
                <w:highlight w:val="none"/>
              </w:rPr>
            </w:pPr>
            <w:r>
              <w:rPr>
                <w:color w:val="auto"/>
                <w:szCs w:val="21"/>
                <w:highlight w:val="none"/>
                <w:lang w:bidi="ar"/>
              </w:rPr>
              <w:t>≥10m/s</w:t>
            </w:r>
          </w:p>
        </w:tc>
      </w:tr>
      <w:tr w14:paraId="291B5A39">
        <w:tblPrEx>
          <w:tblCellMar>
            <w:top w:w="0" w:type="dxa"/>
            <w:left w:w="108" w:type="dxa"/>
            <w:bottom w:w="0" w:type="dxa"/>
            <w:right w:w="108" w:type="dxa"/>
          </w:tblCellMar>
        </w:tblPrEx>
        <w:trPr>
          <w:trHeight w:val="285" w:hRule="atLeast"/>
        </w:trPr>
        <w:tc>
          <w:tcPr>
            <w:tcW w:w="2387" w:type="dxa"/>
            <w:tcBorders>
              <w:top w:val="single" w:color="000000" w:sz="4" w:space="0"/>
              <w:left w:val="single" w:color="000000" w:sz="4" w:space="0"/>
              <w:bottom w:val="single" w:color="000000" w:sz="4" w:space="0"/>
              <w:right w:val="single" w:color="000000" w:sz="4" w:space="0"/>
            </w:tcBorders>
            <w:noWrap w:val="0"/>
            <w:vAlign w:val="center"/>
          </w:tcPr>
          <w:p w14:paraId="797E72CC">
            <w:pPr>
              <w:widowControl/>
              <w:jc w:val="left"/>
              <w:textAlignment w:val="center"/>
              <w:rPr>
                <w:color w:val="auto"/>
                <w:szCs w:val="21"/>
                <w:highlight w:val="none"/>
              </w:rPr>
            </w:pPr>
            <w:r>
              <w:rPr>
                <w:color w:val="auto"/>
                <w:szCs w:val="21"/>
                <w:highlight w:val="none"/>
                <w:lang w:bidi="ar"/>
              </w:rPr>
              <w:t>最大飞行海拔高度</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0F7C8776">
            <w:pPr>
              <w:widowControl/>
              <w:jc w:val="left"/>
              <w:textAlignment w:val="center"/>
              <w:rPr>
                <w:color w:val="auto"/>
                <w:szCs w:val="21"/>
                <w:highlight w:val="none"/>
              </w:rPr>
            </w:pPr>
            <w:r>
              <w:rPr>
                <w:color w:val="auto"/>
                <w:szCs w:val="21"/>
                <w:highlight w:val="none"/>
                <w:lang w:bidi="ar"/>
              </w:rPr>
              <w:t>≥3000m</w:t>
            </w:r>
          </w:p>
        </w:tc>
      </w:tr>
      <w:tr w14:paraId="65A4C39B">
        <w:tblPrEx>
          <w:tblCellMar>
            <w:top w:w="0" w:type="dxa"/>
            <w:left w:w="108" w:type="dxa"/>
            <w:bottom w:w="0" w:type="dxa"/>
            <w:right w:w="108" w:type="dxa"/>
          </w:tblCellMar>
        </w:tblPrEx>
        <w:trPr>
          <w:trHeight w:val="90" w:hRule="atLeast"/>
        </w:trPr>
        <w:tc>
          <w:tcPr>
            <w:tcW w:w="9286" w:type="dxa"/>
            <w:gridSpan w:val="2"/>
            <w:tcBorders>
              <w:top w:val="single" w:color="000000" w:sz="4" w:space="0"/>
              <w:left w:val="single" w:color="000000" w:sz="4" w:space="0"/>
              <w:bottom w:val="single" w:color="auto" w:sz="4" w:space="0"/>
              <w:right w:val="single" w:color="000000" w:sz="4" w:space="0"/>
            </w:tcBorders>
            <w:noWrap w:val="0"/>
            <w:vAlign w:val="center"/>
          </w:tcPr>
          <w:p w14:paraId="4B15B9C6">
            <w:pPr>
              <w:widowControl/>
              <w:jc w:val="left"/>
              <w:textAlignment w:val="center"/>
              <w:rPr>
                <w:color w:val="auto"/>
                <w:szCs w:val="21"/>
                <w:highlight w:val="none"/>
              </w:rPr>
            </w:pPr>
            <w:r>
              <w:rPr>
                <w:color w:val="auto"/>
                <w:szCs w:val="21"/>
                <w:highlight w:val="none"/>
                <w:lang w:bidi="ar"/>
              </w:rPr>
              <w:t>摄像系统关键参数要求</w:t>
            </w:r>
          </w:p>
        </w:tc>
      </w:tr>
      <w:tr w14:paraId="039C7D8F">
        <w:tblPrEx>
          <w:tblCellMar>
            <w:top w:w="0" w:type="dxa"/>
            <w:left w:w="108" w:type="dxa"/>
            <w:bottom w:w="0" w:type="dxa"/>
            <w:right w:w="108" w:type="dxa"/>
          </w:tblCellMar>
        </w:tblPrEx>
        <w:trPr>
          <w:trHeight w:val="285" w:hRule="atLeast"/>
        </w:trPr>
        <w:tc>
          <w:tcPr>
            <w:tcW w:w="2387" w:type="dxa"/>
            <w:vMerge w:val="restart"/>
            <w:tcBorders>
              <w:top w:val="single" w:color="auto" w:sz="4" w:space="0"/>
              <w:left w:val="single" w:color="auto" w:sz="4" w:space="0"/>
              <w:bottom w:val="single" w:color="auto" w:sz="4" w:space="0"/>
              <w:right w:val="single" w:color="auto" w:sz="4" w:space="0"/>
            </w:tcBorders>
            <w:noWrap w:val="0"/>
            <w:vAlign w:val="center"/>
          </w:tcPr>
          <w:p w14:paraId="24B142DE">
            <w:pPr>
              <w:widowControl/>
              <w:jc w:val="left"/>
              <w:textAlignment w:val="center"/>
              <w:rPr>
                <w:color w:val="auto"/>
                <w:szCs w:val="21"/>
                <w:highlight w:val="none"/>
              </w:rPr>
            </w:pPr>
            <w:r>
              <w:rPr>
                <w:color w:val="auto"/>
                <w:szCs w:val="21"/>
                <w:highlight w:val="none"/>
                <w:lang w:bidi="ar"/>
              </w:rPr>
              <w:t>云台相机</w:t>
            </w:r>
          </w:p>
        </w:tc>
        <w:tc>
          <w:tcPr>
            <w:tcW w:w="6899" w:type="dxa"/>
            <w:tcBorders>
              <w:top w:val="single" w:color="auto" w:sz="4" w:space="0"/>
              <w:left w:val="single" w:color="auto" w:sz="4" w:space="0"/>
              <w:bottom w:val="single" w:color="auto" w:sz="4" w:space="0"/>
              <w:right w:val="single" w:color="auto" w:sz="4" w:space="0"/>
            </w:tcBorders>
            <w:noWrap w:val="0"/>
            <w:vAlign w:val="center"/>
          </w:tcPr>
          <w:p w14:paraId="5B38AAF4">
            <w:pPr>
              <w:widowControl/>
              <w:jc w:val="left"/>
              <w:textAlignment w:val="center"/>
              <w:rPr>
                <w:color w:val="auto"/>
                <w:highlight w:val="none"/>
              </w:rPr>
            </w:pPr>
            <w:r>
              <w:rPr>
                <w:color w:val="auto"/>
                <w:szCs w:val="21"/>
                <w:highlight w:val="none"/>
                <w:lang w:bidi="ar"/>
              </w:rPr>
              <w:t>具备广角相机，相机CMOS不低于1/1.3英寸</w:t>
            </w:r>
          </w:p>
        </w:tc>
      </w:tr>
      <w:tr w14:paraId="11452C6F">
        <w:tblPrEx>
          <w:tblCellMar>
            <w:top w:w="0" w:type="dxa"/>
            <w:left w:w="108" w:type="dxa"/>
            <w:bottom w:w="0" w:type="dxa"/>
            <w:right w:w="108" w:type="dxa"/>
          </w:tblCellMar>
        </w:tblPrEx>
        <w:trPr>
          <w:trHeight w:val="285" w:hRule="atLeast"/>
        </w:trPr>
        <w:tc>
          <w:tcPr>
            <w:tcW w:w="2387" w:type="dxa"/>
            <w:vMerge w:val="continue"/>
            <w:tcBorders>
              <w:top w:val="single" w:color="auto" w:sz="4" w:space="0"/>
              <w:left w:val="single" w:color="auto" w:sz="4" w:space="0"/>
              <w:bottom w:val="single" w:color="auto" w:sz="4" w:space="0"/>
              <w:right w:val="single" w:color="auto" w:sz="4" w:space="0"/>
            </w:tcBorders>
            <w:noWrap w:val="0"/>
            <w:vAlign w:val="center"/>
          </w:tcPr>
          <w:p w14:paraId="34665758">
            <w:pPr>
              <w:rPr>
                <w:color w:val="auto"/>
                <w:szCs w:val="21"/>
                <w:highlight w:val="none"/>
              </w:rPr>
            </w:pPr>
          </w:p>
        </w:tc>
        <w:tc>
          <w:tcPr>
            <w:tcW w:w="6899" w:type="dxa"/>
            <w:tcBorders>
              <w:top w:val="single" w:color="auto" w:sz="4" w:space="0"/>
              <w:left w:val="single" w:color="auto" w:sz="4" w:space="0"/>
              <w:bottom w:val="single" w:color="auto" w:sz="4" w:space="0"/>
              <w:right w:val="single" w:color="auto" w:sz="4" w:space="0"/>
            </w:tcBorders>
            <w:noWrap w:val="0"/>
            <w:vAlign w:val="center"/>
          </w:tcPr>
          <w:p w14:paraId="6829E2CC">
            <w:pPr>
              <w:widowControl/>
              <w:jc w:val="left"/>
              <w:textAlignment w:val="center"/>
              <w:rPr>
                <w:color w:val="auto"/>
                <w:szCs w:val="21"/>
                <w:highlight w:val="none"/>
              </w:rPr>
            </w:pPr>
            <w:r>
              <w:rPr>
                <w:color w:val="auto"/>
                <w:szCs w:val="21"/>
                <w:highlight w:val="none"/>
                <w:lang w:bidi="ar"/>
              </w:rPr>
              <w:t>有效像素不低于4800万</w:t>
            </w:r>
          </w:p>
        </w:tc>
      </w:tr>
      <w:tr w14:paraId="46BA3797">
        <w:tblPrEx>
          <w:tblCellMar>
            <w:top w:w="0" w:type="dxa"/>
            <w:left w:w="108" w:type="dxa"/>
            <w:bottom w:w="0" w:type="dxa"/>
            <w:right w:w="108" w:type="dxa"/>
          </w:tblCellMar>
        </w:tblPrEx>
        <w:trPr>
          <w:trHeight w:val="285" w:hRule="atLeast"/>
        </w:trPr>
        <w:tc>
          <w:tcPr>
            <w:tcW w:w="2387" w:type="dxa"/>
            <w:vMerge w:val="continue"/>
            <w:tcBorders>
              <w:top w:val="single" w:color="auto" w:sz="4" w:space="0"/>
              <w:left w:val="single" w:color="auto" w:sz="4" w:space="0"/>
              <w:bottom w:val="single" w:color="auto" w:sz="4" w:space="0"/>
              <w:right w:val="single" w:color="auto" w:sz="4" w:space="0"/>
            </w:tcBorders>
            <w:noWrap w:val="0"/>
            <w:vAlign w:val="center"/>
          </w:tcPr>
          <w:p w14:paraId="61C350B4">
            <w:pPr>
              <w:rPr>
                <w:color w:val="auto"/>
                <w:szCs w:val="21"/>
                <w:highlight w:val="none"/>
              </w:rPr>
            </w:pPr>
          </w:p>
        </w:tc>
        <w:tc>
          <w:tcPr>
            <w:tcW w:w="6899" w:type="dxa"/>
            <w:tcBorders>
              <w:top w:val="single" w:color="auto" w:sz="4" w:space="0"/>
              <w:left w:val="single" w:color="auto" w:sz="4" w:space="0"/>
              <w:bottom w:val="single" w:color="auto" w:sz="4" w:space="0"/>
              <w:right w:val="single" w:color="auto" w:sz="4" w:space="0"/>
            </w:tcBorders>
            <w:noWrap w:val="0"/>
            <w:vAlign w:val="center"/>
          </w:tcPr>
          <w:p w14:paraId="4773EB3F">
            <w:pPr>
              <w:widowControl/>
              <w:jc w:val="left"/>
              <w:textAlignment w:val="center"/>
              <w:rPr>
                <w:color w:val="auto"/>
                <w:szCs w:val="21"/>
                <w:highlight w:val="none"/>
              </w:rPr>
            </w:pPr>
            <w:r>
              <w:rPr>
                <w:color w:val="auto"/>
                <w:szCs w:val="21"/>
                <w:highlight w:val="none"/>
                <w:lang w:bidi="ar"/>
              </w:rPr>
              <w:t>具备三轴机械增稳云台（俯仰、横滚、偏航）</w:t>
            </w:r>
          </w:p>
        </w:tc>
      </w:tr>
      <w:tr w14:paraId="2A557564">
        <w:tblPrEx>
          <w:tblCellMar>
            <w:top w:w="0" w:type="dxa"/>
            <w:left w:w="108" w:type="dxa"/>
            <w:bottom w:w="0" w:type="dxa"/>
            <w:right w:w="108" w:type="dxa"/>
          </w:tblCellMar>
        </w:tblPrEx>
        <w:trPr>
          <w:trHeight w:val="285" w:hRule="atLeast"/>
        </w:trPr>
        <w:tc>
          <w:tcPr>
            <w:tcW w:w="2387" w:type="dxa"/>
            <w:vMerge w:val="continue"/>
            <w:tcBorders>
              <w:top w:val="single" w:color="auto" w:sz="4" w:space="0"/>
              <w:left w:val="single" w:color="auto" w:sz="4" w:space="0"/>
              <w:bottom w:val="single" w:color="auto" w:sz="4" w:space="0"/>
              <w:right w:val="single" w:color="auto" w:sz="4" w:space="0"/>
            </w:tcBorders>
            <w:noWrap w:val="0"/>
            <w:vAlign w:val="center"/>
          </w:tcPr>
          <w:p w14:paraId="17CC333B">
            <w:pPr>
              <w:rPr>
                <w:color w:val="auto"/>
                <w:szCs w:val="21"/>
                <w:highlight w:val="none"/>
              </w:rPr>
            </w:pPr>
          </w:p>
        </w:tc>
        <w:tc>
          <w:tcPr>
            <w:tcW w:w="6899" w:type="dxa"/>
            <w:tcBorders>
              <w:top w:val="single" w:color="auto" w:sz="4" w:space="0"/>
              <w:left w:val="single" w:color="auto" w:sz="4" w:space="0"/>
              <w:bottom w:val="single" w:color="auto" w:sz="4" w:space="0"/>
              <w:right w:val="single" w:color="auto" w:sz="4" w:space="0"/>
            </w:tcBorders>
            <w:noWrap w:val="0"/>
            <w:vAlign w:val="center"/>
          </w:tcPr>
          <w:p w14:paraId="213A470D">
            <w:pPr>
              <w:widowControl/>
              <w:jc w:val="left"/>
              <w:textAlignment w:val="center"/>
              <w:rPr>
                <w:color w:val="auto"/>
                <w:szCs w:val="21"/>
                <w:highlight w:val="none"/>
              </w:rPr>
            </w:pPr>
            <w:r>
              <w:rPr>
                <w:color w:val="auto"/>
                <w:szCs w:val="21"/>
                <w:highlight w:val="none"/>
                <w:lang w:bidi="ar"/>
              </w:rPr>
              <w:t>支持4k/30fps视频录制</w:t>
            </w:r>
          </w:p>
        </w:tc>
      </w:tr>
      <w:tr w14:paraId="1517A069">
        <w:tblPrEx>
          <w:tblCellMar>
            <w:top w:w="0" w:type="dxa"/>
            <w:left w:w="108" w:type="dxa"/>
            <w:bottom w:w="0" w:type="dxa"/>
            <w:right w:w="108" w:type="dxa"/>
          </w:tblCellMar>
        </w:tblPrEx>
        <w:trPr>
          <w:trHeight w:val="285" w:hRule="atLeast"/>
        </w:trPr>
        <w:tc>
          <w:tcPr>
            <w:tcW w:w="2387" w:type="dxa"/>
            <w:tcBorders>
              <w:top w:val="single" w:color="auto" w:sz="4" w:space="0"/>
              <w:left w:val="single" w:color="auto" w:sz="4" w:space="0"/>
              <w:bottom w:val="single" w:color="auto" w:sz="4" w:space="0"/>
              <w:right w:val="single" w:color="auto" w:sz="4" w:space="0"/>
            </w:tcBorders>
            <w:noWrap w:val="0"/>
            <w:vAlign w:val="center"/>
          </w:tcPr>
          <w:p w14:paraId="14DBA63C">
            <w:pPr>
              <w:widowControl/>
              <w:jc w:val="left"/>
              <w:textAlignment w:val="center"/>
              <w:rPr>
                <w:color w:val="auto"/>
                <w:szCs w:val="21"/>
                <w:highlight w:val="none"/>
              </w:rPr>
            </w:pPr>
            <w:r>
              <w:rPr>
                <w:color w:val="auto"/>
                <w:szCs w:val="21"/>
                <w:highlight w:val="none"/>
                <w:lang w:bidi="ar"/>
              </w:rPr>
              <w:t>飞行器自检功能</w:t>
            </w:r>
          </w:p>
        </w:tc>
        <w:tc>
          <w:tcPr>
            <w:tcW w:w="6899" w:type="dxa"/>
            <w:tcBorders>
              <w:top w:val="single" w:color="auto" w:sz="4" w:space="0"/>
              <w:left w:val="single" w:color="auto" w:sz="4" w:space="0"/>
              <w:bottom w:val="single" w:color="auto" w:sz="4" w:space="0"/>
              <w:right w:val="single" w:color="auto" w:sz="4" w:space="0"/>
            </w:tcBorders>
            <w:noWrap w:val="0"/>
            <w:vAlign w:val="center"/>
          </w:tcPr>
          <w:p w14:paraId="58AC158C">
            <w:pPr>
              <w:widowControl/>
              <w:jc w:val="left"/>
              <w:textAlignment w:val="center"/>
              <w:rPr>
                <w:color w:val="auto"/>
                <w:szCs w:val="21"/>
                <w:highlight w:val="none"/>
              </w:rPr>
            </w:pPr>
            <w:r>
              <w:rPr>
                <w:color w:val="auto"/>
                <w:szCs w:val="21"/>
                <w:highlight w:val="none"/>
                <w:lang w:bidi="ar"/>
              </w:rPr>
              <w:t>具备飞行器自检功能</w:t>
            </w:r>
          </w:p>
        </w:tc>
      </w:tr>
      <w:tr w14:paraId="0D2FA8B9">
        <w:tblPrEx>
          <w:tblCellMar>
            <w:top w:w="0" w:type="dxa"/>
            <w:left w:w="108" w:type="dxa"/>
            <w:bottom w:w="0" w:type="dxa"/>
            <w:right w:w="108" w:type="dxa"/>
          </w:tblCellMar>
        </w:tblPrEx>
        <w:trPr>
          <w:trHeight w:val="90" w:hRule="atLeast"/>
        </w:trPr>
        <w:tc>
          <w:tcPr>
            <w:tcW w:w="2387" w:type="dxa"/>
            <w:tcBorders>
              <w:top w:val="single" w:color="auto" w:sz="4" w:space="0"/>
              <w:left w:val="single" w:color="auto" w:sz="4" w:space="0"/>
              <w:bottom w:val="single" w:color="auto" w:sz="4" w:space="0"/>
              <w:right w:val="single" w:color="auto" w:sz="4" w:space="0"/>
            </w:tcBorders>
            <w:noWrap w:val="0"/>
            <w:vAlign w:val="center"/>
          </w:tcPr>
          <w:p w14:paraId="2ADCB893">
            <w:pPr>
              <w:widowControl/>
              <w:jc w:val="left"/>
              <w:textAlignment w:val="center"/>
              <w:rPr>
                <w:color w:val="auto"/>
                <w:szCs w:val="21"/>
                <w:highlight w:val="none"/>
              </w:rPr>
            </w:pPr>
            <w:r>
              <w:rPr>
                <w:color w:val="auto"/>
                <w:szCs w:val="21"/>
                <w:highlight w:val="none"/>
                <w:lang w:bidi="ar"/>
              </w:rPr>
              <w:t>避障功能</w:t>
            </w:r>
          </w:p>
        </w:tc>
        <w:tc>
          <w:tcPr>
            <w:tcW w:w="6899" w:type="dxa"/>
            <w:tcBorders>
              <w:top w:val="single" w:color="auto" w:sz="4" w:space="0"/>
              <w:left w:val="single" w:color="auto" w:sz="4" w:space="0"/>
              <w:bottom w:val="single" w:color="auto" w:sz="4" w:space="0"/>
              <w:right w:val="single" w:color="auto" w:sz="4" w:space="0"/>
            </w:tcBorders>
            <w:noWrap w:val="0"/>
            <w:vAlign w:val="center"/>
          </w:tcPr>
          <w:p w14:paraId="129445FF">
            <w:pPr>
              <w:widowControl/>
              <w:jc w:val="left"/>
              <w:textAlignment w:val="center"/>
              <w:rPr>
                <w:color w:val="auto"/>
                <w:highlight w:val="none"/>
              </w:rPr>
            </w:pPr>
            <w:r>
              <w:rPr>
                <w:color w:val="auto"/>
                <w:szCs w:val="21"/>
                <w:highlight w:val="none"/>
                <w:lang w:bidi="ar"/>
              </w:rPr>
              <w:t>飞行器前、后、左、右、上、下至少4个方向具备视觉或红外避障传感器</w:t>
            </w:r>
          </w:p>
        </w:tc>
      </w:tr>
      <w:tr w14:paraId="2A40E9F2">
        <w:tblPrEx>
          <w:tblCellMar>
            <w:top w:w="0" w:type="dxa"/>
            <w:left w:w="108" w:type="dxa"/>
            <w:bottom w:w="0" w:type="dxa"/>
            <w:right w:w="108" w:type="dxa"/>
          </w:tblCellMar>
        </w:tblPrEx>
        <w:trPr>
          <w:trHeight w:val="90" w:hRule="atLeast"/>
        </w:trPr>
        <w:tc>
          <w:tcPr>
            <w:tcW w:w="2387" w:type="dxa"/>
            <w:tcBorders>
              <w:top w:val="single" w:color="auto" w:sz="4" w:space="0"/>
              <w:left w:val="single" w:color="000000" w:sz="4" w:space="0"/>
              <w:bottom w:val="single" w:color="000000" w:sz="4" w:space="0"/>
              <w:right w:val="single" w:color="000000" w:sz="4" w:space="0"/>
            </w:tcBorders>
            <w:noWrap w:val="0"/>
            <w:vAlign w:val="center"/>
          </w:tcPr>
          <w:p w14:paraId="00A2A834">
            <w:pPr>
              <w:widowControl/>
              <w:jc w:val="left"/>
              <w:textAlignment w:val="center"/>
              <w:rPr>
                <w:color w:val="auto"/>
                <w:szCs w:val="21"/>
                <w:highlight w:val="none"/>
              </w:rPr>
            </w:pPr>
            <w:r>
              <w:rPr>
                <w:color w:val="auto"/>
                <w:szCs w:val="21"/>
                <w:highlight w:val="none"/>
                <w:lang w:bidi="ar"/>
              </w:rPr>
              <w:t>低电量自动返航</w:t>
            </w:r>
          </w:p>
        </w:tc>
        <w:tc>
          <w:tcPr>
            <w:tcW w:w="6899" w:type="dxa"/>
            <w:tcBorders>
              <w:top w:val="single" w:color="auto" w:sz="4" w:space="0"/>
              <w:left w:val="single" w:color="000000" w:sz="4" w:space="0"/>
              <w:bottom w:val="single" w:color="000000" w:sz="4" w:space="0"/>
              <w:right w:val="single" w:color="000000" w:sz="4" w:space="0"/>
            </w:tcBorders>
            <w:noWrap w:val="0"/>
            <w:vAlign w:val="center"/>
          </w:tcPr>
          <w:p w14:paraId="6A380313">
            <w:pPr>
              <w:widowControl/>
              <w:jc w:val="left"/>
              <w:textAlignment w:val="center"/>
              <w:rPr>
                <w:color w:val="auto"/>
                <w:szCs w:val="21"/>
                <w:highlight w:val="none"/>
              </w:rPr>
            </w:pPr>
            <w:r>
              <w:rPr>
                <w:color w:val="auto"/>
                <w:szCs w:val="21"/>
                <w:highlight w:val="none"/>
                <w:lang w:bidi="ar"/>
              </w:rPr>
              <w:t>具备低电量自动返航功能</w:t>
            </w:r>
          </w:p>
        </w:tc>
      </w:tr>
      <w:tr w14:paraId="61845D88">
        <w:tblPrEx>
          <w:tblCellMar>
            <w:top w:w="0" w:type="dxa"/>
            <w:left w:w="108" w:type="dxa"/>
            <w:bottom w:w="0" w:type="dxa"/>
            <w:right w:w="108" w:type="dxa"/>
          </w:tblCellMar>
        </w:tblPrEx>
        <w:trPr>
          <w:trHeight w:val="90" w:hRule="atLeast"/>
        </w:trPr>
        <w:tc>
          <w:tcPr>
            <w:tcW w:w="2387" w:type="dxa"/>
            <w:tcBorders>
              <w:top w:val="single" w:color="000000" w:sz="4" w:space="0"/>
              <w:left w:val="single" w:color="000000" w:sz="4" w:space="0"/>
              <w:bottom w:val="single" w:color="000000" w:sz="4" w:space="0"/>
              <w:right w:val="single" w:color="000000" w:sz="4" w:space="0"/>
            </w:tcBorders>
            <w:noWrap w:val="0"/>
            <w:vAlign w:val="center"/>
          </w:tcPr>
          <w:p w14:paraId="09C92677">
            <w:pPr>
              <w:widowControl/>
              <w:jc w:val="left"/>
              <w:textAlignment w:val="center"/>
              <w:rPr>
                <w:color w:val="auto"/>
                <w:szCs w:val="21"/>
                <w:highlight w:val="none"/>
              </w:rPr>
            </w:pPr>
            <w:r>
              <w:rPr>
                <w:color w:val="auto"/>
                <w:szCs w:val="21"/>
                <w:highlight w:val="none"/>
                <w:lang w:bidi="ar"/>
              </w:rPr>
              <w:t>信号丢失自动返航</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79146BAF">
            <w:pPr>
              <w:widowControl/>
              <w:jc w:val="left"/>
              <w:textAlignment w:val="center"/>
              <w:rPr>
                <w:color w:val="auto"/>
                <w:szCs w:val="21"/>
                <w:highlight w:val="none"/>
              </w:rPr>
            </w:pPr>
            <w:r>
              <w:rPr>
                <w:color w:val="auto"/>
                <w:szCs w:val="21"/>
                <w:highlight w:val="none"/>
                <w:lang w:bidi="ar"/>
              </w:rPr>
              <w:t>具备低电量自动返航功能</w:t>
            </w:r>
          </w:p>
        </w:tc>
      </w:tr>
      <w:tr w14:paraId="14371C38">
        <w:tblPrEx>
          <w:tblCellMar>
            <w:top w:w="0" w:type="dxa"/>
            <w:left w:w="108" w:type="dxa"/>
            <w:bottom w:w="0" w:type="dxa"/>
            <w:right w:w="108" w:type="dxa"/>
          </w:tblCellMar>
        </w:tblPrEx>
        <w:trPr>
          <w:trHeight w:val="90" w:hRule="atLeast"/>
        </w:trPr>
        <w:tc>
          <w:tcPr>
            <w:tcW w:w="2387" w:type="dxa"/>
            <w:tcBorders>
              <w:top w:val="single" w:color="000000" w:sz="4" w:space="0"/>
              <w:left w:val="single" w:color="000000" w:sz="4" w:space="0"/>
              <w:bottom w:val="single" w:color="000000" w:sz="4" w:space="0"/>
              <w:right w:val="single" w:color="000000" w:sz="4" w:space="0"/>
            </w:tcBorders>
            <w:noWrap w:val="0"/>
            <w:vAlign w:val="center"/>
          </w:tcPr>
          <w:p w14:paraId="73965352">
            <w:pPr>
              <w:widowControl/>
              <w:jc w:val="left"/>
              <w:textAlignment w:val="center"/>
              <w:rPr>
                <w:color w:val="auto"/>
                <w:szCs w:val="21"/>
                <w:highlight w:val="none"/>
              </w:rPr>
            </w:pPr>
            <w:r>
              <w:rPr>
                <w:color w:val="auto"/>
                <w:szCs w:val="21"/>
                <w:highlight w:val="none"/>
                <w:lang w:bidi="ar"/>
              </w:rPr>
              <w:t>起飞重量（无配件）</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3328219C">
            <w:pPr>
              <w:widowControl/>
              <w:jc w:val="left"/>
              <w:textAlignment w:val="center"/>
              <w:rPr>
                <w:color w:val="auto"/>
                <w:szCs w:val="21"/>
                <w:highlight w:val="none"/>
              </w:rPr>
            </w:pPr>
            <w:r>
              <w:rPr>
                <w:color w:val="auto"/>
                <w:szCs w:val="21"/>
                <w:highlight w:val="none"/>
                <w:lang w:bidi="ar"/>
              </w:rPr>
              <w:t>≤2000g</w:t>
            </w:r>
          </w:p>
        </w:tc>
      </w:tr>
      <w:tr w14:paraId="67C253E0">
        <w:tblPrEx>
          <w:tblCellMar>
            <w:top w:w="0" w:type="dxa"/>
            <w:left w:w="108" w:type="dxa"/>
            <w:bottom w:w="0" w:type="dxa"/>
            <w:right w:w="108" w:type="dxa"/>
          </w:tblCellMar>
        </w:tblPrEx>
        <w:trPr>
          <w:trHeight w:val="90" w:hRule="atLeast"/>
        </w:trPr>
        <w:tc>
          <w:tcPr>
            <w:tcW w:w="2387" w:type="dxa"/>
            <w:tcBorders>
              <w:top w:val="single" w:color="000000" w:sz="4" w:space="0"/>
              <w:left w:val="single" w:color="000000" w:sz="4" w:space="0"/>
              <w:bottom w:val="single" w:color="000000" w:sz="4" w:space="0"/>
              <w:right w:val="single" w:color="000000" w:sz="4" w:space="0"/>
            </w:tcBorders>
            <w:noWrap w:val="0"/>
            <w:vAlign w:val="center"/>
          </w:tcPr>
          <w:p w14:paraId="3B9EF1E7">
            <w:pPr>
              <w:widowControl/>
              <w:jc w:val="left"/>
              <w:textAlignment w:val="center"/>
              <w:rPr>
                <w:color w:val="auto"/>
                <w:szCs w:val="21"/>
                <w:highlight w:val="none"/>
              </w:rPr>
            </w:pPr>
            <w:r>
              <w:rPr>
                <w:color w:val="auto"/>
                <w:szCs w:val="21"/>
                <w:highlight w:val="none"/>
                <w:lang w:bidi="ar"/>
              </w:rPr>
              <w:t>尺寸（长x宽x高）</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372ED1EF">
            <w:pPr>
              <w:widowControl/>
              <w:jc w:val="left"/>
              <w:textAlignment w:val="center"/>
              <w:rPr>
                <w:color w:val="auto"/>
                <w:szCs w:val="21"/>
                <w:highlight w:val="none"/>
              </w:rPr>
            </w:pPr>
            <w:r>
              <w:rPr>
                <w:color w:val="auto"/>
                <w:szCs w:val="21"/>
                <w:highlight w:val="none"/>
                <w:lang w:bidi="ar"/>
              </w:rPr>
              <w:t>≤200x150x100mm（折叠后）</w:t>
            </w:r>
          </w:p>
        </w:tc>
      </w:tr>
    </w:tbl>
    <w:p w14:paraId="13F247D5">
      <w:pPr>
        <w:spacing w:line="520" w:lineRule="exact"/>
        <w:ind w:firstLine="560" w:firstLineChars="200"/>
        <w:rPr>
          <w:color w:val="auto"/>
          <w:sz w:val="28"/>
          <w:szCs w:val="28"/>
          <w:highlight w:val="none"/>
        </w:rPr>
      </w:pPr>
      <w:r>
        <w:rPr>
          <w:color w:val="auto"/>
          <w:sz w:val="28"/>
          <w:szCs w:val="28"/>
          <w:highlight w:val="none"/>
        </w:rPr>
        <w:t>（2）自动巡查无人机技术要求</w:t>
      </w:r>
    </w:p>
    <w:p w14:paraId="2C9DA5D9">
      <w:pPr>
        <w:keepNext/>
        <w:keepLines/>
        <w:spacing w:line="520" w:lineRule="exact"/>
        <w:ind w:firstLine="560" w:firstLineChars="200"/>
        <w:rPr>
          <w:color w:val="auto"/>
          <w:sz w:val="28"/>
          <w:szCs w:val="28"/>
          <w:highlight w:val="none"/>
        </w:rPr>
      </w:pPr>
      <w:r>
        <w:rPr>
          <w:color w:val="auto"/>
          <w:sz w:val="28"/>
          <w:szCs w:val="28"/>
          <w:highlight w:val="none"/>
        </w:rPr>
        <w:t>需采用业内领先性能、长续航、无人值守的多旋翼小型及以下规格无人机，抗风等级、RTK位置精度、悬停精度、飞行时间、IP防护等级、摄像参数、环境适应性满足户外自动巡查要求，具备无线快速充电技术、远程喊话、应急调度、自动避障及降落伞防护、故障和紧急信息语音报警功能等功能，以满足无人机安全性、无人值守、快速轮转连续作业的要求</w:t>
      </w:r>
      <w:r>
        <w:rPr>
          <w:rFonts w:hint="eastAsia"/>
          <w:color w:val="auto"/>
          <w:sz w:val="28"/>
          <w:szCs w:val="28"/>
          <w:highlight w:val="none"/>
          <w:lang w:eastAsia="zh-CN"/>
        </w:rPr>
        <w:t>，</w:t>
      </w:r>
      <w:r>
        <w:rPr>
          <w:color w:val="auto"/>
          <w:sz w:val="28"/>
          <w:szCs w:val="28"/>
          <w:highlight w:val="none"/>
        </w:rPr>
        <w:t>且需在招标人办公电脑上配备不少于2台音箱用于播放报警语音。</w:t>
      </w:r>
    </w:p>
    <w:p w14:paraId="025FFF79">
      <w:pPr>
        <w:keepNext/>
        <w:keepLines/>
        <w:spacing w:line="520" w:lineRule="exact"/>
        <w:ind w:firstLine="560" w:firstLineChars="200"/>
        <w:rPr>
          <w:color w:val="auto"/>
          <w:sz w:val="28"/>
          <w:szCs w:val="28"/>
          <w:highlight w:val="none"/>
        </w:rPr>
      </w:pPr>
      <w:r>
        <w:rPr>
          <w:color w:val="auto"/>
          <w:sz w:val="28"/>
          <w:szCs w:val="28"/>
          <w:highlight w:val="none"/>
        </w:rPr>
        <w:t>自动巡查无人机参数要求如下：</w:t>
      </w:r>
    </w:p>
    <w:p w14:paraId="4BDC8619">
      <w:pPr>
        <w:spacing w:line="520" w:lineRule="exact"/>
        <w:ind w:firstLine="560" w:firstLineChars="200"/>
        <w:rPr>
          <w:color w:val="auto"/>
          <w:sz w:val="28"/>
          <w:szCs w:val="28"/>
          <w:highlight w:val="none"/>
        </w:rPr>
      </w:pPr>
      <w:r>
        <w:rPr>
          <w:color w:val="auto"/>
          <w:sz w:val="28"/>
          <w:szCs w:val="28"/>
          <w:highlight w:val="none"/>
        </w:rPr>
        <w:t>1）最大起飞重量不超过4000g;</w:t>
      </w:r>
    </w:p>
    <w:p w14:paraId="0EAE77D4">
      <w:pPr>
        <w:spacing w:line="520" w:lineRule="exact"/>
        <w:ind w:firstLine="560" w:firstLineChars="200"/>
        <w:rPr>
          <w:color w:val="auto"/>
          <w:sz w:val="28"/>
          <w:szCs w:val="28"/>
          <w:highlight w:val="none"/>
        </w:rPr>
      </w:pPr>
      <w:r>
        <w:rPr>
          <w:color w:val="auto"/>
          <w:sz w:val="28"/>
          <w:szCs w:val="28"/>
          <w:highlight w:val="none"/>
        </w:rPr>
        <w:t>2)自带广角、变焦、红外热成像、高清夜视功能的摄像头；</w:t>
      </w:r>
    </w:p>
    <w:p w14:paraId="13F8554A">
      <w:pPr>
        <w:spacing w:line="520" w:lineRule="exact"/>
        <w:ind w:firstLine="560" w:firstLineChars="200"/>
        <w:rPr>
          <w:color w:val="auto"/>
          <w:sz w:val="28"/>
          <w:szCs w:val="28"/>
          <w:highlight w:val="none"/>
        </w:rPr>
      </w:pPr>
      <w:r>
        <w:rPr>
          <w:color w:val="auto"/>
          <w:sz w:val="28"/>
          <w:szCs w:val="28"/>
          <w:highlight w:val="none"/>
        </w:rPr>
        <w:t>3）最大可承受六级风速（12m/s、蓝色预警）；</w:t>
      </w:r>
    </w:p>
    <w:p w14:paraId="024C45E5">
      <w:pPr>
        <w:spacing w:line="520" w:lineRule="exact"/>
        <w:ind w:firstLine="560" w:firstLineChars="200"/>
        <w:rPr>
          <w:color w:val="auto"/>
          <w:sz w:val="28"/>
          <w:szCs w:val="28"/>
          <w:highlight w:val="none"/>
        </w:rPr>
      </w:pPr>
      <w:r>
        <w:rPr>
          <w:color w:val="auto"/>
          <w:sz w:val="28"/>
          <w:szCs w:val="28"/>
          <w:highlight w:val="none"/>
        </w:rPr>
        <w:t>4）最大可承受中雨雨量（90毫升/24小时）；</w:t>
      </w:r>
    </w:p>
    <w:p w14:paraId="20B017BB">
      <w:pPr>
        <w:spacing w:line="520" w:lineRule="exact"/>
        <w:ind w:firstLine="560" w:firstLineChars="200"/>
        <w:rPr>
          <w:color w:val="auto"/>
          <w:sz w:val="28"/>
          <w:szCs w:val="28"/>
          <w:highlight w:val="none"/>
        </w:rPr>
      </w:pPr>
      <w:r>
        <w:rPr>
          <w:color w:val="auto"/>
          <w:sz w:val="28"/>
          <w:szCs w:val="28"/>
          <w:highlight w:val="none"/>
        </w:rPr>
        <w:t>5）满足IP54防护等级；</w:t>
      </w:r>
    </w:p>
    <w:p w14:paraId="13C87784">
      <w:pPr>
        <w:spacing w:line="520" w:lineRule="exact"/>
        <w:ind w:firstLine="560" w:firstLineChars="200"/>
        <w:rPr>
          <w:color w:val="auto"/>
          <w:sz w:val="28"/>
          <w:szCs w:val="28"/>
          <w:highlight w:val="none"/>
        </w:rPr>
      </w:pPr>
      <w:r>
        <w:rPr>
          <w:color w:val="auto"/>
          <w:sz w:val="28"/>
          <w:szCs w:val="28"/>
          <w:highlight w:val="none"/>
        </w:rPr>
        <w:t>6）电池满足400次以上充电寿命；</w:t>
      </w:r>
    </w:p>
    <w:p w14:paraId="23E1002B">
      <w:pPr>
        <w:spacing w:line="520" w:lineRule="exact"/>
        <w:ind w:firstLine="560" w:firstLineChars="200"/>
        <w:rPr>
          <w:color w:val="auto"/>
          <w:sz w:val="28"/>
          <w:szCs w:val="28"/>
          <w:highlight w:val="none"/>
        </w:rPr>
      </w:pPr>
      <w:r>
        <w:rPr>
          <w:color w:val="auto"/>
          <w:sz w:val="28"/>
          <w:szCs w:val="28"/>
          <w:highlight w:val="none"/>
        </w:rPr>
        <w:t>7）工作环境温度在-20℃至45℃；</w:t>
      </w:r>
    </w:p>
    <w:p w14:paraId="372D9EEE">
      <w:pPr>
        <w:spacing w:line="520" w:lineRule="exact"/>
        <w:ind w:firstLine="560" w:firstLineChars="200"/>
        <w:rPr>
          <w:color w:val="auto"/>
          <w:sz w:val="28"/>
          <w:szCs w:val="28"/>
          <w:highlight w:val="none"/>
        </w:rPr>
      </w:pPr>
      <w:r>
        <w:rPr>
          <w:color w:val="auto"/>
          <w:sz w:val="28"/>
          <w:szCs w:val="28"/>
          <w:highlight w:val="none"/>
        </w:rPr>
        <w:t>8）其它具体参数要求</w:t>
      </w:r>
    </w:p>
    <w:tbl>
      <w:tblPr>
        <w:tblStyle w:val="21"/>
        <w:tblW w:w="5000" w:type="pct"/>
        <w:tblInd w:w="91" w:type="dxa"/>
        <w:tblLayout w:type="autofit"/>
        <w:tblCellMar>
          <w:top w:w="0" w:type="dxa"/>
          <w:left w:w="108" w:type="dxa"/>
          <w:bottom w:w="0" w:type="dxa"/>
          <w:right w:w="108" w:type="dxa"/>
        </w:tblCellMar>
      </w:tblPr>
      <w:tblGrid>
        <w:gridCol w:w="2542"/>
        <w:gridCol w:w="7311"/>
      </w:tblGrid>
      <w:tr w14:paraId="1D87646F">
        <w:tblPrEx>
          <w:tblCellMar>
            <w:top w:w="0" w:type="dxa"/>
            <w:left w:w="108" w:type="dxa"/>
            <w:bottom w:w="0" w:type="dxa"/>
            <w:right w:w="108" w:type="dxa"/>
          </w:tblCellMar>
        </w:tblPrEx>
        <w:trPr>
          <w:trHeight w:val="285" w:hRule="atLeast"/>
        </w:trPr>
        <w:tc>
          <w:tcPr>
            <w:tcW w:w="9286" w:type="dxa"/>
            <w:gridSpan w:val="2"/>
            <w:tcBorders>
              <w:top w:val="single" w:color="000000" w:sz="4" w:space="0"/>
              <w:left w:val="single" w:color="000000" w:sz="4" w:space="0"/>
              <w:bottom w:val="single" w:color="000000" w:sz="4" w:space="0"/>
              <w:right w:val="single" w:color="000000" w:sz="4" w:space="0"/>
            </w:tcBorders>
            <w:noWrap w:val="0"/>
            <w:vAlign w:val="center"/>
          </w:tcPr>
          <w:p w14:paraId="11458CC3">
            <w:pPr>
              <w:widowControl/>
              <w:jc w:val="center"/>
              <w:textAlignment w:val="center"/>
              <w:rPr>
                <w:color w:val="auto"/>
                <w:szCs w:val="21"/>
                <w:highlight w:val="none"/>
              </w:rPr>
            </w:pPr>
            <w:r>
              <w:rPr>
                <w:color w:val="auto"/>
                <w:kern w:val="0"/>
                <w:sz w:val="24"/>
                <w:highlight w:val="none"/>
                <w:lang w:bidi="ar"/>
              </w:rPr>
              <w:t>自动巡查无人机关键参数要求</w:t>
            </w:r>
          </w:p>
        </w:tc>
      </w:tr>
      <w:tr w14:paraId="331657B1">
        <w:tblPrEx>
          <w:tblCellMar>
            <w:top w:w="0" w:type="dxa"/>
            <w:left w:w="108" w:type="dxa"/>
            <w:bottom w:w="0" w:type="dxa"/>
            <w:right w:w="108" w:type="dxa"/>
          </w:tblCellMar>
        </w:tblPrEx>
        <w:trPr>
          <w:trHeight w:val="285" w:hRule="atLeast"/>
        </w:trPr>
        <w:tc>
          <w:tcPr>
            <w:tcW w:w="2396" w:type="dxa"/>
            <w:tcBorders>
              <w:top w:val="single" w:color="000000" w:sz="4" w:space="0"/>
              <w:left w:val="single" w:color="000000" w:sz="4" w:space="0"/>
              <w:bottom w:val="single" w:color="000000" w:sz="4" w:space="0"/>
              <w:right w:val="single" w:color="000000" w:sz="4" w:space="0"/>
            </w:tcBorders>
            <w:noWrap w:val="0"/>
            <w:vAlign w:val="center"/>
          </w:tcPr>
          <w:p w14:paraId="2B16DAC5">
            <w:pPr>
              <w:widowControl/>
              <w:jc w:val="left"/>
              <w:textAlignment w:val="center"/>
              <w:rPr>
                <w:color w:val="auto"/>
                <w:szCs w:val="21"/>
                <w:highlight w:val="none"/>
              </w:rPr>
            </w:pPr>
            <w:r>
              <w:rPr>
                <w:color w:val="auto"/>
                <w:szCs w:val="21"/>
                <w:highlight w:val="none"/>
                <w:lang w:bidi="ar"/>
              </w:rPr>
              <w:t>尺寸（展开，不包含桨叶）</w:t>
            </w:r>
          </w:p>
        </w:tc>
        <w:tc>
          <w:tcPr>
            <w:tcW w:w="6890" w:type="dxa"/>
            <w:tcBorders>
              <w:top w:val="single" w:color="000000" w:sz="4" w:space="0"/>
              <w:left w:val="single" w:color="000000" w:sz="4" w:space="0"/>
              <w:bottom w:val="single" w:color="000000" w:sz="4" w:space="0"/>
              <w:right w:val="single" w:color="000000" w:sz="4" w:space="0"/>
            </w:tcBorders>
            <w:noWrap w:val="0"/>
            <w:vAlign w:val="center"/>
          </w:tcPr>
          <w:p w14:paraId="7B7B336E">
            <w:pPr>
              <w:widowControl/>
              <w:jc w:val="left"/>
              <w:textAlignment w:val="center"/>
              <w:rPr>
                <w:color w:val="auto"/>
                <w:szCs w:val="21"/>
                <w:highlight w:val="none"/>
              </w:rPr>
            </w:pPr>
            <w:r>
              <w:rPr>
                <w:color w:val="auto"/>
                <w:szCs w:val="21"/>
                <w:highlight w:val="none"/>
                <w:lang w:bidi="ar"/>
              </w:rPr>
              <w:t>长宽高小于等于400mmx500mmx300mm</w:t>
            </w:r>
          </w:p>
        </w:tc>
      </w:tr>
      <w:tr w14:paraId="6178D234">
        <w:tblPrEx>
          <w:tblCellMar>
            <w:top w:w="0" w:type="dxa"/>
            <w:left w:w="108" w:type="dxa"/>
            <w:bottom w:w="0" w:type="dxa"/>
            <w:right w:w="108" w:type="dxa"/>
          </w:tblCellMar>
        </w:tblPrEx>
        <w:trPr>
          <w:trHeight w:val="341" w:hRule="atLeast"/>
        </w:trPr>
        <w:tc>
          <w:tcPr>
            <w:tcW w:w="9286" w:type="dxa"/>
            <w:gridSpan w:val="2"/>
            <w:tcBorders>
              <w:top w:val="single" w:color="000000" w:sz="4" w:space="0"/>
              <w:left w:val="single" w:color="000000" w:sz="4" w:space="0"/>
              <w:bottom w:val="single" w:color="000000" w:sz="4" w:space="0"/>
              <w:right w:val="single" w:color="000000" w:sz="4" w:space="0"/>
            </w:tcBorders>
            <w:noWrap w:val="0"/>
            <w:vAlign w:val="center"/>
          </w:tcPr>
          <w:p w14:paraId="681BB3E7">
            <w:pPr>
              <w:widowControl/>
              <w:jc w:val="left"/>
              <w:textAlignment w:val="center"/>
              <w:rPr>
                <w:color w:val="auto"/>
                <w:szCs w:val="21"/>
                <w:highlight w:val="none"/>
              </w:rPr>
            </w:pPr>
            <w:r>
              <w:rPr>
                <w:color w:val="auto"/>
                <w:szCs w:val="21"/>
                <w:highlight w:val="none"/>
                <w:lang w:bidi="ar"/>
              </w:rPr>
              <w:t>悬停精度（无风或微风环境）</w:t>
            </w:r>
          </w:p>
        </w:tc>
      </w:tr>
      <w:tr w14:paraId="232614C1">
        <w:tblPrEx>
          <w:tblCellMar>
            <w:top w:w="0" w:type="dxa"/>
            <w:left w:w="108" w:type="dxa"/>
            <w:bottom w:w="0" w:type="dxa"/>
            <w:right w:w="108" w:type="dxa"/>
          </w:tblCellMar>
        </w:tblPrEx>
        <w:trPr>
          <w:trHeight w:val="90" w:hRule="atLeast"/>
        </w:trPr>
        <w:tc>
          <w:tcPr>
            <w:tcW w:w="2396" w:type="dxa"/>
            <w:tcBorders>
              <w:top w:val="single" w:color="000000" w:sz="4" w:space="0"/>
              <w:left w:val="single" w:color="000000" w:sz="4" w:space="0"/>
              <w:bottom w:val="single" w:color="000000" w:sz="4" w:space="0"/>
              <w:right w:val="single" w:color="000000" w:sz="4" w:space="0"/>
            </w:tcBorders>
            <w:noWrap w:val="0"/>
            <w:vAlign w:val="center"/>
          </w:tcPr>
          <w:p w14:paraId="06CE4C7A">
            <w:pPr>
              <w:widowControl/>
              <w:jc w:val="left"/>
              <w:textAlignment w:val="center"/>
              <w:rPr>
                <w:color w:val="auto"/>
                <w:szCs w:val="21"/>
                <w:highlight w:val="none"/>
              </w:rPr>
            </w:pPr>
            <w:r>
              <w:rPr>
                <w:color w:val="auto"/>
                <w:szCs w:val="21"/>
                <w:highlight w:val="none"/>
                <w:lang w:bidi="ar"/>
              </w:rPr>
              <w:t>垂直</w:t>
            </w:r>
          </w:p>
        </w:tc>
        <w:tc>
          <w:tcPr>
            <w:tcW w:w="6890" w:type="dxa"/>
            <w:tcBorders>
              <w:top w:val="single" w:color="000000" w:sz="4" w:space="0"/>
              <w:left w:val="single" w:color="000000" w:sz="4" w:space="0"/>
              <w:bottom w:val="single" w:color="000000" w:sz="4" w:space="0"/>
              <w:right w:val="single" w:color="000000" w:sz="4" w:space="0"/>
            </w:tcBorders>
            <w:noWrap w:val="0"/>
            <w:vAlign w:val="center"/>
          </w:tcPr>
          <w:p w14:paraId="01DC8084">
            <w:pPr>
              <w:widowControl/>
              <w:jc w:val="left"/>
              <w:textAlignment w:val="center"/>
              <w:rPr>
                <w:color w:val="auto"/>
                <w:szCs w:val="21"/>
                <w:highlight w:val="none"/>
              </w:rPr>
            </w:pPr>
            <w:r>
              <w:rPr>
                <w:color w:val="auto"/>
                <w:szCs w:val="21"/>
                <w:highlight w:val="none"/>
                <w:lang w:bidi="ar"/>
              </w:rPr>
              <w:t>±0.1m（RTK定位正常工作时）</w:t>
            </w:r>
          </w:p>
        </w:tc>
      </w:tr>
      <w:tr w14:paraId="173DC2EF">
        <w:tblPrEx>
          <w:tblCellMar>
            <w:top w:w="0" w:type="dxa"/>
            <w:left w:w="108" w:type="dxa"/>
            <w:bottom w:w="0" w:type="dxa"/>
            <w:right w:w="108" w:type="dxa"/>
          </w:tblCellMar>
        </w:tblPrEx>
        <w:trPr>
          <w:trHeight w:val="570" w:hRule="atLeast"/>
        </w:trPr>
        <w:tc>
          <w:tcPr>
            <w:tcW w:w="2396" w:type="dxa"/>
            <w:tcBorders>
              <w:top w:val="single" w:color="000000" w:sz="4" w:space="0"/>
              <w:left w:val="single" w:color="000000" w:sz="4" w:space="0"/>
              <w:bottom w:val="single" w:color="000000" w:sz="4" w:space="0"/>
              <w:right w:val="single" w:color="000000" w:sz="4" w:space="0"/>
            </w:tcBorders>
            <w:noWrap w:val="0"/>
            <w:vAlign w:val="center"/>
          </w:tcPr>
          <w:p w14:paraId="468D74E7">
            <w:pPr>
              <w:widowControl/>
              <w:jc w:val="left"/>
              <w:textAlignment w:val="center"/>
              <w:rPr>
                <w:color w:val="auto"/>
                <w:szCs w:val="21"/>
                <w:highlight w:val="none"/>
              </w:rPr>
            </w:pPr>
            <w:r>
              <w:rPr>
                <w:color w:val="auto"/>
                <w:szCs w:val="21"/>
                <w:highlight w:val="none"/>
                <w:lang w:bidi="ar"/>
              </w:rPr>
              <w:t>水平</w:t>
            </w:r>
          </w:p>
        </w:tc>
        <w:tc>
          <w:tcPr>
            <w:tcW w:w="6890" w:type="dxa"/>
            <w:tcBorders>
              <w:top w:val="single" w:color="000000" w:sz="4" w:space="0"/>
              <w:left w:val="single" w:color="000000" w:sz="4" w:space="0"/>
              <w:bottom w:val="single" w:color="000000" w:sz="4" w:space="0"/>
              <w:right w:val="single" w:color="000000" w:sz="4" w:space="0"/>
            </w:tcBorders>
            <w:noWrap w:val="0"/>
            <w:vAlign w:val="center"/>
          </w:tcPr>
          <w:p w14:paraId="5FC854DA">
            <w:pPr>
              <w:rPr>
                <w:color w:val="auto"/>
                <w:szCs w:val="21"/>
                <w:highlight w:val="none"/>
              </w:rPr>
            </w:pPr>
            <w:r>
              <w:rPr>
                <w:color w:val="auto"/>
                <w:szCs w:val="21"/>
                <w:highlight w:val="none"/>
                <w:lang w:bidi="ar"/>
              </w:rPr>
              <w:t>±0.1m（RTK定位正常工作时）</w:t>
            </w:r>
          </w:p>
        </w:tc>
      </w:tr>
      <w:tr w14:paraId="58428A9A">
        <w:tblPrEx>
          <w:tblCellMar>
            <w:top w:w="0" w:type="dxa"/>
            <w:left w:w="108" w:type="dxa"/>
            <w:bottom w:w="0" w:type="dxa"/>
            <w:right w:w="108" w:type="dxa"/>
          </w:tblCellMar>
        </w:tblPrEx>
        <w:trPr>
          <w:trHeight w:val="285" w:hRule="atLeast"/>
        </w:trPr>
        <w:tc>
          <w:tcPr>
            <w:tcW w:w="2396" w:type="dxa"/>
            <w:tcBorders>
              <w:top w:val="single" w:color="000000" w:sz="4" w:space="0"/>
              <w:left w:val="single" w:color="000000" w:sz="4" w:space="0"/>
              <w:bottom w:val="single" w:color="000000" w:sz="4" w:space="0"/>
              <w:right w:val="single" w:color="000000" w:sz="4" w:space="0"/>
            </w:tcBorders>
            <w:noWrap w:val="0"/>
            <w:vAlign w:val="center"/>
          </w:tcPr>
          <w:p w14:paraId="4285F2D0">
            <w:pPr>
              <w:widowControl/>
              <w:jc w:val="left"/>
              <w:textAlignment w:val="center"/>
              <w:rPr>
                <w:color w:val="auto"/>
                <w:szCs w:val="21"/>
                <w:highlight w:val="none"/>
              </w:rPr>
            </w:pPr>
            <w:r>
              <w:rPr>
                <w:color w:val="auto"/>
                <w:szCs w:val="21"/>
                <w:highlight w:val="none"/>
                <w:lang w:bidi="ar"/>
              </w:rPr>
              <w:t>最大上升/下降速度</w:t>
            </w:r>
          </w:p>
        </w:tc>
        <w:tc>
          <w:tcPr>
            <w:tcW w:w="6890" w:type="dxa"/>
            <w:tcBorders>
              <w:top w:val="single" w:color="000000" w:sz="4" w:space="0"/>
              <w:left w:val="single" w:color="000000" w:sz="4" w:space="0"/>
              <w:bottom w:val="single" w:color="000000" w:sz="4" w:space="0"/>
              <w:right w:val="single" w:color="000000" w:sz="4" w:space="0"/>
            </w:tcBorders>
            <w:noWrap w:val="0"/>
            <w:vAlign w:val="center"/>
          </w:tcPr>
          <w:p w14:paraId="6B058219">
            <w:pPr>
              <w:rPr>
                <w:color w:val="auto"/>
                <w:szCs w:val="21"/>
                <w:highlight w:val="none"/>
              </w:rPr>
            </w:pPr>
            <w:r>
              <w:rPr>
                <w:color w:val="auto"/>
                <w:szCs w:val="21"/>
                <w:highlight w:val="none"/>
                <w:lang w:bidi="ar"/>
              </w:rPr>
              <w:t>≥6米/秒</w:t>
            </w:r>
          </w:p>
        </w:tc>
      </w:tr>
      <w:tr w14:paraId="5025CE2C">
        <w:tblPrEx>
          <w:tblCellMar>
            <w:top w:w="0" w:type="dxa"/>
            <w:left w:w="108" w:type="dxa"/>
            <w:bottom w:w="0" w:type="dxa"/>
            <w:right w:w="108" w:type="dxa"/>
          </w:tblCellMar>
        </w:tblPrEx>
        <w:trPr>
          <w:trHeight w:val="90" w:hRule="atLeast"/>
        </w:trPr>
        <w:tc>
          <w:tcPr>
            <w:tcW w:w="2396" w:type="dxa"/>
            <w:tcBorders>
              <w:top w:val="single" w:color="000000" w:sz="4" w:space="0"/>
              <w:left w:val="single" w:color="000000" w:sz="4" w:space="0"/>
              <w:bottom w:val="single" w:color="000000" w:sz="4" w:space="0"/>
              <w:right w:val="single" w:color="000000" w:sz="4" w:space="0"/>
            </w:tcBorders>
            <w:noWrap w:val="0"/>
            <w:vAlign w:val="center"/>
          </w:tcPr>
          <w:p w14:paraId="380A5AE1">
            <w:pPr>
              <w:widowControl/>
              <w:jc w:val="left"/>
              <w:textAlignment w:val="center"/>
              <w:rPr>
                <w:color w:val="auto"/>
                <w:szCs w:val="21"/>
                <w:highlight w:val="none"/>
              </w:rPr>
            </w:pPr>
            <w:r>
              <w:rPr>
                <w:color w:val="auto"/>
                <w:szCs w:val="21"/>
                <w:highlight w:val="none"/>
                <w:lang w:bidi="ar"/>
              </w:rPr>
              <w:t>最大水平飞行速度</w:t>
            </w:r>
          </w:p>
        </w:tc>
        <w:tc>
          <w:tcPr>
            <w:tcW w:w="6890" w:type="dxa"/>
            <w:tcBorders>
              <w:top w:val="single" w:color="000000" w:sz="4" w:space="0"/>
              <w:left w:val="single" w:color="000000" w:sz="4" w:space="0"/>
              <w:bottom w:val="single" w:color="000000" w:sz="4" w:space="0"/>
              <w:right w:val="single" w:color="000000" w:sz="4" w:space="0"/>
            </w:tcBorders>
            <w:noWrap w:val="0"/>
            <w:vAlign w:val="center"/>
          </w:tcPr>
          <w:p w14:paraId="240E86AD">
            <w:pPr>
              <w:widowControl/>
              <w:jc w:val="left"/>
              <w:textAlignment w:val="center"/>
              <w:rPr>
                <w:color w:val="auto"/>
                <w:szCs w:val="21"/>
                <w:highlight w:val="none"/>
              </w:rPr>
            </w:pPr>
            <w:r>
              <w:rPr>
                <w:color w:val="auto"/>
                <w:szCs w:val="21"/>
                <w:highlight w:val="none"/>
                <w:lang w:bidi="ar"/>
              </w:rPr>
              <w:t>≥15米/秒</w:t>
            </w:r>
          </w:p>
        </w:tc>
      </w:tr>
      <w:tr w14:paraId="5507B598">
        <w:tblPrEx>
          <w:tblCellMar>
            <w:top w:w="0" w:type="dxa"/>
            <w:left w:w="108" w:type="dxa"/>
            <w:bottom w:w="0" w:type="dxa"/>
            <w:right w:w="108" w:type="dxa"/>
          </w:tblCellMar>
        </w:tblPrEx>
        <w:trPr>
          <w:trHeight w:val="570" w:hRule="atLeast"/>
        </w:trPr>
        <w:tc>
          <w:tcPr>
            <w:tcW w:w="2396" w:type="dxa"/>
            <w:tcBorders>
              <w:top w:val="single" w:color="000000" w:sz="4" w:space="0"/>
              <w:left w:val="single" w:color="000000" w:sz="4" w:space="0"/>
              <w:bottom w:val="single" w:color="000000" w:sz="4" w:space="0"/>
              <w:right w:val="single" w:color="000000" w:sz="4" w:space="0"/>
            </w:tcBorders>
            <w:noWrap w:val="0"/>
            <w:vAlign w:val="center"/>
          </w:tcPr>
          <w:p w14:paraId="0B540072">
            <w:pPr>
              <w:widowControl/>
              <w:jc w:val="left"/>
              <w:textAlignment w:val="center"/>
              <w:rPr>
                <w:color w:val="auto"/>
                <w:szCs w:val="21"/>
                <w:highlight w:val="none"/>
              </w:rPr>
            </w:pPr>
            <w:r>
              <w:rPr>
                <w:color w:val="auto"/>
                <w:szCs w:val="21"/>
                <w:highlight w:val="none"/>
                <w:lang w:bidi="ar"/>
              </w:rPr>
              <w:t>最大可承受风速</w:t>
            </w:r>
          </w:p>
        </w:tc>
        <w:tc>
          <w:tcPr>
            <w:tcW w:w="6890" w:type="dxa"/>
            <w:tcBorders>
              <w:top w:val="single" w:color="000000" w:sz="4" w:space="0"/>
              <w:left w:val="single" w:color="000000" w:sz="4" w:space="0"/>
              <w:bottom w:val="single" w:color="000000" w:sz="4" w:space="0"/>
              <w:right w:val="single" w:color="000000" w:sz="4" w:space="0"/>
            </w:tcBorders>
            <w:noWrap w:val="0"/>
            <w:vAlign w:val="center"/>
          </w:tcPr>
          <w:p w14:paraId="3CFAD92A">
            <w:pPr>
              <w:widowControl/>
              <w:jc w:val="left"/>
              <w:textAlignment w:val="center"/>
              <w:rPr>
                <w:color w:val="auto"/>
                <w:szCs w:val="21"/>
                <w:highlight w:val="none"/>
              </w:rPr>
            </w:pPr>
            <w:r>
              <w:rPr>
                <w:color w:val="auto"/>
                <w:szCs w:val="21"/>
                <w:highlight w:val="none"/>
                <w:lang w:bidi="ar"/>
              </w:rPr>
              <w:t>抗风能力：≥8m/s；（5级）</w:t>
            </w:r>
          </w:p>
        </w:tc>
      </w:tr>
      <w:tr w14:paraId="5FEFAA93">
        <w:tblPrEx>
          <w:tblCellMar>
            <w:top w:w="0" w:type="dxa"/>
            <w:left w:w="108" w:type="dxa"/>
            <w:bottom w:w="0" w:type="dxa"/>
            <w:right w:w="108" w:type="dxa"/>
          </w:tblCellMar>
        </w:tblPrEx>
        <w:trPr>
          <w:trHeight w:val="285" w:hRule="atLeast"/>
        </w:trPr>
        <w:tc>
          <w:tcPr>
            <w:tcW w:w="2396" w:type="dxa"/>
            <w:tcBorders>
              <w:top w:val="single" w:color="000000" w:sz="4" w:space="0"/>
              <w:left w:val="single" w:color="000000" w:sz="4" w:space="0"/>
              <w:bottom w:val="single" w:color="000000" w:sz="4" w:space="0"/>
              <w:right w:val="single" w:color="000000" w:sz="4" w:space="0"/>
            </w:tcBorders>
            <w:noWrap w:val="0"/>
            <w:vAlign w:val="center"/>
          </w:tcPr>
          <w:p w14:paraId="1C5AAF70">
            <w:pPr>
              <w:widowControl/>
              <w:jc w:val="left"/>
              <w:textAlignment w:val="center"/>
              <w:rPr>
                <w:color w:val="auto"/>
                <w:szCs w:val="21"/>
                <w:highlight w:val="none"/>
              </w:rPr>
            </w:pPr>
            <w:r>
              <w:rPr>
                <w:color w:val="auto"/>
                <w:szCs w:val="21"/>
                <w:highlight w:val="none"/>
                <w:lang w:bidi="ar"/>
              </w:rPr>
              <w:t>最大飞行时间</w:t>
            </w:r>
          </w:p>
        </w:tc>
        <w:tc>
          <w:tcPr>
            <w:tcW w:w="6890" w:type="dxa"/>
            <w:tcBorders>
              <w:top w:val="single" w:color="000000" w:sz="4" w:space="0"/>
              <w:left w:val="single" w:color="000000" w:sz="4" w:space="0"/>
              <w:bottom w:val="single" w:color="000000" w:sz="4" w:space="0"/>
              <w:right w:val="single" w:color="000000" w:sz="4" w:space="0"/>
            </w:tcBorders>
            <w:noWrap w:val="0"/>
            <w:vAlign w:val="center"/>
          </w:tcPr>
          <w:p w14:paraId="02257CB6">
            <w:pPr>
              <w:widowControl/>
              <w:jc w:val="left"/>
              <w:textAlignment w:val="center"/>
              <w:rPr>
                <w:color w:val="auto"/>
                <w:szCs w:val="21"/>
                <w:highlight w:val="none"/>
              </w:rPr>
            </w:pPr>
            <w:r>
              <w:rPr>
                <w:color w:val="auto"/>
                <w:szCs w:val="21"/>
                <w:highlight w:val="none"/>
                <w:lang w:bidi="ar"/>
              </w:rPr>
              <w:t>≥45分钟</w:t>
            </w:r>
          </w:p>
        </w:tc>
      </w:tr>
      <w:tr w14:paraId="0AE3F072">
        <w:tblPrEx>
          <w:tblCellMar>
            <w:top w:w="0" w:type="dxa"/>
            <w:left w:w="108" w:type="dxa"/>
            <w:bottom w:w="0" w:type="dxa"/>
            <w:right w:w="108" w:type="dxa"/>
          </w:tblCellMar>
        </w:tblPrEx>
        <w:trPr>
          <w:trHeight w:val="349" w:hRule="atLeast"/>
        </w:trPr>
        <w:tc>
          <w:tcPr>
            <w:tcW w:w="2396" w:type="dxa"/>
            <w:tcBorders>
              <w:top w:val="single" w:color="000000" w:sz="4" w:space="0"/>
              <w:left w:val="single" w:color="000000" w:sz="4" w:space="0"/>
              <w:bottom w:val="single" w:color="000000" w:sz="4" w:space="0"/>
              <w:right w:val="single" w:color="000000" w:sz="4" w:space="0"/>
            </w:tcBorders>
            <w:noWrap w:val="0"/>
            <w:vAlign w:val="center"/>
          </w:tcPr>
          <w:p w14:paraId="40CAC81C">
            <w:pPr>
              <w:widowControl/>
              <w:jc w:val="left"/>
              <w:textAlignment w:val="center"/>
              <w:rPr>
                <w:color w:val="auto"/>
                <w:szCs w:val="21"/>
                <w:highlight w:val="none"/>
              </w:rPr>
            </w:pPr>
            <w:r>
              <w:rPr>
                <w:color w:val="auto"/>
                <w:szCs w:val="21"/>
                <w:highlight w:val="none"/>
                <w:lang w:bidi="ar"/>
              </w:rPr>
              <w:t>IP防护等级</w:t>
            </w:r>
          </w:p>
        </w:tc>
        <w:tc>
          <w:tcPr>
            <w:tcW w:w="6890" w:type="dxa"/>
            <w:tcBorders>
              <w:top w:val="single" w:color="000000" w:sz="4" w:space="0"/>
              <w:left w:val="single" w:color="000000" w:sz="4" w:space="0"/>
              <w:bottom w:val="single" w:color="000000" w:sz="4" w:space="0"/>
              <w:right w:val="single" w:color="000000" w:sz="4" w:space="0"/>
            </w:tcBorders>
            <w:noWrap w:val="0"/>
            <w:vAlign w:val="center"/>
          </w:tcPr>
          <w:p w14:paraId="1C80EF07">
            <w:pPr>
              <w:widowControl/>
              <w:jc w:val="left"/>
              <w:textAlignment w:val="center"/>
              <w:rPr>
                <w:color w:val="auto"/>
                <w:szCs w:val="21"/>
                <w:highlight w:val="none"/>
              </w:rPr>
            </w:pPr>
            <w:r>
              <w:rPr>
                <w:color w:val="auto"/>
                <w:szCs w:val="21"/>
                <w:highlight w:val="none"/>
                <w:lang w:bidi="ar"/>
              </w:rPr>
              <w:t>≥IP54</w:t>
            </w:r>
          </w:p>
        </w:tc>
      </w:tr>
      <w:tr w14:paraId="18C2EBD3">
        <w:tblPrEx>
          <w:tblCellMar>
            <w:top w:w="0" w:type="dxa"/>
            <w:left w:w="108" w:type="dxa"/>
            <w:bottom w:w="0" w:type="dxa"/>
            <w:right w:w="108" w:type="dxa"/>
          </w:tblCellMar>
        </w:tblPrEx>
        <w:trPr>
          <w:trHeight w:val="285" w:hRule="atLeast"/>
        </w:trPr>
        <w:tc>
          <w:tcPr>
            <w:tcW w:w="2396" w:type="dxa"/>
            <w:tcBorders>
              <w:top w:val="single" w:color="000000" w:sz="4" w:space="0"/>
              <w:left w:val="single" w:color="000000" w:sz="4" w:space="0"/>
              <w:bottom w:val="single" w:color="000000" w:sz="4" w:space="0"/>
              <w:right w:val="single" w:color="000000" w:sz="4" w:space="0"/>
            </w:tcBorders>
            <w:noWrap w:val="0"/>
            <w:vAlign w:val="center"/>
          </w:tcPr>
          <w:p w14:paraId="62B6F026">
            <w:pPr>
              <w:widowControl/>
              <w:jc w:val="left"/>
              <w:textAlignment w:val="center"/>
              <w:rPr>
                <w:color w:val="auto"/>
                <w:szCs w:val="21"/>
                <w:highlight w:val="none"/>
              </w:rPr>
            </w:pPr>
            <w:r>
              <w:rPr>
                <w:color w:val="auto"/>
                <w:szCs w:val="21"/>
                <w:highlight w:val="none"/>
                <w:lang w:bidi="ar"/>
              </w:rPr>
              <w:t>GNSS</w:t>
            </w:r>
          </w:p>
        </w:tc>
        <w:tc>
          <w:tcPr>
            <w:tcW w:w="6890" w:type="dxa"/>
            <w:tcBorders>
              <w:top w:val="single" w:color="000000" w:sz="4" w:space="0"/>
              <w:left w:val="single" w:color="000000" w:sz="4" w:space="0"/>
              <w:bottom w:val="single" w:color="000000" w:sz="4" w:space="0"/>
              <w:right w:val="single" w:color="000000" w:sz="4" w:space="0"/>
            </w:tcBorders>
            <w:noWrap w:val="0"/>
            <w:vAlign w:val="center"/>
          </w:tcPr>
          <w:p w14:paraId="1067C443">
            <w:pPr>
              <w:widowControl/>
              <w:jc w:val="left"/>
              <w:textAlignment w:val="center"/>
              <w:rPr>
                <w:color w:val="auto"/>
                <w:szCs w:val="21"/>
                <w:highlight w:val="none"/>
              </w:rPr>
            </w:pPr>
            <w:r>
              <w:rPr>
                <w:color w:val="auto"/>
                <w:szCs w:val="21"/>
                <w:highlight w:val="none"/>
                <w:lang w:bidi="ar"/>
              </w:rPr>
              <w:t>GPS+Galileo+BeiDou+GLONASS，支持单北斗定位导航</w:t>
            </w:r>
          </w:p>
        </w:tc>
      </w:tr>
      <w:tr w14:paraId="3B8D9C17">
        <w:tblPrEx>
          <w:tblCellMar>
            <w:top w:w="0" w:type="dxa"/>
            <w:left w:w="108" w:type="dxa"/>
            <w:bottom w:w="0" w:type="dxa"/>
            <w:right w:w="108" w:type="dxa"/>
          </w:tblCellMar>
        </w:tblPrEx>
        <w:trPr>
          <w:trHeight w:val="285" w:hRule="atLeast"/>
        </w:trPr>
        <w:tc>
          <w:tcPr>
            <w:tcW w:w="9286" w:type="dxa"/>
            <w:gridSpan w:val="2"/>
            <w:tcBorders>
              <w:top w:val="single" w:color="000000" w:sz="4" w:space="0"/>
              <w:left w:val="single" w:color="000000" w:sz="4" w:space="0"/>
              <w:bottom w:val="single" w:color="000000" w:sz="4" w:space="0"/>
              <w:right w:val="single" w:color="000000" w:sz="4" w:space="0"/>
            </w:tcBorders>
            <w:noWrap w:val="0"/>
            <w:vAlign w:val="center"/>
          </w:tcPr>
          <w:p w14:paraId="63A24FE7">
            <w:pPr>
              <w:widowControl/>
              <w:jc w:val="left"/>
              <w:textAlignment w:val="center"/>
              <w:rPr>
                <w:color w:val="auto"/>
                <w:szCs w:val="21"/>
                <w:highlight w:val="none"/>
              </w:rPr>
            </w:pPr>
            <w:r>
              <w:rPr>
                <w:color w:val="auto"/>
                <w:szCs w:val="21"/>
                <w:highlight w:val="none"/>
                <w:lang w:bidi="ar"/>
              </w:rPr>
              <w:t>摄像系统关键参数要求</w:t>
            </w:r>
          </w:p>
        </w:tc>
      </w:tr>
      <w:tr w14:paraId="19D0BEB2">
        <w:tblPrEx>
          <w:tblCellMar>
            <w:top w:w="0" w:type="dxa"/>
            <w:left w:w="108" w:type="dxa"/>
            <w:bottom w:w="0" w:type="dxa"/>
            <w:right w:w="108" w:type="dxa"/>
          </w:tblCellMar>
        </w:tblPrEx>
        <w:trPr>
          <w:trHeight w:val="855" w:hRule="atLeast"/>
        </w:trPr>
        <w:tc>
          <w:tcPr>
            <w:tcW w:w="2396" w:type="dxa"/>
            <w:tcBorders>
              <w:top w:val="single" w:color="000000" w:sz="4" w:space="0"/>
              <w:left w:val="single" w:color="000000" w:sz="4" w:space="0"/>
              <w:bottom w:val="single" w:color="000000" w:sz="4" w:space="0"/>
              <w:right w:val="single" w:color="000000" w:sz="4" w:space="0"/>
            </w:tcBorders>
            <w:noWrap w:val="0"/>
            <w:vAlign w:val="center"/>
          </w:tcPr>
          <w:p w14:paraId="313E77FE">
            <w:pPr>
              <w:widowControl/>
              <w:jc w:val="left"/>
              <w:textAlignment w:val="center"/>
              <w:rPr>
                <w:color w:val="auto"/>
                <w:szCs w:val="21"/>
                <w:highlight w:val="none"/>
              </w:rPr>
            </w:pPr>
            <w:r>
              <w:rPr>
                <w:color w:val="auto"/>
                <w:szCs w:val="21"/>
                <w:highlight w:val="none"/>
                <w:lang w:bidi="ar"/>
              </w:rPr>
              <w:t>摄像系统</w:t>
            </w:r>
          </w:p>
        </w:tc>
        <w:tc>
          <w:tcPr>
            <w:tcW w:w="6890" w:type="dxa"/>
            <w:tcBorders>
              <w:top w:val="single" w:color="000000" w:sz="4" w:space="0"/>
              <w:left w:val="single" w:color="000000" w:sz="4" w:space="0"/>
              <w:bottom w:val="single" w:color="000000" w:sz="4" w:space="0"/>
              <w:right w:val="single" w:color="000000" w:sz="4" w:space="0"/>
            </w:tcBorders>
            <w:noWrap w:val="0"/>
            <w:vAlign w:val="center"/>
          </w:tcPr>
          <w:p w14:paraId="78F9E7F9">
            <w:pPr>
              <w:widowControl/>
              <w:jc w:val="left"/>
              <w:textAlignment w:val="center"/>
              <w:rPr>
                <w:color w:val="auto"/>
                <w:szCs w:val="21"/>
                <w:highlight w:val="none"/>
              </w:rPr>
            </w:pPr>
            <w:r>
              <w:rPr>
                <w:color w:val="auto"/>
                <w:szCs w:val="21"/>
                <w:highlight w:val="none"/>
                <w:lang w:bidi="ar"/>
              </w:rPr>
              <w:t>采用与飞行器高度集成多合一传感镜头的三轴增稳混合云台相机，同时具备可见光、红外图像采集，定位测算用的激光测距，输出照片格式为JPEG、视频格式为MP4。</w:t>
            </w:r>
          </w:p>
        </w:tc>
      </w:tr>
      <w:tr w14:paraId="1A30B727">
        <w:tblPrEx>
          <w:tblCellMar>
            <w:top w:w="0" w:type="dxa"/>
            <w:left w:w="108" w:type="dxa"/>
            <w:bottom w:w="0" w:type="dxa"/>
            <w:right w:w="108" w:type="dxa"/>
          </w:tblCellMar>
        </w:tblPrEx>
        <w:trPr>
          <w:trHeight w:val="285" w:hRule="atLeast"/>
        </w:trPr>
        <w:tc>
          <w:tcPr>
            <w:tcW w:w="2396" w:type="dxa"/>
            <w:tcBorders>
              <w:top w:val="single" w:color="000000" w:sz="4" w:space="0"/>
              <w:left w:val="single" w:color="000000" w:sz="4" w:space="0"/>
              <w:bottom w:val="single" w:color="000000" w:sz="4" w:space="0"/>
              <w:right w:val="single" w:color="000000" w:sz="4" w:space="0"/>
            </w:tcBorders>
            <w:noWrap w:val="0"/>
            <w:vAlign w:val="center"/>
          </w:tcPr>
          <w:p w14:paraId="3A76EE7C">
            <w:pPr>
              <w:widowControl/>
              <w:jc w:val="left"/>
              <w:textAlignment w:val="center"/>
              <w:rPr>
                <w:color w:val="auto"/>
                <w:szCs w:val="21"/>
                <w:highlight w:val="none"/>
              </w:rPr>
            </w:pPr>
            <w:r>
              <w:rPr>
                <w:color w:val="auto"/>
                <w:szCs w:val="21"/>
                <w:highlight w:val="none"/>
                <w:lang w:bidi="ar"/>
              </w:rPr>
              <w:t>云台关键参数</w:t>
            </w:r>
          </w:p>
        </w:tc>
        <w:tc>
          <w:tcPr>
            <w:tcW w:w="6890" w:type="dxa"/>
            <w:tcBorders>
              <w:top w:val="single" w:color="000000" w:sz="4" w:space="0"/>
              <w:left w:val="single" w:color="000000" w:sz="4" w:space="0"/>
              <w:bottom w:val="single" w:color="000000" w:sz="4" w:space="0"/>
              <w:right w:val="single" w:color="000000" w:sz="4" w:space="0"/>
            </w:tcBorders>
            <w:noWrap w:val="0"/>
            <w:vAlign w:val="center"/>
          </w:tcPr>
          <w:p w14:paraId="1AB5F1AA">
            <w:pPr>
              <w:widowControl/>
              <w:jc w:val="left"/>
              <w:textAlignment w:val="center"/>
              <w:rPr>
                <w:color w:val="auto"/>
                <w:szCs w:val="21"/>
                <w:highlight w:val="none"/>
              </w:rPr>
            </w:pPr>
            <w:r>
              <w:rPr>
                <w:color w:val="auto"/>
                <w:szCs w:val="21"/>
                <w:highlight w:val="none"/>
                <w:lang w:bidi="ar"/>
              </w:rPr>
              <w:t>角度抖动量：≤±0.01°</w:t>
            </w:r>
          </w:p>
          <w:p w14:paraId="15507ED6">
            <w:pPr>
              <w:widowControl/>
              <w:jc w:val="left"/>
              <w:textAlignment w:val="center"/>
              <w:rPr>
                <w:color w:val="auto"/>
                <w:szCs w:val="21"/>
                <w:highlight w:val="none"/>
              </w:rPr>
            </w:pPr>
            <w:r>
              <w:rPr>
                <w:color w:val="auto"/>
                <w:szCs w:val="21"/>
                <w:highlight w:val="none"/>
                <w:lang w:bidi="ar"/>
              </w:rPr>
              <w:t>可控转动范围：俯仰：-90°至+35°</w:t>
            </w:r>
          </w:p>
        </w:tc>
      </w:tr>
      <w:tr w14:paraId="042914C7">
        <w:tblPrEx>
          <w:tblCellMar>
            <w:top w:w="0" w:type="dxa"/>
            <w:left w:w="108" w:type="dxa"/>
            <w:bottom w:w="0" w:type="dxa"/>
            <w:right w:w="108" w:type="dxa"/>
          </w:tblCellMar>
        </w:tblPrEx>
        <w:trPr>
          <w:trHeight w:val="285" w:hRule="atLeast"/>
        </w:trPr>
        <w:tc>
          <w:tcPr>
            <w:tcW w:w="2396" w:type="dxa"/>
            <w:tcBorders>
              <w:top w:val="single" w:color="000000" w:sz="4" w:space="0"/>
              <w:left w:val="single" w:color="000000" w:sz="4" w:space="0"/>
              <w:bottom w:val="single" w:color="000000" w:sz="4" w:space="0"/>
              <w:right w:val="single" w:color="000000" w:sz="4" w:space="0"/>
            </w:tcBorders>
            <w:noWrap w:val="0"/>
            <w:vAlign w:val="center"/>
          </w:tcPr>
          <w:p w14:paraId="6F3E8114">
            <w:pPr>
              <w:widowControl/>
              <w:jc w:val="left"/>
              <w:textAlignment w:val="center"/>
              <w:rPr>
                <w:color w:val="auto"/>
                <w:szCs w:val="21"/>
                <w:highlight w:val="none"/>
              </w:rPr>
            </w:pPr>
            <w:r>
              <w:rPr>
                <w:color w:val="auto"/>
                <w:szCs w:val="21"/>
                <w:highlight w:val="none"/>
                <w:lang w:bidi="ar"/>
              </w:rPr>
              <w:t>可见光镜头要求</w:t>
            </w:r>
          </w:p>
        </w:tc>
        <w:tc>
          <w:tcPr>
            <w:tcW w:w="6890" w:type="dxa"/>
            <w:tcBorders>
              <w:top w:val="single" w:color="000000" w:sz="4" w:space="0"/>
              <w:left w:val="single" w:color="000000" w:sz="4" w:space="0"/>
              <w:bottom w:val="single" w:color="000000" w:sz="4" w:space="0"/>
              <w:right w:val="single" w:color="000000" w:sz="4" w:space="0"/>
            </w:tcBorders>
            <w:noWrap w:val="0"/>
            <w:vAlign w:val="center"/>
          </w:tcPr>
          <w:p w14:paraId="2FC55087">
            <w:pPr>
              <w:widowControl/>
              <w:jc w:val="left"/>
              <w:textAlignment w:val="center"/>
              <w:rPr>
                <w:color w:val="auto"/>
                <w:szCs w:val="21"/>
                <w:highlight w:val="none"/>
              </w:rPr>
            </w:pPr>
            <w:r>
              <w:rPr>
                <w:color w:val="auto"/>
                <w:szCs w:val="21"/>
                <w:highlight w:val="none"/>
                <w:lang w:bidi="ar"/>
              </w:rPr>
              <w:t>长焦相机：不低于1/2英寸CMOS，有效像素≥1200万；</w:t>
            </w:r>
          </w:p>
          <w:p w14:paraId="32C40663">
            <w:pPr>
              <w:widowControl/>
              <w:jc w:val="left"/>
              <w:textAlignment w:val="center"/>
              <w:rPr>
                <w:color w:val="auto"/>
                <w:szCs w:val="21"/>
                <w:highlight w:val="none"/>
              </w:rPr>
            </w:pPr>
            <w:r>
              <w:rPr>
                <w:color w:val="auto"/>
                <w:szCs w:val="21"/>
                <w:highlight w:val="none"/>
                <w:lang w:bidi="ar"/>
              </w:rPr>
              <w:t>广角相机：不低于1/1.32英寸 CMOS，有效像素≥2000万；</w:t>
            </w:r>
          </w:p>
        </w:tc>
      </w:tr>
      <w:tr w14:paraId="31CFC6EB">
        <w:tblPrEx>
          <w:tblCellMar>
            <w:top w:w="0" w:type="dxa"/>
            <w:left w:w="108" w:type="dxa"/>
            <w:bottom w:w="0" w:type="dxa"/>
            <w:right w:w="108" w:type="dxa"/>
          </w:tblCellMar>
        </w:tblPrEx>
        <w:trPr>
          <w:trHeight w:val="570" w:hRule="atLeast"/>
        </w:trPr>
        <w:tc>
          <w:tcPr>
            <w:tcW w:w="2396" w:type="dxa"/>
            <w:tcBorders>
              <w:top w:val="single" w:color="000000" w:sz="4" w:space="0"/>
              <w:left w:val="single" w:color="000000" w:sz="4" w:space="0"/>
              <w:bottom w:val="single" w:color="000000" w:sz="4" w:space="0"/>
              <w:right w:val="single" w:color="000000" w:sz="4" w:space="0"/>
            </w:tcBorders>
            <w:noWrap w:val="0"/>
            <w:vAlign w:val="center"/>
          </w:tcPr>
          <w:p w14:paraId="4D5530E9">
            <w:pPr>
              <w:widowControl/>
              <w:jc w:val="left"/>
              <w:textAlignment w:val="center"/>
              <w:rPr>
                <w:color w:val="auto"/>
                <w:szCs w:val="21"/>
                <w:highlight w:val="none"/>
              </w:rPr>
            </w:pPr>
            <w:r>
              <w:rPr>
                <w:color w:val="auto"/>
                <w:szCs w:val="21"/>
                <w:highlight w:val="none"/>
                <w:lang w:bidi="ar"/>
              </w:rPr>
              <w:t>红外镜头要求</w:t>
            </w:r>
          </w:p>
        </w:tc>
        <w:tc>
          <w:tcPr>
            <w:tcW w:w="6890" w:type="dxa"/>
            <w:tcBorders>
              <w:top w:val="single" w:color="000000" w:sz="4" w:space="0"/>
              <w:left w:val="single" w:color="000000" w:sz="4" w:space="0"/>
              <w:bottom w:val="single" w:color="000000" w:sz="4" w:space="0"/>
              <w:right w:val="single" w:color="000000" w:sz="4" w:space="0"/>
            </w:tcBorders>
            <w:noWrap w:val="0"/>
            <w:vAlign w:val="center"/>
          </w:tcPr>
          <w:p w14:paraId="318EEDD5">
            <w:pPr>
              <w:widowControl/>
              <w:jc w:val="left"/>
              <w:textAlignment w:val="center"/>
              <w:rPr>
                <w:color w:val="auto"/>
                <w:szCs w:val="21"/>
                <w:highlight w:val="none"/>
              </w:rPr>
            </w:pPr>
            <w:r>
              <w:rPr>
                <w:color w:val="auto"/>
                <w:szCs w:val="21"/>
                <w:highlight w:val="none"/>
                <w:lang w:bidi="ar"/>
              </w:rPr>
              <w:t>镜头：非制冷微波（VOX）红外成像传感器,焦距：9.1mm(等效焦距)或40mm;</w:t>
            </w:r>
          </w:p>
          <w:p w14:paraId="7ABA039E">
            <w:pPr>
              <w:widowControl/>
              <w:jc w:val="left"/>
              <w:textAlignment w:val="center"/>
              <w:rPr>
                <w:color w:val="auto"/>
                <w:szCs w:val="21"/>
                <w:highlight w:val="none"/>
              </w:rPr>
            </w:pPr>
            <w:r>
              <w:rPr>
                <w:color w:val="auto"/>
                <w:szCs w:val="21"/>
                <w:highlight w:val="none"/>
                <w:lang w:bidi="ar"/>
              </w:rPr>
              <w:t>功能：红外测温精度：±2°或±2%，取较大值；测温方式：点测温、区域测温；</w:t>
            </w:r>
          </w:p>
        </w:tc>
      </w:tr>
      <w:tr w14:paraId="367505BD">
        <w:tblPrEx>
          <w:tblCellMar>
            <w:top w:w="0" w:type="dxa"/>
            <w:left w:w="108" w:type="dxa"/>
            <w:bottom w:w="0" w:type="dxa"/>
            <w:right w:w="108" w:type="dxa"/>
          </w:tblCellMar>
        </w:tblPrEx>
        <w:trPr>
          <w:trHeight w:val="285" w:hRule="atLeast"/>
        </w:trPr>
        <w:tc>
          <w:tcPr>
            <w:tcW w:w="2396" w:type="dxa"/>
            <w:tcBorders>
              <w:top w:val="single" w:color="000000" w:sz="4" w:space="0"/>
              <w:left w:val="single" w:color="000000" w:sz="4" w:space="0"/>
              <w:bottom w:val="single" w:color="000000" w:sz="4" w:space="0"/>
              <w:right w:val="single" w:color="000000" w:sz="4" w:space="0"/>
            </w:tcBorders>
            <w:noWrap w:val="0"/>
            <w:vAlign w:val="center"/>
          </w:tcPr>
          <w:p w14:paraId="52040254">
            <w:pPr>
              <w:widowControl/>
              <w:jc w:val="left"/>
              <w:textAlignment w:val="center"/>
              <w:rPr>
                <w:color w:val="auto"/>
                <w:szCs w:val="21"/>
                <w:highlight w:val="none"/>
              </w:rPr>
            </w:pPr>
            <w:r>
              <w:rPr>
                <w:color w:val="auto"/>
                <w:szCs w:val="21"/>
                <w:highlight w:val="none"/>
                <w:lang w:bidi="ar"/>
              </w:rPr>
              <w:t>激光测距要求</w:t>
            </w:r>
          </w:p>
        </w:tc>
        <w:tc>
          <w:tcPr>
            <w:tcW w:w="6890" w:type="dxa"/>
            <w:tcBorders>
              <w:top w:val="single" w:color="000000" w:sz="4" w:space="0"/>
              <w:left w:val="single" w:color="000000" w:sz="4" w:space="0"/>
              <w:bottom w:val="single" w:color="000000" w:sz="4" w:space="0"/>
              <w:right w:val="single" w:color="000000" w:sz="4" w:space="0"/>
            </w:tcBorders>
            <w:noWrap w:val="0"/>
            <w:vAlign w:val="center"/>
          </w:tcPr>
          <w:p w14:paraId="05047F54">
            <w:pPr>
              <w:widowControl/>
              <w:jc w:val="left"/>
              <w:textAlignment w:val="center"/>
              <w:rPr>
                <w:color w:val="auto"/>
                <w:szCs w:val="21"/>
                <w:highlight w:val="none"/>
              </w:rPr>
            </w:pPr>
            <w:r>
              <w:rPr>
                <w:color w:val="auto"/>
                <w:szCs w:val="21"/>
                <w:highlight w:val="none"/>
                <w:lang w:bidi="ar"/>
              </w:rPr>
              <w:t>±(0.2m+D×0.15%)，其中D表示与垂直反射面之间的距离；3-1200m(0.5×12m、20%反射率的垂直反射面)。</w:t>
            </w:r>
          </w:p>
        </w:tc>
      </w:tr>
      <w:tr w14:paraId="036865B0">
        <w:tblPrEx>
          <w:tblCellMar>
            <w:top w:w="0" w:type="dxa"/>
            <w:left w:w="108" w:type="dxa"/>
            <w:bottom w:w="0" w:type="dxa"/>
            <w:right w:w="108" w:type="dxa"/>
          </w:tblCellMar>
        </w:tblPrEx>
        <w:trPr>
          <w:trHeight w:val="285" w:hRule="atLeast"/>
        </w:trPr>
        <w:tc>
          <w:tcPr>
            <w:tcW w:w="9286" w:type="dxa"/>
            <w:gridSpan w:val="2"/>
            <w:tcBorders>
              <w:top w:val="single" w:color="000000" w:sz="4" w:space="0"/>
              <w:left w:val="single" w:color="000000" w:sz="4" w:space="0"/>
              <w:bottom w:val="single" w:color="000000" w:sz="4" w:space="0"/>
              <w:right w:val="single" w:color="000000" w:sz="4" w:space="0"/>
            </w:tcBorders>
            <w:noWrap w:val="0"/>
            <w:vAlign w:val="center"/>
          </w:tcPr>
          <w:p w14:paraId="25C1B91A">
            <w:pPr>
              <w:widowControl/>
              <w:jc w:val="left"/>
              <w:textAlignment w:val="center"/>
              <w:rPr>
                <w:color w:val="auto"/>
                <w:szCs w:val="21"/>
                <w:highlight w:val="none"/>
              </w:rPr>
            </w:pPr>
            <w:r>
              <w:rPr>
                <w:color w:val="auto"/>
                <w:szCs w:val="21"/>
                <w:highlight w:val="none"/>
                <w:lang w:bidi="ar"/>
              </w:rPr>
              <w:t>安全功能关键参数要求</w:t>
            </w:r>
          </w:p>
        </w:tc>
      </w:tr>
      <w:tr w14:paraId="6D6DBBD3">
        <w:tblPrEx>
          <w:tblCellMar>
            <w:top w:w="0" w:type="dxa"/>
            <w:left w:w="108" w:type="dxa"/>
            <w:bottom w:w="0" w:type="dxa"/>
            <w:right w:w="108" w:type="dxa"/>
          </w:tblCellMar>
        </w:tblPrEx>
        <w:trPr>
          <w:trHeight w:val="124" w:hRule="atLeast"/>
        </w:trPr>
        <w:tc>
          <w:tcPr>
            <w:tcW w:w="2396" w:type="dxa"/>
            <w:tcBorders>
              <w:top w:val="single" w:color="000000" w:sz="4" w:space="0"/>
              <w:left w:val="single" w:color="000000" w:sz="4" w:space="0"/>
              <w:bottom w:val="single" w:color="000000" w:sz="4" w:space="0"/>
              <w:right w:val="single" w:color="000000" w:sz="4" w:space="0"/>
            </w:tcBorders>
            <w:noWrap w:val="0"/>
            <w:vAlign w:val="center"/>
          </w:tcPr>
          <w:p w14:paraId="128B5024">
            <w:pPr>
              <w:widowControl/>
              <w:jc w:val="left"/>
              <w:textAlignment w:val="center"/>
              <w:rPr>
                <w:color w:val="auto"/>
                <w:szCs w:val="21"/>
                <w:highlight w:val="none"/>
              </w:rPr>
            </w:pPr>
            <w:r>
              <w:rPr>
                <w:color w:val="auto"/>
                <w:szCs w:val="21"/>
                <w:highlight w:val="none"/>
                <w:lang w:bidi="ar"/>
              </w:rPr>
              <w:t>自动返航</w:t>
            </w:r>
          </w:p>
        </w:tc>
        <w:tc>
          <w:tcPr>
            <w:tcW w:w="6890" w:type="dxa"/>
            <w:tcBorders>
              <w:top w:val="single" w:color="000000" w:sz="4" w:space="0"/>
              <w:left w:val="single" w:color="000000" w:sz="4" w:space="0"/>
              <w:bottom w:val="single" w:color="000000" w:sz="4" w:space="0"/>
              <w:right w:val="single" w:color="000000" w:sz="4" w:space="0"/>
            </w:tcBorders>
            <w:noWrap w:val="0"/>
            <w:vAlign w:val="center"/>
          </w:tcPr>
          <w:p w14:paraId="263E0E32">
            <w:pPr>
              <w:widowControl/>
              <w:jc w:val="left"/>
              <w:textAlignment w:val="center"/>
              <w:rPr>
                <w:color w:val="auto"/>
                <w:szCs w:val="21"/>
                <w:highlight w:val="none"/>
              </w:rPr>
            </w:pPr>
            <w:r>
              <w:rPr>
                <w:color w:val="auto"/>
                <w:szCs w:val="21"/>
                <w:highlight w:val="none"/>
                <w:lang w:bidi="ar"/>
              </w:rPr>
              <w:t>具备在低电量、任务中断等紧急状况下的自动返航。</w:t>
            </w:r>
          </w:p>
        </w:tc>
      </w:tr>
      <w:tr w14:paraId="3F43BEDE">
        <w:tblPrEx>
          <w:tblCellMar>
            <w:top w:w="0" w:type="dxa"/>
            <w:left w:w="108" w:type="dxa"/>
            <w:bottom w:w="0" w:type="dxa"/>
            <w:right w:w="108" w:type="dxa"/>
          </w:tblCellMar>
        </w:tblPrEx>
        <w:trPr>
          <w:trHeight w:val="285" w:hRule="atLeast"/>
        </w:trPr>
        <w:tc>
          <w:tcPr>
            <w:tcW w:w="2396" w:type="dxa"/>
            <w:tcBorders>
              <w:top w:val="single" w:color="000000" w:sz="4" w:space="0"/>
              <w:left w:val="single" w:color="000000" w:sz="4" w:space="0"/>
              <w:bottom w:val="single" w:color="000000" w:sz="4" w:space="0"/>
              <w:right w:val="single" w:color="000000" w:sz="4" w:space="0"/>
            </w:tcBorders>
            <w:noWrap w:val="0"/>
            <w:vAlign w:val="center"/>
          </w:tcPr>
          <w:p w14:paraId="5201E749">
            <w:pPr>
              <w:widowControl/>
              <w:jc w:val="left"/>
              <w:textAlignment w:val="center"/>
              <w:rPr>
                <w:color w:val="auto"/>
                <w:szCs w:val="21"/>
                <w:highlight w:val="none"/>
              </w:rPr>
            </w:pPr>
            <w:r>
              <w:rPr>
                <w:color w:val="auto"/>
                <w:szCs w:val="21"/>
                <w:highlight w:val="none"/>
                <w:lang w:bidi="ar"/>
              </w:rPr>
              <w:t>区域限制</w:t>
            </w:r>
          </w:p>
        </w:tc>
        <w:tc>
          <w:tcPr>
            <w:tcW w:w="6890" w:type="dxa"/>
            <w:tcBorders>
              <w:top w:val="single" w:color="000000" w:sz="4" w:space="0"/>
              <w:left w:val="single" w:color="000000" w:sz="4" w:space="0"/>
              <w:bottom w:val="single" w:color="000000" w:sz="4" w:space="0"/>
              <w:right w:val="single" w:color="000000" w:sz="4" w:space="0"/>
            </w:tcBorders>
            <w:noWrap w:val="0"/>
            <w:vAlign w:val="center"/>
          </w:tcPr>
          <w:p w14:paraId="365C7C7F">
            <w:pPr>
              <w:widowControl/>
              <w:jc w:val="left"/>
              <w:textAlignment w:val="center"/>
              <w:rPr>
                <w:color w:val="auto"/>
                <w:szCs w:val="21"/>
                <w:highlight w:val="none"/>
              </w:rPr>
            </w:pPr>
            <w:r>
              <w:rPr>
                <w:color w:val="auto"/>
                <w:szCs w:val="21"/>
                <w:highlight w:val="none"/>
                <w:lang w:bidi="ar"/>
              </w:rPr>
              <w:t>具备限制飞行区域/电子围栏功能。</w:t>
            </w:r>
          </w:p>
        </w:tc>
      </w:tr>
      <w:tr w14:paraId="0228FAE8">
        <w:tblPrEx>
          <w:tblCellMar>
            <w:top w:w="0" w:type="dxa"/>
            <w:left w:w="108" w:type="dxa"/>
            <w:bottom w:w="0" w:type="dxa"/>
            <w:right w:w="108" w:type="dxa"/>
          </w:tblCellMar>
        </w:tblPrEx>
        <w:trPr>
          <w:trHeight w:val="285" w:hRule="atLeast"/>
        </w:trPr>
        <w:tc>
          <w:tcPr>
            <w:tcW w:w="2396" w:type="dxa"/>
            <w:tcBorders>
              <w:top w:val="single" w:color="000000" w:sz="4" w:space="0"/>
              <w:left w:val="single" w:color="000000" w:sz="4" w:space="0"/>
              <w:bottom w:val="single" w:color="000000" w:sz="4" w:space="0"/>
              <w:right w:val="single" w:color="000000" w:sz="4" w:space="0"/>
            </w:tcBorders>
            <w:noWrap w:val="0"/>
            <w:vAlign w:val="center"/>
          </w:tcPr>
          <w:p w14:paraId="44BAA12D">
            <w:pPr>
              <w:widowControl/>
              <w:jc w:val="left"/>
              <w:textAlignment w:val="center"/>
              <w:rPr>
                <w:color w:val="auto"/>
                <w:szCs w:val="21"/>
                <w:highlight w:val="none"/>
              </w:rPr>
            </w:pPr>
            <w:r>
              <w:rPr>
                <w:color w:val="auto"/>
                <w:szCs w:val="21"/>
                <w:highlight w:val="none"/>
                <w:lang w:bidi="ar"/>
              </w:rPr>
              <w:t>异常告警和记录</w:t>
            </w:r>
          </w:p>
        </w:tc>
        <w:tc>
          <w:tcPr>
            <w:tcW w:w="6890" w:type="dxa"/>
            <w:tcBorders>
              <w:top w:val="single" w:color="000000" w:sz="4" w:space="0"/>
              <w:left w:val="single" w:color="000000" w:sz="4" w:space="0"/>
              <w:bottom w:val="single" w:color="000000" w:sz="4" w:space="0"/>
              <w:right w:val="single" w:color="000000" w:sz="4" w:space="0"/>
            </w:tcBorders>
            <w:noWrap w:val="0"/>
            <w:vAlign w:val="center"/>
          </w:tcPr>
          <w:p w14:paraId="4FF75930">
            <w:pPr>
              <w:widowControl/>
              <w:jc w:val="left"/>
              <w:textAlignment w:val="center"/>
              <w:rPr>
                <w:color w:val="auto"/>
                <w:szCs w:val="21"/>
                <w:highlight w:val="none"/>
              </w:rPr>
            </w:pPr>
            <w:r>
              <w:rPr>
                <w:color w:val="auto"/>
                <w:szCs w:val="21"/>
                <w:highlight w:val="none"/>
                <w:lang w:bidi="ar"/>
              </w:rPr>
              <w:t>具备异常情况报警和记录功能，包含但不限于动力故障、传感器故障、任务设备故障等。</w:t>
            </w:r>
          </w:p>
        </w:tc>
      </w:tr>
      <w:tr w14:paraId="4E3C83B7">
        <w:tblPrEx>
          <w:tblCellMar>
            <w:top w:w="0" w:type="dxa"/>
            <w:left w:w="108" w:type="dxa"/>
            <w:bottom w:w="0" w:type="dxa"/>
            <w:right w:w="108" w:type="dxa"/>
          </w:tblCellMar>
        </w:tblPrEx>
        <w:trPr>
          <w:trHeight w:val="285" w:hRule="atLeast"/>
        </w:trPr>
        <w:tc>
          <w:tcPr>
            <w:tcW w:w="2396" w:type="dxa"/>
            <w:tcBorders>
              <w:top w:val="single" w:color="000000" w:sz="4" w:space="0"/>
              <w:left w:val="single" w:color="000000" w:sz="4" w:space="0"/>
              <w:bottom w:val="single" w:color="000000" w:sz="4" w:space="0"/>
              <w:right w:val="single" w:color="000000" w:sz="4" w:space="0"/>
            </w:tcBorders>
            <w:noWrap w:val="0"/>
            <w:vAlign w:val="center"/>
          </w:tcPr>
          <w:p w14:paraId="0AFF0E6D">
            <w:pPr>
              <w:widowControl/>
              <w:jc w:val="left"/>
              <w:textAlignment w:val="center"/>
              <w:rPr>
                <w:color w:val="auto"/>
                <w:szCs w:val="21"/>
                <w:highlight w:val="none"/>
              </w:rPr>
            </w:pPr>
            <w:r>
              <w:rPr>
                <w:color w:val="auto"/>
                <w:szCs w:val="21"/>
                <w:highlight w:val="none"/>
                <w:lang w:bidi="ar"/>
              </w:rPr>
              <w:t>开机自检</w:t>
            </w:r>
          </w:p>
        </w:tc>
        <w:tc>
          <w:tcPr>
            <w:tcW w:w="6890" w:type="dxa"/>
            <w:tcBorders>
              <w:top w:val="single" w:color="000000" w:sz="4" w:space="0"/>
              <w:left w:val="single" w:color="000000" w:sz="4" w:space="0"/>
              <w:bottom w:val="single" w:color="000000" w:sz="4" w:space="0"/>
              <w:right w:val="single" w:color="000000" w:sz="4" w:space="0"/>
            </w:tcBorders>
            <w:noWrap w:val="0"/>
            <w:vAlign w:val="center"/>
          </w:tcPr>
          <w:p w14:paraId="724A07BE">
            <w:pPr>
              <w:widowControl/>
              <w:jc w:val="left"/>
              <w:textAlignment w:val="center"/>
              <w:rPr>
                <w:color w:val="auto"/>
                <w:szCs w:val="21"/>
                <w:highlight w:val="none"/>
              </w:rPr>
            </w:pPr>
            <w:r>
              <w:rPr>
                <w:color w:val="auto"/>
                <w:szCs w:val="21"/>
                <w:highlight w:val="none"/>
                <w:lang w:bidi="ar"/>
              </w:rPr>
              <w:t>具备开机自检功能，当飞行控制、电池电压、等信号模块或部件发生故障时，控制站上应报警提示，出现影响飞行安全问题则锁死禁止飞行。</w:t>
            </w:r>
          </w:p>
        </w:tc>
      </w:tr>
      <w:tr w14:paraId="07D7DA9C">
        <w:tblPrEx>
          <w:tblCellMar>
            <w:top w:w="0" w:type="dxa"/>
            <w:left w:w="108" w:type="dxa"/>
            <w:bottom w:w="0" w:type="dxa"/>
            <w:right w:w="108" w:type="dxa"/>
          </w:tblCellMar>
        </w:tblPrEx>
        <w:trPr>
          <w:trHeight w:val="285" w:hRule="atLeast"/>
        </w:trPr>
        <w:tc>
          <w:tcPr>
            <w:tcW w:w="2396" w:type="dxa"/>
            <w:tcBorders>
              <w:top w:val="single" w:color="000000" w:sz="4" w:space="0"/>
              <w:left w:val="single" w:color="000000" w:sz="4" w:space="0"/>
              <w:bottom w:val="single" w:color="000000" w:sz="4" w:space="0"/>
              <w:right w:val="single" w:color="000000" w:sz="4" w:space="0"/>
            </w:tcBorders>
            <w:noWrap w:val="0"/>
            <w:vAlign w:val="center"/>
          </w:tcPr>
          <w:p w14:paraId="32DE56B9">
            <w:pPr>
              <w:widowControl/>
              <w:jc w:val="left"/>
              <w:textAlignment w:val="center"/>
              <w:rPr>
                <w:color w:val="auto"/>
                <w:szCs w:val="21"/>
                <w:highlight w:val="none"/>
              </w:rPr>
            </w:pPr>
            <w:r>
              <w:rPr>
                <w:color w:val="auto"/>
                <w:szCs w:val="21"/>
                <w:highlight w:val="none"/>
                <w:lang w:bidi="ar"/>
              </w:rPr>
              <w:t>避障功能</w:t>
            </w:r>
          </w:p>
          <w:p w14:paraId="79BD50C4">
            <w:pPr>
              <w:widowControl/>
              <w:jc w:val="left"/>
              <w:textAlignment w:val="center"/>
              <w:rPr>
                <w:color w:val="auto"/>
                <w:szCs w:val="21"/>
                <w:highlight w:val="none"/>
              </w:rPr>
            </w:pPr>
          </w:p>
        </w:tc>
        <w:tc>
          <w:tcPr>
            <w:tcW w:w="6890" w:type="dxa"/>
            <w:tcBorders>
              <w:top w:val="single" w:color="000000" w:sz="4" w:space="0"/>
              <w:left w:val="single" w:color="000000" w:sz="4" w:space="0"/>
              <w:bottom w:val="single" w:color="000000" w:sz="4" w:space="0"/>
              <w:right w:val="single" w:color="000000" w:sz="4" w:space="0"/>
            </w:tcBorders>
            <w:noWrap w:val="0"/>
            <w:vAlign w:val="center"/>
          </w:tcPr>
          <w:p w14:paraId="210AE652">
            <w:pPr>
              <w:widowControl/>
              <w:jc w:val="left"/>
              <w:textAlignment w:val="center"/>
              <w:rPr>
                <w:color w:val="auto"/>
                <w:szCs w:val="21"/>
                <w:highlight w:val="none"/>
              </w:rPr>
            </w:pPr>
            <w:r>
              <w:rPr>
                <w:color w:val="auto"/>
                <w:szCs w:val="21"/>
                <w:highlight w:val="none"/>
                <w:lang w:bidi="ar"/>
              </w:rPr>
              <w:t>机身六向避障。</w:t>
            </w:r>
          </w:p>
        </w:tc>
      </w:tr>
      <w:tr w14:paraId="2D235182">
        <w:tblPrEx>
          <w:tblCellMar>
            <w:top w:w="0" w:type="dxa"/>
            <w:left w:w="108" w:type="dxa"/>
            <w:bottom w:w="0" w:type="dxa"/>
            <w:right w:w="108" w:type="dxa"/>
          </w:tblCellMar>
        </w:tblPrEx>
        <w:trPr>
          <w:trHeight w:val="285" w:hRule="atLeast"/>
        </w:trPr>
        <w:tc>
          <w:tcPr>
            <w:tcW w:w="9286" w:type="dxa"/>
            <w:gridSpan w:val="2"/>
            <w:tcBorders>
              <w:top w:val="single" w:color="000000" w:sz="4" w:space="0"/>
              <w:left w:val="single" w:color="000000" w:sz="4" w:space="0"/>
              <w:bottom w:val="single" w:color="000000" w:sz="4" w:space="0"/>
              <w:right w:val="single" w:color="000000" w:sz="4" w:space="0"/>
            </w:tcBorders>
            <w:noWrap w:val="0"/>
            <w:vAlign w:val="center"/>
          </w:tcPr>
          <w:p w14:paraId="6C586C02">
            <w:pPr>
              <w:widowControl/>
              <w:jc w:val="left"/>
              <w:textAlignment w:val="center"/>
              <w:rPr>
                <w:color w:val="auto"/>
                <w:szCs w:val="21"/>
                <w:highlight w:val="none"/>
              </w:rPr>
            </w:pPr>
            <w:r>
              <w:rPr>
                <w:color w:val="auto"/>
                <w:szCs w:val="21"/>
                <w:highlight w:val="none"/>
                <w:lang w:bidi="ar"/>
              </w:rPr>
              <w:t>飞行器充电参数要求</w:t>
            </w:r>
          </w:p>
        </w:tc>
      </w:tr>
      <w:tr w14:paraId="3B40FC79">
        <w:tblPrEx>
          <w:tblCellMar>
            <w:top w:w="0" w:type="dxa"/>
            <w:left w:w="108" w:type="dxa"/>
            <w:bottom w:w="0" w:type="dxa"/>
            <w:right w:w="108" w:type="dxa"/>
          </w:tblCellMar>
        </w:tblPrEx>
        <w:trPr>
          <w:trHeight w:val="285" w:hRule="atLeast"/>
        </w:trPr>
        <w:tc>
          <w:tcPr>
            <w:tcW w:w="2396" w:type="dxa"/>
            <w:tcBorders>
              <w:top w:val="single" w:color="000000" w:sz="4" w:space="0"/>
              <w:left w:val="single" w:color="000000" w:sz="4" w:space="0"/>
              <w:bottom w:val="single" w:color="000000" w:sz="4" w:space="0"/>
              <w:right w:val="single" w:color="000000" w:sz="4" w:space="0"/>
            </w:tcBorders>
            <w:noWrap w:val="0"/>
            <w:vAlign w:val="center"/>
          </w:tcPr>
          <w:p w14:paraId="0B77F3CB">
            <w:pPr>
              <w:widowControl/>
              <w:jc w:val="left"/>
              <w:textAlignment w:val="center"/>
              <w:rPr>
                <w:color w:val="auto"/>
                <w:szCs w:val="21"/>
                <w:highlight w:val="none"/>
              </w:rPr>
            </w:pPr>
            <w:r>
              <w:rPr>
                <w:color w:val="auto"/>
                <w:szCs w:val="21"/>
                <w:highlight w:val="none"/>
                <w:lang w:bidi="ar"/>
              </w:rPr>
              <w:t>飞行器充电技术要求</w:t>
            </w:r>
          </w:p>
        </w:tc>
        <w:tc>
          <w:tcPr>
            <w:tcW w:w="6890" w:type="dxa"/>
            <w:tcBorders>
              <w:top w:val="single" w:color="000000" w:sz="4" w:space="0"/>
              <w:left w:val="single" w:color="000000" w:sz="4" w:space="0"/>
              <w:bottom w:val="single" w:color="000000" w:sz="4" w:space="0"/>
              <w:right w:val="single" w:color="000000" w:sz="4" w:space="0"/>
            </w:tcBorders>
            <w:noWrap w:val="0"/>
            <w:vAlign w:val="center"/>
          </w:tcPr>
          <w:p w14:paraId="67AC4B4F">
            <w:pPr>
              <w:widowControl/>
              <w:jc w:val="left"/>
              <w:textAlignment w:val="center"/>
              <w:rPr>
                <w:color w:val="auto"/>
                <w:szCs w:val="21"/>
                <w:highlight w:val="none"/>
              </w:rPr>
            </w:pPr>
            <w:r>
              <w:rPr>
                <w:color w:val="auto"/>
                <w:szCs w:val="21"/>
                <w:highlight w:val="none"/>
                <w:lang w:bidi="ar"/>
              </w:rPr>
              <w:t>为满足项目无人值守特性，避免换电带来的机械故障导致巡查中断，总体采用具有无线快速充电功能的无人机，即无人机落入机场即自动充电。</w:t>
            </w:r>
          </w:p>
          <w:p w14:paraId="6C13EA7C">
            <w:pPr>
              <w:widowControl/>
              <w:jc w:val="left"/>
              <w:textAlignment w:val="center"/>
              <w:rPr>
                <w:color w:val="auto"/>
                <w:szCs w:val="21"/>
                <w:highlight w:val="none"/>
              </w:rPr>
            </w:pPr>
            <w:r>
              <w:rPr>
                <w:color w:val="auto"/>
                <w:szCs w:val="21"/>
                <w:highlight w:val="none"/>
                <w:lang w:bidi="ar"/>
              </w:rPr>
              <w:t>支持无线快充技术，充电时间不高于40分钟（充电环境温度25℃，飞行器电池电量从20%充至90%）.</w:t>
            </w:r>
          </w:p>
        </w:tc>
      </w:tr>
      <w:tr w14:paraId="357400E7">
        <w:tblPrEx>
          <w:tblCellMar>
            <w:top w:w="0" w:type="dxa"/>
            <w:left w:w="108" w:type="dxa"/>
            <w:bottom w:w="0" w:type="dxa"/>
            <w:right w:w="108" w:type="dxa"/>
          </w:tblCellMar>
        </w:tblPrEx>
        <w:trPr>
          <w:trHeight w:val="285" w:hRule="atLeast"/>
        </w:trPr>
        <w:tc>
          <w:tcPr>
            <w:tcW w:w="2396" w:type="dxa"/>
            <w:tcBorders>
              <w:top w:val="single" w:color="000000" w:sz="4" w:space="0"/>
              <w:left w:val="single" w:color="000000" w:sz="4" w:space="0"/>
              <w:bottom w:val="single" w:color="000000" w:sz="4" w:space="0"/>
              <w:right w:val="single" w:color="000000" w:sz="4" w:space="0"/>
            </w:tcBorders>
            <w:noWrap w:val="0"/>
            <w:vAlign w:val="center"/>
          </w:tcPr>
          <w:p w14:paraId="01062456">
            <w:pPr>
              <w:widowControl/>
              <w:jc w:val="left"/>
              <w:textAlignment w:val="center"/>
              <w:rPr>
                <w:color w:val="auto"/>
                <w:szCs w:val="21"/>
                <w:highlight w:val="none"/>
              </w:rPr>
            </w:pPr>
            <w:r>
              <w:rPr>
                <w:color w:val="auto"/>
                <w:szCs w:val="21"/>
                <w:highlight w:val="none"/>
                <w:lang w:bidi="ar"/>
              </w:rPr>
              <w:t>图传关键参数要求</w:t>
            </w:r>
          </w:p>
        </w:tc>
        <w:tc>
          <w:tcPr>
            <w:tcW w:w="6890" w:type="dxa"/>
            <w:tcBorders>
              <w:top w:val="single" w:color="000000" w:sz="4" w:space="0"/>
              <w:left w:val="single" w:color="000000" w:sz="4" w:space="0"/>
              <w:bottom w:val="single" w:color="000000" w:sz="4" w:space="0"/>
              <w:right w:val="single" w:color="000000" w:sz="4" w:space="0"/>
            </w:tcBorders>
            <w:noWrap w:val="0"/>
            <w:vAlign w:val="center"/>
          </w:tcPr>
          <w:p w14:paraId="524C8A8D">
            <w:pPr>
              <w:widowControl/>
              <w:jc w:val="left"/>
              <w:textAlignment w:val="center"/>
              <w:rPr>
                <w:color w:val="auto"/>
                <w:szCs w:val="21"/>
                <w:highlight w:val="none"/>
              </w:rPr>
            </w:pPr>
            <w:r>
              <w:rPr>
                <w:color w:val="auto"/>
                <w:szCs w:val="21"/>
                <w:highlight w:val="none"/>
                <w:lang w:bidi="ar"/>
              </w:rPr>
              <w:t>最大信号有效距离（无干扰、无遮挡）：FCC：15km；CE/SRRC/MIC：8km；</w:t>
            </w:r>
          </w:p>
        </w:tc>
      </w:tr>
      <w:tr w14:paraId="754BE836">
        <w:tblPrEx>
          <w:tblCellMar>
            <w:top w:w="0" w:type="dxa"/>
            <w:left w:w="108" w:type="dxa"/>
            <w:bottom w:w="0" w:type="dxa"/>
            <w:right w:w="108" w:type="dxa"/>
          </w:tblCellMar>
        </w:tblPrEx>
        <w:trPr>
          <w:trHeight w:val="285" w:hRule="atLeast"/>
        </w:trPr>
        <w:tc>
          <w:tcPr>
            <w:tcW w:w="9286" w:type="dxa"/>
            <w:gridSpan w:val="2"/>
            <w:tcBorders>
              <w:top w:val="single" w:color="000000" w:sz="4" w:space="0"/>
              <w:left w:val="single" w:color="000000" w:sz="4" w:space="0"/>
              <w:bottom w:val="single" w:color="000000" w:sz="4" w:space="0"/>
              <w:right w:val="single" w:color="000000" w:sz="4" w:space="0"/>
            </w:tcBorders>
            <w:noWrap w:val="0"/>
            <w:vAlign w:val="center"/>
          </w:tcPr>
          <w:p w14:paraId="5D773C9D">
            <w:pPr>
              <w:widowControl/>
              <w:jc w:val="left"/>
              <w:textAlignment w:val="center"/>
              <w:rPr>
                <w:color w:val="auto"/>
                <w:szCs w:val="21"/>
                <w:highlight w:val="none"/>
              </w:rPr>
            </w:pPr>
            <w:r>
              <w:rPr>
                <w:color w:val="auto"/>
                <w:szCs w:val="21"/>
                <w:highlight w:val="none"/>
                <w:lang w:bidi="ar"/>
              </w:rPr>
              <w:t>环境适应性要求</w:t>
            </w:r>
          </w:p>
        </w:tc>
      </w:tr>
      <w:tr w14:paraId="676C2C0D">
        <w:tblPrEx>
          <w:tblCellMar>
            <w:top w:w="0" w:type="dxa"/>
            <w:left w:w="108" w:type="dxa"/>
            <w:bottom w:w="0" w:type="dxa"/>
            <w:right w:w="108" w:type="dxa"/>
          </w:tblCellMar>
        </w:tblPrEx>
        <w:trPr>
          <w:trHeight w:val="285" w:hRule="atLeast"/>
        </w:trPr>
        <w:tc>
          <w:tcPr>
            <w:tcW w:w="2396" w:type="dxa"/>
            <w:tcBorders>
              <w:top w:val="single" w:color="000000" w:sz="4" w:space="0"/>
              <w:left w:val="single" w:color="000000" w:sz="4" w:space="0"/>
              <w:bottom w:val="single" w:color="000000" w:sz="4" w:space="0"/>
              <w:right w:val="single" w:color="000000" w:sz="4" w:space="0"/>
            </w:tcBorders>
            <w:noWrap w:val="0"/>
            <w:vAlign w:val="center"/>
          </w:tcPr>
          <w:p w14:paraId="5689FD5A">
            <w:pPr>
              <w:widowControl/>
              <w:jc w:val="left"/>
              <w:textAlignment w:val="center"/>
              <w:rPr>
                <w:color w:val="auto"/>
                <w:szCs w:val="21"/>
                <w:highlight w:val="none"/>
              </w:rPr>
            </w:pPr>
            <w:r>
              <w:rPr>
                <w:color w:val="auto"/>
                <w:szCs w:val="21"/>
                <w:highlight w:val="none"/>
                <w:lang w:bidi="ar"/>
              </w:rPr>
              <w:t>温度适应性</w:t>
            </w:r>
          </w:p>
        </w:tc>
        <w:tc>
          <w:tcPr>
            <w:tcW w:w="6890" w:type="dxa"/>
            <w:tcBorders>
              <w:top w:val="single" w:color="000000" w:sz="4" w:space="0"/>
              <w:left w:val="single" w:color="000000" w:sz="4" w:space="0"/>
              <w:bottom w:val="single" w:color="000000" w:sz="4" w:space="0"/>
              <w:right w:val="single" w:color="000000" w:sz="4" w:space="0"/>
            </w:tcBorders>
            <w:noWrap w:val="0"/>
            <w:vAlign w:val="center"/>
          </w:tcPr>
          <w:p w14:paraId="7B14B0B3">
            <w:pPr>
              <w:widowControl/>
              <w:jc w:val="left"/>
              <w:textAlignment w:val="center"/>
              <w:rPr>
                <w:color w:val="auto"/>
                <w:szCs w:val="21"/>
                <w:highlight w:val="none"/>
              </w:rPr>
            </w:pPr>
            <w:r>
              <w:rPr>
                <w:color w:val="auto"/>
                <w:szCs w:val="21"/>
                <w:highlight w:val="none"/>
                <w:lang w:bidi="ar"/>
              </w:rPr>
              <w:t>飞行环境温度：-20℃～+45℃</w:t>
            </w:r>
          </w:p>
        </w:tc>
      </w:tr>
    </w:tbl>
    <w:p w14:paraId="6FD5456B">
      <w:pPr>
        <w:spacing w:line="520" w:lineRule="exact"/>
        <w:ind w:firstLine="562" w:firstLineChars="200"/>
        <w:rPr>
          <w:b/>
          <w:bCs/>
          <w:color w:val="auto"/>
          <w:sz w:val="28"/>
          <w:szCs w:val="28"/>
          <w:highlight w:val="none"/>
        </w:rPr>
      </w:pPr>
      <w:r>
        <w:rPr>
          <w:b/>
          <w:bCs/>
          <w:color w:val="auto"/>
          <w:sz w:val="28"/>
          <w:szCs w:val="28"/>
          <w:highlight w:val="none"/>
        </w:rPr>
        <w:t>4.1.6.3无人机自动化机场技术要求</w:t>
      </w:r>
    </w:p>
    <w:p w14:paraId="4B15410D">
      <w:pPr>
        <w:spacing w:line="520" w:lineRule="exact"/>
        <w:ind w:firstLine="560" w:firstLineChars="200"/>
        <w:rPr>
          <w:color w:val="auto"/>
          <w:sz w:val="28"/>
          <w:szCs w:val="28"/>
          <w:highlight w:val="none"/>
        </w:rPr>
      </w:pPr>
      <w:r>
        <w:rPr>
          <w:color w:val="auto"/>
          <w:sz w:val="28"/>
          <w:szCs w:val="28"/>
          <w:highlight w:val="none"/>
        </w:rPr>
        <w:t>无人机自动化机场是高性能无人机的配套机场，全线建设10座无人机自动化机场，安装部署后能实现现场无人值守，远程即能完成作业的全自动化流程。通过云端平台首次配置后，机场可定时定点，自动完成巡视工作。</w:t>
      </w:r>
    </w:p>
    <w:p w14:paraId="35BBC597">
      <w:pPr>
        <w:spacing w:line="520" w:lineRule="exact"/>
        <w:ind w:firstLine="560" w:firstLineChars="200"/>
        <w:rPr>
          <w:color w:val="auto"/>
          <w:sz w:val="28"/>
          <w:szCs w:val="28"/>
          <w:highlight w:val="none"/>
        </w:rPr>
      </w:pPr>
      <w:r>
        <w:rPr>
          <w:color w:val="auto"/>
          <w:sz w:val="28"/>
          <w:szCs w:val="28"/>
          <w:highlight w:val="none"/>
        </w:rPr>
        <w:t>1）快速充电要求：机场对执行任务结束的无人机进行无线快速充电，无需人工干预。客户端可实时查看电池电量等信息。</w:t>
      </w:r>
    </w:p>
    <w:p w14:paraId="65D48F6D">
      <w:pPr>
        <w:spacing w:line="520" w:lineRule="exact"/>
        <w:ind w:firstLine="560" w:firstLineChars="200"/>
        <w:rPr>
          <w:color w:val="auto"/>
          <w:sz w:val="28"/>
          <w:szCs w:val="28"/>
          <w:highlight w:val="none"/>
        </w:rPr>
      </w:pPr>
      <w:r>
        <w:rPr>
          <w:color w:val="auto"/>
          <w:sz w:val="28"/>
          <w:szCs w:val="28"/>
          <w:highlight w:val="none"/>
        </w:rPr>
        <w:t>2）自动收纳要求：机场具备无人机自动收纳功能，能够远程查看飞行器的状态信息，无需抵达作业现场。</w:t>
      </w:r>
    </w:p>
    <w:p w14:paraId="5915A5D2">
      <w:pPr>
        <w:spacing w:line="520" w:lineRule="exact"/>
        <w:ind w:firstLine="560" w:firstLineChars="200"/>
        <w:rPr>
          <w:color w:val="auto"/>
          <w:sz w:val="28"/>
          <w:szCs w:val="28"/>
          <w:highlight w:val="none"/>
        </w:rPr>
      </w:pPr>
      <w:r>
        <w:rPr>
          <w:color w:val="auto"/>
          <w:sz w:val="28"/>
          <w:szCs w:val="28"/>
          <w:highlight w:val="none"/>
        </w:rPr>
        <w:t>3）无人机精准降落要求：无人机完成飞行任务后，能够精准降落到机场内。</w:t>
      </w:r>
    </w:p>
    <w:p w14:paraId="61DBED04">
      <w:pPr>
        <w:spacing w:line="520" w:lineRule="exact"/>
        <w:ind w:firstLine="560" w:firstLineChars="200"/>
        <w:rPr>
          <w:color w:val="auto"/>
          <w:sz w:val="28"/>
          <w:szCs w:val="28"/>
          <w:highlight w:val="none"/>
        </w:rPr>
      </w:pPr>
      <w:r>
        <w:rPr>
          <w:color w:val="auto"/>
          <w:sz w:val="28"/>
          <w:szCs w:val="28"/>
          <w:highlight w:val="none"/>
        </w:rPr>
        <w:t>4）机场内置传感器需求：机场需内置多种传感器，包括但不限于风速传感器、雨量传感器、环境温度传感器、水浸传感器、舱内温度传感器、舱内湿度传感器、振动传感器。可实时显示机场内部各种环境状态，结合从网络获取的天气预报，综合为无人机飞行判断合适条件。</w:t>
      </w:r>
    </w:p>
    <w:p w14:paraId="1149A311">
      <w:pPr>
        <w:spacing w:line="520" w:lineRule="exact"/>
        <w:ind w:firstLine="560" w:firstLineChars="200"/>
        <w:rPr>
          <w:color w:val="auto"/>
          <w:sz w:val="28"/>
          <w:szCs w:val="28"/>
          <w:highlight w:val="none"/>
        </w:rPr>
      </w:pPr>
      <w:r>
        <w:rPr>
          <w:color w:val="auto"/>
          <w:sz w:val="28"/>
          <w:szCs w:val="28"/>
          <w:highlight w:val="none"/>
        </w:rPr>
        <w:t>5）内控空调要求</w:t>
      </w:r>
    </w:p>
    <w:p w14:paraId="78775477">
      <w:pPr>
        <w:spacing w:line="520" w:lineRule="exact"/>
        <w:ind w:firstLine="560" w:firstLineChars="200"/>
        <w:rPr>
          <w:color w:val="auto"/>
          <w:sz w:val="28"/>
          <w:szCs w:val="28"/>
          <w:highlight w:val="none"/>
        </w:rPr>
      </w:pPr>
      <w:r>
        <w:rPr>
          <w:color w:val="auto"/>
          <w:sz w:val="28"/>
          <w:szCs w:val="28"/>
          <w:highlight w:val="none"/>
        </w:rPr>
        <w:t>机场需内置TEC空调系统，确保在-20℃至45℃的环境中可以安全起飞和作业，同时在-20℃至45℃的环境中存放运行。提供主动控温功能，以保障在恶劣环境下能够快速轮转。</w:t>
      </w:r>
    </w:p>
    <w:p w14:paraId="61161CA0">
      <w:pPr>
        <w:spacing w:line="520" w:lineRule="exact"/>
        <w:ind w:firstLine="560" w:firstLineChars="200"/>
        <w:rPr>
          <w:color w:val="auto"/>
          <w:sz w:val="28"/>
          <w:szCs w:val="28"/>
          <w:highlight w:val="none"/>
        </w:rPr>
      </w:pPr>
      <w:r>
        <w:rPr>
          <w:color w:val="auto"/>
          <w:sz w:val="28"/>
          <w:szCs w:val="28"/>
          <w:highlight w:val="none"/>
        </w:rPr>
        <w:t>6）机场周边环境监控要求：</w:t>
      </w:r>
    </w:p>
    <w:p w14:paraId="70CCAB19">
      <w:pPr>
        <w:spacing w:line="520" w:lineRule="exact"/>
        <w:ind w:firstLine="560" w:firstLineChars="200"/>
        <w:rPr>
          <w:color w:val="auto"/>
          <w:sz w:val="28"/>
          <w:szCs w:val="28"/>
          <w:highlight w:val="none"/>
        </w:rPr>
      </w:pPr>
      <w:r>
        <w:rPr>
          <w:color w:val="auto"/>
          <w:sz w:val="28"/>
          <w:szCs w:val="28"/>
          <w:highlight w:val="none"/>
        </w:rPr>
        <w:t>每个机场应配置1个环境监控摄像头，对机场周边环境进行实时监控，允许在客户端随时查看机场周围环境；无人机场内部也需配置或集成至少1个摄像头，主要用于监管机场自身状态和无人机起降情况。以上摄像头视频均需接入平台，由</w:t>
      </w:r>
      <w:r>
        <w:rPr>
          <w:rFonts w:hint="eastAsia"/>
          <w:color w:val="auto"/>
          <w:sz w:val="28"/>
          <w:szCs w:val="28"/>
          <w:highlight w:val="none"/>
        </w:rPr>
        <w:t>投标人</w:t>
      </w:r>
      <w:r>
        <w:rPr>
          <w:color w:val="auto"/>
          <w:sz w:val="28"/>
          <w:szCs w:val="28"/>
          <w:highlight w:val="none"/>
        </w:rPr>
        <w:t>自行安装接入。</w:t>
      </w:r>
    </w:p>
    <w:p w14:paraId="3A22FEAB">
      <w:pPr>
        <w:spacing w:line="520" w:lineRule="exact"/>
        <w:ind w:firstLine="560" w:firstLineChars="200"/>
        <w:rPr>
          <w:color w:val="auto"/>
          <w:sz w:val="28"/>
          <w:szCs w:val="28"/>
          <w:highlight w:val="none"/>
        </w:rPr>
      </w:pPr>
      <w:r>
        <w:rPr>
          <w:color w:val="auto"/>
          <w:sz w:val="28"/>
          <w:szCs w:val="28"/>
          <w:highlight w:val="none"/>
        </w:rPr>
        <w:t>监控摄像头应提供清晰的图像，使操作人员无需亲自到达现场即可了解飞机和机场的状态，监控分辨率均不得低于1920×1080。支持通过命令面板进行远程调试。</w:t>
      </w:r>
    </w:p>
    <w:p w14:paraId="24E04D13">
      <w:pPr>
        <w:spacing w:line="520" w:lineRule="exact"/>
        <w:ind w:firstLine="560" w:firstLineChars="200"/>
        <w:rPr>
          <w:color w:val="auto"/>
          <w:sz w:val="28"/>
          <w:szCs w:val="28"/>
          <w:highlight w:val="none"/>
        </w:rPr>
      </w:pPr>
      <w:r>
        <w:rPr>
          <w:color w:val="auto"/>
          <w:sz w:val="28"/>
          <w:szCs w:val="28"/>
          <w:highlight w:val="none"/>
        </w:rPr>
        <w:t>7）体积尺寸要求：</w:t>
      </w:r>
    </w:p>
    <w:p w14:paraId="3BC1D5F9">
      <w:pPr>
        <w:spacing w:line="520" w:lineRule="exact"/>
        <w:ind w:firstLine="560" w:firstLineChars="200"/>
        <w:rPr>
          <w:color w:val="auto"/>
          <w:sz w:val="28"/>
          <w:szCs w:val="28"/>
          <w:highlight w:val="none"/>
        </w:rPr>
      </w:pPr>
      <w:r>
        <w:rPr>
          <w:color w:val="auto"/>
          <w:sz w:val="28"/>
          <w:szCs w:val="28"/>
          <w:highlight w:val="none"/>
        </w:rPr>
        <w:t>无人机场自身重量不超过110千克，体积占地不超过1.5平米。</w:t>
      </w:r>
    </w:p>
    <w:p w14:paraId="0CD7F7AD">
      <w:pPr>
        <w:spacing w:line="520" w:lineRule="exact"/>
        <w:ind w:firstLine="560" w:firstLineChars="200"/>
        <w:rPr>
          <w:color w:val="auto"/>
          <w:sz w:val="28"/>
          <w:szCs w:val="28"/>
          <w:highlight w:val="none"/>
        </w:rPr>
      </w:pPr>
      <w:r>
        <w:rPr>
          <w:color w:val="auto"/>
          <w:sz w:val="28"/>
          <w:szCs w:val="28"/>
          <w:highlight w:val="none"/>
        </w:rPr>
        <w:t>8）耐腐蚀要求：需通过盐雾试验72小时以上无腐蚀。</w:t>
      </w:r>
    </w:p>
    <w:p w14:paraId="4C896448">
      <w:pPr>
        <w:spacing w:line="520" w:lineRule="exact"/>
        <w:ind w:firstLine="560" w:firstLineChars="200"/>
        <w:rPr>
          <w:color w:val="auto"/>
          <w:sz w:val="28"/>
          <w:szCs w:val="28"/>
          <w:highlight w:val="none"/>
        </w:rPr>
      </w:pPr>
      <w:r>
        <w:rPr>
          <w:color w:val="auto"/>
          <w:sz w:val="28"/>
          <w:szCs w:val="28"/>
          <w:highlight w:val="none"/>
        </w:rPr>
        <w:t>9）通讯频段要求：无人机场与无人机之间的图传通信频段须满足国家相关法规，并支持2.4GHz、5.8GHz等多个频段。</w:t>
      </w:r>
    </w:p>
    <w:p w14:paraId="7FDD7EE9">
      <w:pPr>
        <w:spacing w:line="520" w:lineRule="exact"/>
        <w:ind w:firstLine="560" w:firstLineChars="200"/>
        <w:rPr>
          <w:color w:val="auto"/>
          <w:sz w:val="28"/>
          <w:szCs w:val="28"/>
          <w:highlight w:val="none"/>
        </w:rPr>
      </w:pPr>
      <w:r>
        <w:rPr>
          <w:color w:val="auto"/>
          <w:sz w:val="28"/>
          <w:szCs w:val="28"/>
          <w:highlight w:val="none"/>
        </w:rPr>
        <w:t>10）安全返航备降要求：信号中断时，设备应能自动返航起点或继续执行规划航线后返航起点，需在周边就近设置备降点，保证当舱盖无法打开时无人机仍能自动降落至备降点。</w:t>
      </w:r>
    </w:p>
    <w:p w14:paraId="2794F6C2">
      <w:pPr>
        <w:spacing w:line="520" w:lineRule="exact"/>
        <w:ind w:firstLine="560" w:firstLineChars="200"/>
        <w:rPr>
          <w:color w:val="auto"/>
          <w:sz w:val="28"/>
          <w:szCs w:val="28"/>
          <w:highlight w:val="none"/>
        </w:rPr>
      </w:pPr>
      <w:r>
        <w:rPr>
          <w:color w:val="auto"/>
          <w:sz w:val="28"/>
          <w:szCs w:val="28"/>
          <w:highlight w:val="none"/>
        </w:rPr>
        <w:t>11）无人机场底座施工要求</w:t>
      </w:r>
    </w:p>
    <w:p w14:paraId="252142A1">
      <w:pPr>
        <w:spacing w:line="520" w:lineRule="exact"/>
        <w:ind w:firstLine="560" w:firstLineChars="200"/>
        <w:rPr>
          <w:color w:val="auto"/>
          <w:sz w:val="28"/>
          <w:szCs w:val="28"/>
          <w:highlight w:val="none"/>
        </w:rPr>
      </w:pPr>
      <w:r>
        <w:rPr>
          <w:color w:val="auto"/>
          <w:sz w:val="28"/>
          <w:szCs w:val="28"/>
          <w:highlight w:val="none"/>
        </w:rPr>
        <w:t>当无人机场选址为楼顶等不方便进行直接打孔固定设备的场地，考虑承重情况，可浇注两个长条形混凝土墩作为固定底座，两墩之间进行机场线缆穿管布线。混凝土要求标号C25，平整度要求不超过±4mm，倾斜度&lt;3°，并预留防雷电接地装置。</w:t>
      </w:r>
      <w:r>
        <w:rPr>
          <w:rFonts w:hint="eastAsia"/>
          <w:color w:val="auto"/>
          <w:sz w:val="28"/>
          <w:szCs w:val="28"/>
          <w:highlight w:val="none"/>
        </w:rPr>
        <w:t>具体尺寸和打孔孔位如下图所示。</w:t>
      </w:r>
    </w:p>
    <w:p w14:paraId="391FB5C7">
      <w:pPr>
        <w:spacing w:line="520" w:lineRule="exact"/>
        <w:ind w:firstLine="560" w:firstLineChars="200"/>
        <w:rPr>
          <w:color w:val="auto"/>
          <w:sz w:val="28"/>
          <w:szCs w:val="28"/>
          <w:highlight w:val="none"/>
        </w:rPr>
      </w:pPr>
      <w:r>
        <w:rPr>
          <w:color w:val="auto"/>
          <w:sz w:val="28"/>
          <w:szCs w:val="28"/>
          <w:highlight w:val="none"/>
        </w:rPr>
        <w:drawing>
          <wp:anchor distT="0" distB="0" distL="114300" distR="114300" simplePos="0" relativeHeight="251659264" behindDoc="0" locked="0" layoutInCell="1" allowOverlap="1">
            <wp:simplePos x="0" y="0"/>
            <wp:positionH relativeFrom="column">
              <wp:posOffset>1202055</wp:posOffset>
            </wp:positionH>
            <wp:positionV relativeFrom="paragraph">
              <wp:posOffset>130175</wp:posOffset>
            </wp:positionV>
            <wp:extent cx="3176270" cy="2463800"/>
            <wp:effectExtent l="0" t="0" r="5080" b="12700"/>
            <wp:wrapTopAndBottom/>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5"/>
                    <a:stretch>
                      <a:fillRect/>
                    </a:stretch>
                  </pic:blipFill>
                  <pic:spPr>
                    <a:xfrm>
                      <a:off x="0" y="0"/>
                      <a:ext cx="3176270" cy="2463800"/>
                    </a:xfrm>
                    <a:prstGeom prst="rect">
                      <a:avLst/>
                    </a:prstGeom>
                    <a:noFill/>
                    <a:ln>
                      <a:noFill/>
                    </a:ln>
                  </pic:spPr>
                </pic:pic>
              </a:graphicData>
            </a:graphic>
          </wp:anchor>
        </w:drawing>
      </w:r>
      <w:r>
        <w:rPr>
          <w:rFonts w:hint="eastAsia"/>
          <w:color w:val="auto"/>
          <w:sz w:val="28"/>
          <w:szCs w:val="28"/>
          <w:highlight w:val="none"/>
        </w:rPr>
        <w:t>当浇筑混凝土条件不便时，可采用重物（如沙袋）将钢架妥善固定、钢架上方安装无人机场的方式构筑底座。考虑户外环境耐受性，推荐使用40mm的镀锌方通或304不锈钢方通进行加工，并注意喷漆防腐蚀。底座高度一般不低于200mm（应高于安装位置历史最高水位100mm以上）。底座下方不得打孔，以免破坏楼顶防水层。</w:t>
      </w:r>
    </w:p>
    <w:p w14:paraId="7C2017EF">
      <w:pPr>
        <w:spacing w:after="120" w:afterLines="50"/>
        <w:ind w:firstLine="420" w:firstLineChars="200"/>
        <w:rPr>
          <w:color w:val="auto"/>
          <w:highlight w:val="none"/>
        </w:rPr>
      </w:pPr>
    </w:p>
    <w:p w14:paraId="2963ED59">
      <w:pPr>
        <w:spacing w:after="120" w:afterLines="50"/>
        <w:ind w:firstLine="480" w:firstLineChars="200"/>
        <w:jc w:val="center"/>
        <w:rPr>
          <w:rFonts w:ascii="Calibri" w:hAnsi="Calibri"/>
          <w:color w:val="auto"/>
          <w:sz w:val="24"/>
          <w:highlight w:val="none"/>
          <w:lang w:bidi="ar"/>
        </w:rPr>
      </w:pPr>
      <w:r>
        <w:rPr>
          <w:rFonts w:ascii="Calibri" w:hAnsi="Calibri"/>
          <w:color w:val="auto"/>
          <w:sz w:val="24"/>
          <w:highlight w:val="none"/>
          <w:lang w:bidi="ar"/>
        </w:rPr>
        <w:drawing>
          <wp:inline distT="0" distB="0" distL="114300" distR="114300">
            <wp:extent cx="3262630" cy="1448435"/>
            <wp:effectExtent l="0" t="0" r="13970" b="1460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6"/>
                    <a:stretch>
                      <a:fillRect/>
                    </a:stretch>
                  </pic:blipFill>
                  <pic:spPr>
                    <a:xfrm>
                      <a:off x="0" y="0"/>
                      <a:ext cx="3262630" cy="1448435"/>
                    </a:xfrm>
                    <a:prstGeom prst="rect">
                      <a:avLst/>
                    </a:prstGeom>
                    <a:noFill/>
                    <a:ln>
                      <a:noFill/>
                    </a:ln>
                  </pic:spPr>
                </pic:pic>
              </a:graphicData>
            </a:graphic>
          </wp:inline>
        </w:drawing>
      </w:r>
      <w:r>
        <w:rPr>
          <w:color w:val="auto"/>
          <w:highlight w:val="none"/>
        </w:rPr>
        <w:drawing>
          <wp:inline distT="0" distB="0" distL="114300" distR="114300">
            <wp:extent cx="4103370" cy="2972435"/>
            <wp:effectExtent l="0" t="0" r="11430" b="1460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7"/>
                    <a:stretch>
                      <a:fillRect/>
                    </a:stretch>
                  </pic:blipFill>
                  <pic:spPr>
                    <a:xfrm>
                      <a:off x="0" y="0"/>
                      <a:ext cx="4103370" cy="2972435"/>
                    </a:xfrm>
                    <a:prstGeom prst="rect">
                      <a:avLst/>
                    </a:prstGeom>
                    <a:noFill/>
                    <a:ln>
                      <a:noFill/>
                    </a:ln>
                  </pic:spPr>
                </pic:pic>
              </a:graphicData>
            </a:graphic>
          </wp:inline>
        </w:drawing>
      </w:r>
    </w:p>
    <w:p w14:paraId="32227C8E">
      <w:pPr>
        <w:spacing w:after="120" w:afterLines="50"/>
        <w:ind w:firstLine="480" w:firstLineChars="200"/>
        <w:jc w:val="center"/>
        <w:rPr>
          <w:color w:val="auto"/>
          <w:highlight w:val="none"/>
        </w:rPr>
      </w:pPr>
      <w:r>
        <w:rPr>
          <w:rFonts w:hint="eastAsia" w:ascii="Calibri" w:hAnsi="Calibri"/>
          <w:color w:val="auto"/>
          <w:sz w:val="24"/>
          <w:highlight w:val="none"/>
          <w:lang w:bidi="ar"/>
        </w:rPr>
        <w:t>底座尺寸示意图</w:t>
      </w:r>
    </w:p>
    <w:p w14:paraId="6172B8BE">
      <w:pPr>
        <w:spacing w:line="520" w:lineRule="exact"/>
        <w:ind w:firstLine="560" w:firstLineChars="200"/>
        <w:rPr>
          <w:color w:val="auto"/>
          <w:sz w:val="28"/>
          <w:szCs w:val="28"/>
          <w:highlight w:val="none"/>
        </w:rPr>
      </w:pPr>
      <w:r>
        <w:rPr>
          <w:color w:val="auto"/>
          <w:sz w:val="28"/>
          <w:szCs w:val="28"/>
          <w:highlight w:val="none"/>
        </w:rPr>
        <w:t>12）无人机场防护围栏要求</w:t>
      </w:r>
    </w:p>
    <w:p w14:paraId="5C6C1859">
      <w:pPr>
        <w:spacing w:line="520" w:lineRule="exact"/>
        <w:ind w:firstLine="560" w:firstLineChars="200"/>
        <w:rPr>
          <w:rFonts w:hint="eastAsia" w:eastAsia="宋体"/>
          <w:color w:val="auto"/>
          <w:sz w:val="28"/>
          <w:szCs w:val="28"/>
          <w:highlight w:val="none"/>
          <w:lang w:eastAsia="zh-CN"/>
        </w:rPr>
      </w:pPr>
      <w:r>
        <w:rPr>
          <w:color w:val="auto"/>
          <w:sz w:val="28"/>
          <w:szCs w:val="28"/>
          <w:highlight w:val="none"/>
        </w:rPr>
        <w:t>为确保人员安全和防盗要求，</w:t>
      </w:r>
      <w:r>
        <w:rPr>
          <w:rFonts w:hint="eastAsia"/>
          <w:color w:val="auto"/>
          <w:sz w:val="28"/>
          <w:szCs w:val="28"/>
          <w:highlight w:val="none"/>
          <w:lang w:eastAsia="zh-CN"/>
        </w:rPr>
        <w:t>根据现场实际安装条件可</w:t>
      </w:r>
      <w:r>
        <w:rPr>
          <w:color w:val="auto"/>
          <w:sz w:val="28"/>
          <w:szCs w:val="28"/>
          <w:highlight w:val="none"/>
        </w:rPr>
        <w:t>在无人机场周围安装围栏，</w:t>
      </w:r>
      <w:r>
        <w:rPr>
          <w:rFonts w:hint="eastAsia"/>
          <w:color w:val="auto"/>
          <w:sz w:val="28"/>
          <w:szCs w:val="28"/>
          <w:highlight w:val="none"/>
          <w:lang w:eastAsia="zh-CN"/>
        </w:rPr>
        <w:t>围栏参数要求：</w:t>
      </w:r>
    </w:p>
    <w:p w14:paraId="6F9E61B0">
      <w:pPr>
        <w:spacing w:line="520" w:lineRule="exact"/>
        <w:ind w:firstLine="560" w:firstLineChars="200"/>
        <w:rPr>
          <w:color w:val="auto"/>
          <w:sz w:val="28"/>
          <w:szCs w:val="28"/>
          <w:highlight w:val="none"/>
        </w:rPr>
      </w:pPr>
      <w:r>
        <w:rPr>
          <w:color w:val="auto"/>
          <w:sz w:val="28"/>
          <w:szCs w:val="28"/>
          <w:highlight w:val="none"/>
        </w:rPr>
        <w:t>围栏区域以机场为中心，尺寸要求不低于2m*2m*1m(长*宽*高)，有障碍物时需因地制宜进行调整。围栏安装时需稳固，避免倾倒，且需留活动门以便人员进入检修维护。活动门上应上锁，防止未授权人员进入。围栏外部应悬挂适当的警示标语。必须使用塑钢等非金属材质围栏，以降低对图传信号和RTK信号的影响。</w:t>
      </w:r>
    </w:p>
    <w:p w14:paraId="4A128C14">
      <w:pPr>
        <w:spacing w:line="520" w:lineRule="exact"/>
        <w:ind w:firstLine="560" w:firstLineChars="200"/>
        <w:rPr>
          <w:color w:val="auto"/>
          <w:sz w:val="28"/>
          <w:szCs w:val="28"/>
          <w:highlight w:val="none"/>
        </w:rPr>
      </w:pPr>
      <w:r>
        <w:rPr>
          <w:color w:val="auto"/>
          <w:sz w:val="28"/>
          <w:szCs w:val="28"/>
          <w:highlight w:val="none"/>
        </w:rPr>
        <w:t>13）无人机场</w:t>
      </w:r>
      <w:r>
        <w:rPr>
          <w:rFonts w:hint="eastAsia"/>
          <w:color w:val="auto"/>
          <w:sz w:val="28"/>
          <w:szCs w:val="28"/>
          <w:highlight w:val="none"/>
        </w:rPr>
        <w:t>上级</w:t>
      </w:r>
      <w:r>
        <w:rPr>
          <w:color w:val="auto"/>
          <w:sz w:val="28"/>
          <w:szCs w:val="28"/>
          <w:highlight w:val="none"/>
        </w:rPr>
        <w:t>供电要求</w:t>
      </w:r>
    </w:p>
    <w:p w14:paraId="7CDBC992">
      <w:pPr>
        <w:spacing w:line="520" w:lineRule="exact"/>
        <w:ind w:firstLine="560" w:firstLineChars="200"/>
        <w:rPr>
          <w:rFonts w:hint="eastAsia" w:eastAsia="宋体"/>
          <w:color w:val="auto"/>
          <w:sz w:val="28"/>
          <w:szCs w:val="28"/>
          <w:highlight w:val="none"/>
          <w:lang w:eastAsia="zh-CN"/>
        </w:rPr>
      </w:pPr>
      <w:r>
        <w:rPr>
          <w:color w:val="auto"/>
          <w:sz w:val="28"/>
          <w:szCs w:val="28"/>
          <w:highlight w:val="none"/>
        </w:rPr>
        <w:t>无人机场建设位置需确保供电条件，</w:t>
      </w:r>
      <w:r>
        <w:rPr>
          <w:rFonts w:hint="eastAsia"/>
          <w:color w:val="auto"/>
          <w:sz w:val="28"/>
          <w:szCs w:val="28"/>
          <w:highlight w:val="none"/>
        </w:rPr>
        <w:t>交流</w:t>
      </w:r>
      <w:r>
        <w:rPr>
          <w:color w:val="auto"/>
          <w:sz w:val="28"/>
          <w:szCs w:val="28"/>
          <w:highlight w:val="none"/>
        </w:rPr>
        <w:t>电压范围100~240V，输入功率不得低于1500W</w:t>
      </w:r>
      <w:r>
        <w:rPr>
          <w:rFonts w:hint="eastAsia"/>
          <w:color w:val="auto"/>
          <w:sz w:val="28"/>
          <w:szCs w:val="28"/>
          <w:highlight w:val="none"/>
        </w:rPr>
        <w:t>（最大）</w:t>
      </w:r>
      <w:r>
        <w:rPr>
          <w:color w:val="auto"/>
          <w:sz w:val="28"/>
          <w:szCs w:val="28"/>
          <w:highlight w:val="none"/>
        </w:rPr>
        <w:t>，频率：50/60Hz，遵循就近取电原则。为机场供电时，配电箱内需安装独立的2P16A漏电断路器以及40kA浪涌保护装置。电缆末端需压接针型端子，以便锁紧到漏电断路器上。当电缆长度大于50米时，在机场附近额外安装带插座的户外防水配电箱，方便维护机场和他其他设备用电。线缆长度和线缆截面积应满足</w:t>
      </w:r>
      <w:r>
        <w:rPr>
          <w:rFonts w:hint="eastAsia"/>
          <w:color w:val="auto"/>
          <w:sz w:val="28"/>
          <w:szCs w:val="28"/>
          <w:highlight w:val="none"/>
        </w:rPr>
        <w:t>以下要求</w:t>
      </w:r>
      <w:r>
        <w:rPr>
          <w:rFonts w:hint="eastAsia"/>
          <w:color w:val="auto"/>
          <w:sz w:val="28"/>
          <w:szCs w:val="28"/>
          <w:highlight w:val="none"/>
          <w:lang w:eastAsia="zh-CN"/>
        </w:rPr>
        <w:t>：</w:t>
      </w:r>
    </w:p>
    <w:p w14:paraId="140CD698">
      <w:pPr>
        <w:spacing w:line="520" w:lineRule="exact"/>
        <w:ind w:firstLine="420" w:firstLineChars="200"/>
        <w:rPr>
          <w:color w:val="auto"/>
          <w:sz w:val="28"/>
          <w:szCs w:val="28"/>
          <w:highlight w:val="none"/>
        </w:rPr>
      </w:pPr>
      <w:r>
        <w:rPr>
          <w:color w:val="auto"/>
          <w:highlight w:val="none"/>
        </w:rPr>
        <w:drawing>
          <wp:anchor distT="0" distB="0" distL="114300" distR="114300" simplePos="0" relativeHeight="251660288" behindDoc="0" locked="0" layoutInCell="1" allowOverlap="1">
            <wp:simplePos x="0" y="0"/>
            <wp:positionH relativeFrom="column">
              <wp:posOffset>-19685</wp:posOffset>
            </wp:positionH>
            <wp:positionV relativeFrom="paragraph">
              <wp:posOffset>154940</wp:posOffset>
            </wp:positionV>
            <wp:extent cx="6052820" cy="1099820"/>
            <wp:effectExtent l="0" t="0" r="5080" b="5080"/>
            <wp:wrapSquare wrapText="bothSides"/>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8"/>
                    <a:stretch>
                      <a:fillRect/>
                    </a:stretch>
                  </pic:blipFill>
                  <pic:spPr>
                    <a:xfrm>
                      <a:off x="0" y="0"/>
                      <a:ext cx="6052820" cy="1099820"/>
                    </a:xfrm>
                    <a:prstGeom prst="rect">
                      <a:avLst/>
                    </a:prstGeom>
                    <a:noFill/>
                    <a:ln>
                      <a:noFill/>
                    </a:ln>
                  </pic:spPr>
                </pic:pic>
              </a:graphicData>
            </a:graphic>
          </wp:anchor>
        </w:drawing>
      </w:r>
      <w:r>
        <w:rPr>
          <w:color w:val="auto"/>
          <w:sz w:val="28"/>
          <w:szCs w:val="28"/>
          <w:highlight w:val="none"/>
        </w:rPr>
        <w:t>14）无人机场实施范围要求</w:t>
      </w:r>
    </w:p>
    <w:p w14:paraId="3352E567">
      <w:pPr>
        <w:spacing w:line="520" w:lineRule="exact"/>
        <w:ind w:firstLine="560" w:firstLineChars="200"/>
        <w:rPr>
          <w:rFonts w:hint="eastAsia" w:eastAsia="宋体"/>
          <w:color w:val="auto"/>
          <w:sz w:val="28"/>
          <w:szCs w:val="28"/>
          <w:highlight w:val="none"/>
          <w:lang w:eastAsia="zh-CN"/>
        </w:rPr>
      </w:pPr>
      <w:r>
        <w:rPr>
          <w:color w:val="auto"/>
          <w:sz w:val="28"/>
          <w:szCs w:val="28"/>
          <w:highlight w:val="none"/>
        </w:rPr>
        <w:t>为保证后期安装调试、运行维护工作的便利性，无人机场建设区域要求为</w:t>
      </w:r>
      <w:r>
        <w:rPr>
          <w:rFonts w:hint="eastAsia"/>
          <w:color w:val="auto"/>
          <w:sz w:val="28"/>
          <w:szCs w:val="28"/>
          <w:highlight w:val="none"/>
        </w:rPr>
        <w:t>招标人</w:t>
      </w:r>
      <w:r>
        <w:rPr>
          <w:color w:val="auto"/>
          <w:sz w:val="28"/>
          <w:szCs w:val="28"/>
          <w:highlight w:val="none"/>
        </w:rPr>
        <w:t>具有产权的建筑区域内，不得部署于外部区域</w:t>
      </w:r>
      <w:r>
        <w:rPr>
          <w:rFonts w:hint="eastAsia"/>
          <w:color w:val="auto"/>
          <w:sz w:val="28"/>
          <w:szCs w:val="28"/>
          <w:highlight w:val="none"/>
          <w:lang w:eastAsia="zh-CN"/>
        </w:rPr>
        <w:t>。</w:t>
      </w:r>
    </w:p>
    <w:p w14:paraId="03169C88">
      <w:pPr>
        <w:spacing w:line="520" w:lineRule="exact"/>
        <w:ind w:firstLine="560" w:firstLineChars="200"/>
        <w:rPr>
          <w:color w:val="auto"/>
          <w:sz w:val="28"/>
          <w:szCs w:val="28"/>
          <w:highlight w:val="none"/>
        </w:rPr>
      </w:pPr>
      <w:r>
        <w:rPr>
          <w:color w:val="auto"/>
          <w:sz w:val="28"/>
          <w:szCs w:val="28"/>
          <w:highlight w:val="none"/>
        </w:rPr>
        <w:t>15）无人机场防雷措施及环境影响要求</w:t>
      </w:r>
    </w:p>
    <w:p w14:paraId="05C97C5A">
      <w:pPr>
        <w:spacing w:line="520" w:lineRule="exact"/>
        <w:ind w:firstLine="560" w:firstLineChars="200"/>
        <w:rPr>
          <w:color w:val="auto"/>
          <w:sz w:val="28"/>
          <w:szCs w:val="28"/>
          <w:highlight w:val="none"/>
        </w:rPr>
      </w:pPr>
      <w:r>
        <w:rPr>
          <w:color w:val="auto"/>
          <w:sz w:val="28"/>
          <w:szCs w:val="28"/>
          <w:highlight w:val="none"/>
        </w:rPr>
        <w:t>无人机场部署安装过程中需进行妥善防雷接地</w:t>
      </w:r>
      <w:r>
        <w:rPr>
          <w:rFonts w:hint="eastAsia"/>
          <w:color w:val="auto"/>
          <w:sz w:val="28"/>
          <w:szCs w:val="28"/>
          <w:highlight w:val="none"/>
          <w:lang w:eastAsia="zh-CN"/>
        </w:rPr>
        <w:t>，</w:t>
      </w:r>
      <w:r>
        <w:rPr>
          <w:color w:val="auto"/>
          <w:sz w:val="28"/>
          <w:szCs w:val="28"/>
          <w:highlight w:val="none"/>
        </w:rPr>
        <w:t>使用接地电阻仪进行接地电阻测量，机场要求接地电阻需小于10Ω。接地装置与机场安装位置距离大于0.5m，如</w:t>
      </w:r>
      <w:r>
        <w:rPr>
          <w:rFonts w:hint="eastAsia"/>
          <w:color w:val="auto"/>
          <w:sz w:val="28"/>
          <w:szCs w:val="28"/>
          <w:highlight w:val="none"/>
          <w:lang w:eastAsia="zh-CN"/>
        </w:rPr>
        <w:t>机场附件</w:t>
      </w:r>
      <w:r>
        <w:rPr>
          <w:color w:val="auto"/>
          <w:sz w:val="28"/>
          <w:szCs w:val="28"/>
          <w:highlight w:val="none"/>
        </w:rPr>
        <w:t>无现成的接地装置，需使用40mm×4mm扁钢将接地体引至机场附近0.5m内</w:t>
      </w:r>
      <w:r>
        <w:rPr>
          <w:rFonts w:hint="eastAsia"/>
          <w:color w:val="auto"/>
          <w:sz w:val="28"/>
          <w:szCs w:val="28"/>
          <w:highlight w:val="none"/>
          <w:lang w:eastAsia="zh-CN"/>
        </w:rPr>
        <w:t>，</w:t>
      </w:r>
      <w:r>
        <w:rPr>
          <w:color w:val="auto"/>
          <w:sz w:val="28"/>
          <w:szCs w:val="28"/>
          <w:highlight w:val="none"/>
        </w:rPr>
        <w:t>并须符合接地体制作和防雷规范要求。无人机场的防雷系统应为单独接地，不得影响现有建筑防雷措施。</w:t>
      </w:r>
    </w:p>
    <w:p w14:paraId="634143F3">
      <w:pPr>
        <w:spacing w:line="520" w:lineRule="exact"/>
        <w:ind w:firstLine="560" w:firstLineChars="200"/>
        <w:rPr>
          <w:color w:val="auto"/>
          <w:sz w:val="28"/>
          <w:szCs w:val="28"/>
          <w:highlight w:val="none"/>
        </w:rPr>
      </w:pPr>
      <w:r>
        <w:rPr>
          <w:color w:val="auto"/>
          <w:sz w:val="28"/>
          <w:szCs w:val="28"/>
          <w:highlight w:val="none"/>
        </w:rPr>
        <w:t>1</w:t>
      </w:r>
      <w:r>
        <w:rPr>
          <w:rFonts w:hint="eastAsia"/>
          <w:color w:val="auto"/>
          <w:sz w:val="28"/>
          <w:szCs w:val="28"/>
          <w:highlight w:val="none"/>
        </w:rPr>
        <w:t>6</w:t>
      </w:r>
      <w:r>
        <w:rPr>
          <w:color w:val="auto"/>
          <w:sz w:val="28"/>
          <w:szCs w:val="28"/>
          <w:highlight w:val="none"/>
        </w:rPr>
        <w:t>）系统操作工作站要求</w:t>
      </w:r>
    </w:p>
    <w:p w14:paraId="59DD7572">
      <w:pPr>
        <w:spacing w:line="520" w:lineRule="exact"/>
        <w:ind w:firstLine="560" w:firstLineChars="200"/>
        <w:rPr>
          <w:color w:val="auto"/>
          <w:sz w:val="32"/>
          <w:szCs w:val="32"/>
          <w:highlight w:val="none"/>
        </w:rPr>
      </w:pPr>
      <w:r>
        <w:rPr>
          <w:color w:val="auto"/>
          <w:sz w:val="28"/>
          <w:szCs w:val="28"/>
          <w:highlight w:val="none"/>
        </w:rPr>
        <w:t>需配备1台系统工作站：处理器配置不低于i7-11700；内存大小不低于16GB；硬盘大小不低于512G SSD+1TB 机械硬盘；显卡不低于RTX 4080；电源不低于750W；不低于27寸2K分辨率的显示屏；需配备1台音箱及其他必要配件。</w:t>
      </w:r>
    </w:p>
    <w:p w14:paraId="2E104556">
      <w:pPr>
        <w:spacing w:line="520" w:lineRule="exact"/>
        <w:ind w:firstLine="560" w:firstLineChars="200"/>
        <w:rPr>
          <w:color w:val="auto"/>
          <w:sz w:val="28"/>
          <w:szCs w:val="28"/>
          <w:highlight w:val="none"/>
        </w:rPr>
      </w:pPr>
      <w:r>
        <w:rPr>
          <w:color w:val="auto"/>
          <w:sz w:val="28"/>
          <w:szCs w:val="28"/>
          <w:highlight w:val="none"/>
        </w:rPr>
        <w:t>1</w:t>
      </w:r>
      <w:r>
        <w:rPr>
          <w:rFonts w:hint="eastAsia"/>
          <w:color w:val="auto"/>
          <w:sz w:val="28"/>
          <w:szCs w:val="28"/>
          <w:highlight w:val="none"/>
        </w:rPr>
        <w:t>7</w:t>
      </w:r>
      <w:r>
        <w:rPr>
          <w:color w:val="auto"/>
          <w:sz w:val="28"/>
          <w:szCs w:val="28"/>
          <w:highlight w:val="none"/>
        </w:rPr>
        <w:t>）无人机数据存储要求</w:t>
      </w:r>
    </w:p>
    <w:p w14:paraId="33DB2837">
      <w:pPr>
        <w:spacing w:line="520" w:lineRule="exact"/>
        <w:ind w:firstLine="560" w:firstLineChars="200"/>
        <w:rPr>
          <w:color w:val="auto"/>
          <w:sz w:val="28"/>
          <w:szCs w:val="28"/>
          <w:highlight w:val="none"/>
        </w:rPr>
      </w:pPr>
      <w:r>
        <w:rPr>
          <w:color w:val="auto"/>
          <w:sz w:val="28"/>
          <w:szCs w:val="28"/>
          <w:highlight w:val="none"/>
        </w:rPr>
        <w:t>10台机场内的无人机及2台手持飞行无人机均需配备TF内存卡，需满足为U3/Class10/V30及以上的存储卡，单张容量不得低于128G。</w:t>
      </w:r>
    </w:p>
    <w:p w14:paraId="0D72C084">
      <w:pPr>
        <w:numPr>
          <w:ilvl w:val="0"/>
          <w:numId w:val="7"/>
        </w:numPr>
        <w:spacing w:line="520" w:lineRule="exact"/>
        <w:ind w:firstLine="560" w:firstLineChars="200"/>
        <w:rPr>
          <w:rFonts w:hint="eastAsia"/>
          <w:color w:val="auto"/>
          <w:sz w:val="28"/>
          <w:szCs w:val="28"/>
          <w:highlight w:val="none"/>
          <w:lang w:eastAsia="zh-CN"/>
        </w:rPr>
      </w:pPr>
      <w:r>
        <w:rPr>
          <w:rFonts w:hint="eastAsia"/>
          <w:color w:val="auto"/>
          <w:sz w:val="28"/>
          <w:szCs w:val="28"/>
          <w:highlight w:val="none"/>
          <w:lang w:eastAsia="zh-CN"/>
        </w:rPr>
        <w:t>显示大屏参数要求</w:t>
      </w:r>
    </w:p>
    <w:p w14:paraId="64C3C0E2">
      <w:pPr>
        <w:numPr>
          <w:ilvl w:val="0"/>
          <w:numId w:val="0"/>
        </w:numPr>
        <w:spacing w:line="520" w:lineRule="exact"/>
        <w:ind w:firstLine="560" w:firstLineChars="200"/>
        <w:rPr>
          <w:rFonts w:hint="default"/>
          <w:color w:val="auto"/>
          <w:sz w:val="28"/>
          <w:szCs w:val="28"/>
          <w:highlight w:val="none"/>
          <w:lang w:val="en-US" w:eastAsia="zh-CN"/>
        </w:rPr>
      </w:pPr>
      <w:r>
        <w:rPr>
          <w:rFonts w:hint="eastAsia"/>
          <w:color w:val="auto"/>
          <w:sz w:val="28"/>
          <w:szCs w:val="28"/>
          <w:highlight w:val="none"/>
          <w:lang w:val="en-US" w:eastAsia="zh-CN"/>
        </w:rPr>
        <w:t>屏幕尺寸：不小于85英寸，分辨率：超高清4K（不小于3840*2160），内存：4GB，存储：32GB，配件包含移动支架、触控笔、电源线、遥控器和安装指南，包安装调试。</w:t>
      </w:r>
    </w:p>
    <w:p w14:paraId="1F970ED6">
      <w:pPr>
        <w:spacing w:line="520" w:lineRule="exact"/>
        <w:ind w:firstLine="560" w:firstLineChars="200"/>
        <w:rPr>
          <w:color w:val="auto"/>
          <w:sz w:val="28"/>
          <w:szCs w:val="28"/>
          <w:highlight w:val="none"/>
        </w:rPr>
      </w:pPr>
      <w:r>
        <w:rPr>
          <w:color w:val="auto"/>
          <w:sz w:val="28"/>
          <w:szCs w:val="28"/>
          <w:highlight w:val="none"/>
        </w:rPr>
        <w:t>1</w:t>
      </w:r>
      <w:r>
        <w:rPr>
          <w:rFonts w:hint="eastAsia"/>
          <w:color w:val="auto"/>
          <w:sz w:val="28"/>
          <w:szCs w:val="28"/>
          <w:highlight w:val="none"/>
          <w:lang w:val="en-US" w:eastAsia="zh-CN"/>
        </w:rPr>
        <w:t>9</w:t>
      </w:r>
      <w:r>
        <w:rPr>
          <w:color w:val="auto"/>
          <w:sz w:val="28"/>
          <w:szCs w:val="28"/>
          <w:highlight w:val="none"/>
        </w:rPr>
        <w:t>）无人机挂载喊话器要求</w:t>
      </w:r>
    </w:p>
    <w:p w14:paraId="093E2618">
      <w:pPr>
        <w:spacing w:line="520" w:lineRule="exact"/>
        <w:ind w:firstLine="560" w:firstLineChars="200"/>
        <w:rPr>
          <w:color w:val="auto"/>
          <w:sz w:val="32"/>
          <w:szCs w:val="32"/>
          <w:highlight w:val="none"/>
        </w:rPr>
      </w:pPr>
      <w:r>
        <w:rPr>
          <w:color w:val="auto"/>
          <w:sz w:val="28"/>
          <w:szCs w:val="28"/>
          <w:highlight w:val="none"/>
        </w:rPr>
        <w:t>每个机场配备1台喊话器，需可适配在对应型号的机场无人机上，支持自动喊话、循环喊话、文本转语音、录音文件播放等功能，重量不超过300g；有效广播距离大于300m。</w:t>
      </w:r>
    </w:p>
    <w:p w14:paraId="01620249">
      <w:pPr>
        <w:spacing w:line="520" w:lineRule="exact"/>
        <w:ind w:left="420" w:leftChars="200" w:firstLine="280" w:firstLineChars="100"/>
        <w:rPr>
          <w:color w:val="auto"/>
          <w:sz w:val="28"/>
          <w:szCs w:val="28"/>
          <w:highlight w:val="none"/>
        </w:rPr>
      </w:pPr>
      <w:r>
        <w:rPr>
          <w:rFonts w:hint="eastAsia"/>
          <w:color w:val="auto"/>
          <w:sz w:val="28"/>
          <w:szCs w:val="28"/>
          <w:highlight w:val="none"/>
          <w:lang w:val="en-US" w:eastAsia="zh-CN"/>
        </w:rPr>
        <w:t>20</w:t>
      </w:r>
      <w:r>
        <w:rPr>
          <w:color w:val="auto"/>
          <w:sz w:val="28"/>
          <w:szCs w:val="28"/>
          <w:highlight w:val="none"/>
        </w:rPr>
        <w:t>）其它参数要求：</w:t>
      </w:r>
    </w:p>
    <w:tbl>
      <w:tblPr>
        <w:tblStyle w:val="22"/>
        <w:tblW w:w="50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310"/>
        <w:gridCol w:w="6780"/>
      </w:tblGrid>
      <w:tr w14:paraId="1D3D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2" w:type="dxa"/>
            <w:tcBorders>
              <w:top w:val="single" w:color="auto" w:sz="4" w:space="0"/>
              <w:left w:val="single" w:color="auto" w:sz="4" w:space="0"/>
              <w:bottom w:val="single" w:color="auto" w:sz="4" w:space="0"/>
              <w:right w:val="single" w:color="auto" w:sz="4" w:space="0"/>
            </w:tcBorders>
            <w:noWrap w:val="0"/>
            <w:vAlign w:val="top"/>
          </w:tcPr>
          <w:p w14:paraId="538B310E">
            <w:pPr>
              <w:spacing w:line="360" w:lineRule="exact"/>
              <w:jc w:val="center"/>
              <w:rPr>
                <w:color w:val="auto"/>
                <w:szCs w:val="21"/>
                <w:highlight w:val="none"/>
              </w:rPr>
            </w:pPr>
            <w:r>
              <w:rPr>
                <w:color w:val="auto"/>
                <w:szCs w:val="21"/>
                <w:highlight w:val="none"/>
                <w:lang w:bidi="ar"/>
              </w:rPr>
              <w:t>序号</w:t>
            </w:r>
          </w:p>
        </w:tc>
        <w:tc>
          <w:tcPr>
            <w:tcW w:w="2177" w:type="dxa"/>
            <w:tcBorders>
              <w:top w:val="single" w:color="auto" w:sz="4" w:space="0"/>
              <w:left w:val="single" w:color="auto" w:sz="4" w:space="0"/>
              <w:bottom w:val="single" w:color="auto" w:sz="4" w:space="0"/>
              <w:right w:val="single" w:color="auto" w:sz="4" w:space="0"/>
            </w:tcBorders>
            <w:noWrap w:val="0"/>
            <w:vAlign w:val="top"/>
          </w:tcPr>
          <w:p w14:paraId="080B839B">
            <w:pPr>
              <w:spacing w:line="360" w:lineRule="exact"/>
              <w:jc w:val="center"/>
              <w:rPr>
                <w:color w:val="auto"/>
                <w:szCs w:val="21"/>
                <w:highlight w:val="none"/>
              </w:rPr>
            </w:pPr>
            <w:r>
              <w:rPr>
                <w:color w:val="auto"/>
                <w:szCs w:val="21"/>
                <w:highlight w:val="none"/>
                <w:lang w:bidi="ar"/>
              </w:rPr>
              <w:t>技术参数</w:t>
            </w:r>
          </w:p>
        </w:tc>
        <w:tc>
          <w:tcPr>
            <w:tcW w:w="6390" w:type="dxa"/>
            <w:tcBorders>
              <w:top w:val="single" w:color="auto" w:sz="4" w:space="0"/>
              <w:left w:val="single" w:color="auto" w:sz="4" w:space="0"/>
              <w:bottom w:val="single" w:color="auto" w:sz="4" w:space="0"/>
              <w:right w:val="single" w:color="auto" w:sz="4" w:space="0"/>
            </w:tcBorders>
            <w:noWrap w:val="0"/>
            <w:vAlign w:val="top"/>
          </w:tcPr>
          <w:p w14:paraId="128ED4BB">
            <w:pPr>
              <w:spacing w:line="360" w:lineRule="exact"/>
              <w:jc w:val="center"/>
              <w:rPr>
                <w:color w:val="auto"/>
                <w:szCs w:val="21"/>
                <w:highlight w:val="none"/>
              </w:rPr>
            </w:pPr>
            <w:r>
              <w:rPr>
                <w:color w:val="auto"/>
                <w:szCs w:val="21"/>
                <w:highlight w:val="none"/>
                <w:lang w:bidi="ar"/>
              </w:rPr>
              <w:t>参数范围要求</w:t>
            </w:r>
          </w:p>
        </w:tc>
      </w:tr>
      <w:tr w14:paraId="0BF0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2" w:type="dxa"/>
            <w:tcBorders>
              <w:top w:val="single" w:color="auto" w:sz="4" w:space="0"/>
              <w:left w:val="single" w:color="auto" w:sz="4" w:space="0"/>
              <w:bottom w:val="single" w:color="auto" w:sz="4" w:space="0"/>
              <w:right w:val="single" w:color="auto" w:sz="4" w:space="0"/>
            </w:tcBorders>
            <w:noWrap w:val="0"/>
            <w:vAlign w:val="top"/>
          </w:tcPr>
          <w:p w14:paraId="585EC1B5">
            <w:pPr>
              <w:numPr>
                <w:ilvl w:val="0"/>
                <w:numId w:val="8"/>
              </w:numPr>
              <w:spacing w:line="360" w:lineRule="exact"/>
              <w:jc w:val="center"/>
              <w:rPr>
                <w:color w:val="auto"/>
                <w:szCs w:val="21"/>
                <w:highlight w:val="none"/>
              </w:rPr>
            </w:pPr>
          </w:p>
        </w:tc>
        <w:tc>
          <w:tcPr>
            <w:tcW w:w="2177" w:type="dxa"/>
            <w:tcBorders>
              <w:top w:val="single" w:color="auto" w:sz="4" w:space="0"/>
              <w:left w:val="single" w:color="auto" w:sz="4" w:space="0"/>
              <w:bottom w:val="single" w:color="auto" w:sz="4" w:space="0"/>
              <w:right w:val="single" w:color="auto" w:sz="4" w:space="0"/>
            </w:tcBorders>
            <w:noWrap w:val="0"/>
            <w:vAlign w:val="top"/>
          </w:tcPr>
          <w:p w14:paraId="3A91382C">
            <w:pPr>
              <w:spacing w:line="360" w:lineRule="exact"/>
              <w:rPr>
                <w:color w:val="auto"/>
                <w:szCs w:val="21"/>
                <w:highlight w:val="none"/>
              </w:rPr>
            </w:pPr>
            <w:r>
              <w:rPr>
                <w:color w:val="auto"/>
                <w:szCs w:val="21"/>
                <w:highlight w:val="none"/>
                <w:lang w:bidi="ar"/>
              </w:rPr>
              <w:t>最大作业半径</w:t>
            </w:r>
          </w:p>
        </w:tc>
        <w:tc>
          <w:tcPr>
            <w:tcW w:w="6390" w:type="dxa"/>
            <w:tcBorders>
              <w:top w:val="single" w:color="auto" w:sz="4" w:space="0"/>
              <w:left w:val="single" w:color="auto" w:sz="4" w:space="0"/>
              <w:bottom w:val="single" w:color="auto" w:sz="4" w:space="0"/>
              <w:right w:val="single" w:color="auto" w:sz="4" w:space="0"/>
            </w:tcBorders>
            <w:noWrap w:val="0"/>
            <w:vAlign w:val="top"/>
          </w:tcPr>
          <w:p w14:paraId="3F115088">
            <w:pPr>
              <w:spacing w:line="360" w:lineRule="exact"/>
              <w:rPr>
                <w:color w:val="auto"/>
                <w:szCs w:val="21"/>
                <w:highlight w:val="none"/>
              </w:rPr>
            </w:pPr>
            <w:r>
              <w:rPr>
                <w:color w:val="auto"/>
                <w:szCs w:val="21"/>
                <w:highlight w:val="none"/>
                <w:lang w:bidi="ar"/>
              </w:rPr>
              <w:t>≥6km</w:t>
            </w:r>
          </w:p>
        </w:tc>
      </w:tr>
      <w:tr w14:paraId="782C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2" w:type="dxa"/>
            <w:tcBorders>
              <w:top w:val="single" w:color="auto" w:sz="4" w:space="0"/>
              <w:left w:val="single" w:color="auto" w:sz="4" w:space="0"/>
              <w:bottom w:val="single" w:color="auto" w:sz="4" w:space="0"/>
              <w:right w:val="single" w:color="auto" w:sz="4" w:space="0"/>
            </w:tcBorders>
            <w:noWrap w:val="0"/>
            <w:vAlign w:val="top"/>
          </w:tcPr>
          <w:p w14:paraId="6541D0D2">
            <w:pPr>
              <w:numPr>
                <w:ilvl w:val="0"/>
                <w:numId w:val="8"/>
              </w:numPr>
              <w:spacing w:line="360" w:lineRule="exact"/>
              <w:jc w:val="center"/>
              <w:rPr>
                <w:color w:val="auto"/>
                <w:szCs w:val="21"/>
                <w:highlight w:val="none"/>
              </w:rPr>
            </w:pPr>
          </w:p>
        </w:tc>
        <w:tc>
          <w:tcPr>
            <w:tcW w:w="2177" w:type="dxa"/>
            <w:tcBorders>
              <w:top w:val="single" w:color="auto" w:sz="4" w:space="0"/>
              <w:left w:val="single" w:color="auto" w:sz="4" w:space="0"/>
              <w:bottom w:val="single" w:color="auto" w:sz="4" w:space="0"/>
              <w:right w:val="single" w:color="auto" w:sz="4" w:space="0"/>
            </w:tcBorders>
            <w:noWrap w:val="0"/>
            <w:vAlign w:val="top"/>
          </w:tcPr>
          <w:p w14:paraId="0A57ECE7">
            <w:pPr>
              <w:spacing w:line="360" w:lineRule="exact"/>
              <w:rPr>
                <w:color w:val="auto"/>
                <w:szCs w:val="21"/>
                <w:highlight w:val="none"/>
              </w:rPr>
            </w:pPr>
            <w:r>
              <w:rPr>
                <w:color w:val="auto"/>
                <w:szCs w:val="21"/>
                <w:highlight w:val="none"/>
                <w:lang w:bidi="ar"/>
              </w:rPr>
              <w:t>充电时间</w:t>
            </w:r>
          </w:p>
        </w:tc>
        <w:tc>
          <w:tcPr>
            <w:tcW w:w="6390" w:type="dxa"/>
            <w:tcBorders>
              <w:top w:val="single" w:color="auto" w:sz="4" w:space="0"/>
              <w:left w:val="single" w:color="auto" w:sz="4" w:space="0"/>
              <w:bottom w:val="single" w:color="auto" w:sz="4" w:space="0"/>
              <w:right w:val="single" w:color="auto" w:sz="4" w:space="0"/>
            </w:tcBorders>
            <w:noWrap w:val="0"/>
            <w:vAlign w:val="top"/>
          </w:tcPr>
          <w:p w14:paraId="2E3ED1D1">
            <w:pPr>
              <w:spacing w:line="360" w:lineRule="exact"/>
              <w:rPr>
                <w:color w:val="auto"/>
                <w:szCs w:val="21"/>
                <w:highlight w:val="none"/>
              </w:rPr>
            </w:pPr>
            <w:r>
              <w:rPr>
                <w:color w:val="auto"/>
                <w:szCs w:val="21"/>
                <w:highlight w:val="none"/>
                <w:lang w:bidi="ar"/>
              </w:rPr>
              <w:t>≤35min</w:t>
            </w:r>
          </w:p>
        </w:tc>
      </w:tr>
      <w:tr w14:paraId="606B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2" w:type="dxa"/>
            <w:tcBorders>
              <w:top w:val="single" w:color="auto" w:sz="4" w:space="0"/>
              <w:left w:val="single" w:color="auto" w:sz="4" w:space="0"/>
              <w:bottom w:val="single" w:color="auto" w:sz="4" w:space="0"/>
              <w:right w:val="single" w:color="auto" w:sz="4" w:space="0"/>
            </w:tcBorders>
            <w:noWrap w:val="0"/>
            <w:vAlign w:val="top"/>
          </w:tcPr>
          <w:p w14:paraId="44387F9F">
            <w:pPr>
              <w:numPr>
                <w:ilvl w:val="0"/>
                <w:numId w:val="8"/>
              </w:numPr>
              <w:spacing w:line="360" w:lineRule="exact"/>
              <w:jc w:val="center"/>
              <w:rPr>
                <w:color w:val="auto"/>
                <w:szCs w:val="21"/>
                <w:highlight w:val="none"/>
              </w:rPr>
            </w:pPr>
          </w:p>
        </w:tc>
        <w:tc>
          <w:tcPr>
            <w:tcW w:w="2177" w:type="dxa"/>
            <w:tcBorders>
              <w:top w:val="single" w:color="auto" w:sz="4" w:space="0"/>
              <w:left w:val="single" w:color="auto" w:sz="4" w:space="0"/>
              <w:bottom w:val="single" w:color="auto" w:sz="4" w:space="0"/>
              <w:right w:val="single" w:color="auto" w:sz="4" w:space="0"/>
            </w:tcBorders>
            <w:noWrap w:val="0"/>
            <w:vAlign w:val="top"/>
          </w:tcPr>
          <w:p w14:paraId="7AC70755">
            <w:pPr>
              <w:spacing w:line="360" w:lineRule="exact"/>
              <w:rPr>
                <w:color w:val="auto"/>
                <w:szCs w:val="21"/>
                <w:highlight w:val="none"/>
              </w:rPr>
            </w:pPr>
            <w:r>
              <w:rPr>
                <w:color w:val="auto"/>
                <w:szCs w:val="21"/>
                <w:highlight w:val="none"/>
                <w:lang w:bidi="ar"/>
              </w:rPr>
              <w:t>飞行器降落误差精度</w:t>
            </w:r>
          </w:p>
        </w:tc>
        <w:tc>
          <w:tcPr>
            <w:tcW w:w="6390" w:type="dxa"/>
            <w:tcBorders>
              <w:top w:val="single" w:color="auto" w:sz="4" w:space="0"/>
              <w:left w:val="single" w:color="auto" w:sz="4" w:space="0"/>
              <w:bottom w:val="single" w:color="auto" w:sz="4" w:space="0"/>
              <w:right w:val="single" w:color="auto" w:sz="4" w:space="0"/>
            </w:tcBorders>
            <w:noWrap w:val="0"/>
            <w:vAlign w:val="top"/>
          </w:tcPr>
          <w:p w14:paraId="1B43EF06">
            <w:pPr>
              <w:spacing w:line="360" w:lineRule="exact"/>
              <w:rPr>
                <w:color w:val="auto"/>
                <w:szCs w:val="21"/>
                <w:highlight w:val="none"/>
              </w:rPr>
            </w:pPr>
            <w:r>
              <w:rPr>
                <w:color w:val="auto"/>
                <w:szCs w:val="21"/>
                <w:highlight w:val="none"/>
                <w:lang w:bidi="ar"/>
              </w:rPr>
              <w:t>≤5cm</w:t>
            </w:r>
          </w:p>
        </w:tc>
      </w:tr>
      <w:tr w14:paraId="3D7A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2" w:type="dxa"/>
            <w:tcBorders>
              <w:top w:val="single" w:color="auto" w:sz="4" w:space="0"/>
              <w:left w:val="single" w:color="auto" w:sz="4" w:space="0"/>
              <w:bottom w:val="single" w:color="auto" w:sz="4" w:space="0"/>
              <w:right w:val="single" w:color="auto" w:sz="4" w:space="0"/>
            </w:tcBorders>
            <w:noWrap w:val="0"/>
            <w:vAlign w:val="top"/>
          </w:tcPr>
          <w:p w14:paraId="5C324D50">
            <w:pPr>
              <w:numPr>
                <w:ilvl w:val="0"/>
                <w:numId w:val="8"/>
              </w:numPr>
              <w:spacing w:line="360" w:lineRule="exact"/>
              <w:jc w:val="center"/>
              <w:rPr>
                <w:color w:val="auto"/>
                <w:szCs w:val="21"/>
                <w:highlight w:val="none"/>
              </w:rPr>
            </w:pPr>
          </w:p>
        </w:tc>
        <w:tc>
          <w:tcPr>
            <w:tcW w:w="2177" w:type="dxa"/>
            <w:tcBorders>
              <w:top w:val="single" w:color="auto" w:sz="4" w:space="0"/>
              <w:left w:val="single" w:color="auto" w:sz="4" w:space="0"/>
              <w:bottom w:val="single" w:color="auto" w:sz="4" w:space="0"/>
              <w:right w:val="single" w:color="auto" w:sz="4" w:space="0"/>
            </w:tcBorders>
            <w:noWrap w:val="0"/>
            <w:vAlign w:val="top"/>
          </w:tcPr>
          <w:p w14:paraId="656B5DBF">
            <w:pPr>
              <w:spacing w:line="360" w:lineRule="exact"/>
              <w:rPr>
                <w:color w:val="auto"/>
                <w:szCs w:val="21"/>
                <w:highlight w:val="none"/>
              </w:rPr>
            </w:pPr>
            <w:r>
              <w:rPr>
                <w:color w:val="auto"/>
                <w:szCs w:val="21"/>
                <w:highlight w:val="none"/>
                <w:lang w:bidi="ar"/>
              </w:rPr>
              <w:t>供电</w:t>
            </w:r>
          </w:p>
        </w:tc>
        <w:tc>
          <w:tcPr>
            <w:tcW w:w="6390" w:type="dxa"/>
            <w:tcBorders>
              <w:top w:val="single" w:color="auto" w:sz="4" w:space="0"/>
              <w:left w:val="single" w:color="auto" w:sz="4" w:space="0"/>
              <w:bottom w:val="single" w:color="auto" w:sz="4" w:space="0"/>
              <w:right w:val="single" w:color="auto" w:sz="4" w:space="0"/>
            </w:tcBorders>
            <w:noWrap w:val="0"/>
            <w:vAlign w:val="top"/>
          </w:tcPr>
          <w:p w14:paraId="0611B6CF">
            <w:pPr>
              <w:spacing w:line="360" w:lineRule="exact"/>
              <w:rPr>
                <w:color w:val="auto"/>
                <w:szCs w:val="21"/>
                <w:highlight w:val="none"/>
              </w:rPr>
            </w:pPr>
            <w:r>
              <w:rPr>
                <w:color w:val="auto"/>
                <w:szCs w:val="21"/>
                <w:highlight w:val="none"/>
                <w:lang w:bidi="ar"/>
              </w:rPr>
              <w:t>100至240VAC, 47至63Hz。</w:t>
            </w:r>
          </w:p>
        </w:tc>
      </w:tr>
      <w:tr w14:paraId="29AF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2" w:type="dxa"/>
            <w:tcBorders>
              <w:top w:val="single" w:color="auto" w:sz="4" w:space="0"/>
              <w:left w:val="single" w:color="auto" w:sz="4" w:space="0"/>
              <w:bottom w:val="single" w:color="auto" w:sz="4" w:space="0"/>
              <w:right w:val="single" w:color="auto" w:sz="4" w:space="0"/>
            </w:tcBorders>
            <w:noWrap w:val="0"/>
            <w:vAlign w:val="top"/>
          </w:tcPr>
          <w:p w14:paraId="7C2F56F9">
            <w:pPr>
              <w:numPr>
                <w:ilvl w:val="0"/>
                <w:numId w:val="8"/>
              </w:numPr>
              <w:spacing w:line="360" w:lineRule="exact"/>
              <w:jc w:val="center"/>
              <w:rPr>
                <w:color w:val="auto"/>
                <w:szCs w:val="21"/>
                <w:highlight w:val="none"/>
              </w:rPr>
            </w:pPr>
          </w:p>
        </w:tc>
        <w:tc>
          <w:tcPr>
            <w:tcW w:w="2177" w:type="dxa"/>
            <w:tcBorders>
              <w:top w:val="single" w:color="auto" w:sz="4" w:space="0"/>
              <w:left w:val="single" w:color="auto" w:sz="4" w:space="0"/>
              <w:bottom w:val="single" w:color="auto" w:sz="4" w:space="0"/>
              <w:right w:val="single" w:color="auto" w:sz="4" w:space="0"/>
            </w:tcBorders>
            <w:noWrap w:val="0"/>
            <w:vAlign w:val="top"/>
          </w:tcPr>
          <w:p w14:paraId="05D91CC8">
            <w:pPr>
              <w:spacing w:line="360" w:lineRule="exact"/>
              <w:rPr>
                <w:color w:val="auto"/>
                <w:szCs w:val="21"/>
                <w:highlight w:val="none"/>
              </w:rPr>
            </w:pPr>
            <w:r>
              <w:rPr>
                <w:color w:val="auto"/>
                <w:szCs w:val="21"/>
                <w:highlight w:val="none"/>
                <w:lang w:bidi="ar"/>
              </w:rPr>
              <w:t>功率（机场）</w:t>
            </w:r>
          </w:p>
        </w:tc>
        <w:tc>
          <w:tcPr>
            <w:tcW w:w="6390" w:type="dxa"/>
            <w:tcBorders>
              <w:top w:val="single" w:color="auto" w:sz="4" w:space="0"/>
              <w:left w:val="single" w:color="auto" w:sz="4" w:space="0"/>
              <w:bottom w:val="single" w:color="auto" w:sz="4" w:space="0"/>
              <w:right w:val="single" w:color="auto" w:sz="4" w:space="0"/>
            </w:tcBorders>
            <w:noWrap w:val="0"/>
            <w:vAlign w:val="top"/>
          </w:tcPr>
          <w:p w14:paraId="71D6FBBD">
            <w:pPr>
              <w:spacing w:line="360" w:lineRule="exact"/>
              <w:rPr>
                <w:color w:val="auto"/>
                <w:szCs w:val="21"/>
                <w:highlight w:val="none"/>
              </w:rPr>
            </w:pPr>
            <w:r>
              <w:rPr>
                <w:color w:val="auto"/>
                <w:szCs w:val="21"/>
                <w:highlight w:val="none"/>
                <w:lang w:bidi="ar"/>
              </w:rPr>
              <w:t>1500W MAX。</w:t>
            </w:r>
          </w:p>
        </w:tc>
      </w:tr>
      <w:tr w14:paraId="5A98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2" w:type="dxa"/>
            <w:tcBorders>
              <w:top w:val="single" w:color="auto" w:sz="4" w:space="0"/>
              <w:left w:val="single" w:color="auto" w:sz="4" w:space="0"/>
              <w:bottom w:val="single" w:color="auto" w:sz="4" w:space="0"/>
              <w:right w:val="single" w:color="auto" w:sz="4" w:space="0"/>
            </w:tcBorders>
            <w:noWrap w:val="0"/>
            <w:vAlign w:val="top"/>
          </w:tcPr>
          <w:p w14:paraId="10AE0744">
            <w:pPr>
              <w:numPr>
                <w:ilvl w:val="0"/>
                <w:numId w:val="8"/>
              </w:numPr>
              <w:spacing w:line="360" w:lineRule="exact"/>
              <w:jc w:val="center"/>
              <w:rPr>
                <w:color w:val="auto"/>
                <w:szCs w:val="21"/>
                <w:highlight w:val="none"/>
              </w:rPr>
            </w:pPr>
          </w:p>
        </w:tc>
        <w:tc>
          <w:tcPr>
            <w:tcW w:w="2177" w:type="dxa"/>
            <w:tcBorders>
              <w:top w:val="single" w:color="auto" w:sz="4" w:space="0"/>
              <w:left w:val="single" w:color="auto" w:sz="4" w:space="0"/>
              <w:bottom w:val="single" w:color="auto" w:sz="4" w:space="0"/>
              <w:right w:val="single" w:color="auto" w:sz="4" w:space="0"/>
            </w:tcBorders>
            <w:noWrap w:val="0"/>
            <w:vAlign w:val="top"/>
          </w:tcPr>
          <w:p w14:paraId="18F7C876">
            <w:pPr>
              <w:spacing w:line="360" w:lineRule="exact"/>
              <w:rPr>
                <w:color w:val="auto"/>
                <w:szCs w:val="21"/>
                <w:highlight w:val="none"/>
              </w:rPr>
            </w:pPr>
            <w:r>
              <w:rPr>
                <w:color w:val="auto"/>
                <w:szCs w:val="21"/>
                <w:highlight w:val="none"/>
                <w:lang w:bidi="ar"/>
              </w:rPr>
              <w:t>机库工作温度</w:t>
            </w:r>
          </w:p>
        </w:tc>
        <w:tc>
          <w:tcPr>
            <w:tcW w:w="6390" w:type="dxa"/>
            <w:tcBorders>
              <w:top w:val="single" w:color="auto" w:sz="4" w:space="0"/>
              <w:left w:val="single" w:color="auto" w:sz="4" w:space="0"/>
              <w:bottom w:val="single" w:color="auto" w:sz="4" w:space="0"/>
              <w:right w:val="single" w:color="auto" w:sz="4" w:space="0"/>
            </w:tcBorders>
            <w:noWrap w:val="0"/>
            <w:vAlign w:val="top"/>
          </w:tcPr>
          <w:p w14:paraId="39A6C138">
            <w:pPr>
              <w:spacing w:line="360" w:lineRule="exact"/>
              <w:rPr>
                <w:color w:val="auto"/>
                <w:szCs w:val="21"/>
                <w:highlight w:val="none"/>
              </w:rPr>
            </w:pPr>
            <w:r>
              <w:rPr>
                <w:color w:val="auto"/>
                <w:szCs w:val="21"/>
                <w:highlight w:val="none"/>
                <w:lang w:bidi="ar"/>
              </w:rPr>
              <w:t>-25℃至45℃。</w:t>
            </w:r>
          </w:p>
        </w:tc>
      </w:tr>
      <w:tr w14:paraId="05C5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2" w:type="dxa"/>
            <w:tcBorders>
              <w:top w:val="single" w:color="auto" w:sz="4" w:space="0"/>
              <w:left w:val="single" w:color="auto" w:sz="4" w:space="0"/>
              <w:bottom w:val="single" w:color="auto" w:sz="4" w:space="0"/>
              <w:right w:val="single" w:color="auto" w:sz="4" w:space="0"/>
            </w:tcBorders>
            <w:noWrap w:val="0"/>
            <w:vAlign w:val="top"/>
          </w:tcPr>
          <w:p w14:paraId="1F6E87F2">
            <w:pPr>
              <w:numPr>
                <w:ilvl w:val="0"/>
                <w:numId w:val="8"/>
              </w:numPr>
              <w:spacing w:line="360" w:lineRule="exact"/>
              <w:jc w:val="center"/>
              <w:rPr>
                <w:color w:val="auto"/>
                <w:szCs w:val="21"/>
                <w:highlight w:val="none"/>
              </w:rPr>
            </w:pPr>
          </w:p>
        </w:tc>
        <w:tc>
          <w:tcPr>
            <w:tcW w:w="2177" w:type="dxa"/>
            <w:tcBorders>
              <w:top w:val="single" w:color="auto" w:sz="4" w:space="0"/>
              <w:left w:val="single" w:color="auto" w:sz="4" w:space="0"/>
              <w:bottom w:val="single" w:color="auto" w:sz="4" w:space="0"/>
              <w:right w:val="single" w:color="auto" w:sz="4" w:space="0"/>
            </w:tcBorders>
            <w:noWrap w:val="0"/>
            <w:vAlign w:val="top"/>
          </w:tcPr>
          <w:p w14:paraId="6EC12164">
            <w:pPr>
              <w:spacing w:line="360" w:lineRule="exact"/>
              <w:rPr>
                <w:color w:val="auto"/>
                <w:szCs w:val="21"/>
                <w:highlight w:val="none"/>
              </w:rPr>
            </w:pPr>
            <w:r>
              <w:rPr>
                <w:color w:val="auto"/>
                <w:szCs w:val="21"/>
                <w:highlight w:val="none"/>
                <w:lang w:bidi="ar"/>
              </w:rPr>
              <w:t>防护等级</w:t>
            </w:r>
          </w:p>
        </w:tc>
        <w:tc>
          <w:tcPr>
            <w:tcW w:w="6390" w:type="dxa"/>
            <w:tcBorders>
              <w:top w:val="single" w:color="auto" w:sz="4" w:space="0"/>
              <w:left w:val="single" w:color="auto" w:sz="4" w:space="0"/>
              <w:bottom w:val="single" w:color="auto" w:sz="4" w:space="0"/>
              <w:right w:val="single" w:color="auto" w:sz="4" w:space="0"/>
            </w:tcBorders>
            <w:noWrap w:val="0"/>
            <w:vAlign w:val="top"/>
          </w:tcPr>
          <w:p w14:paraId="67403BE2">
            <w:pPr>
              <w:spacing w:line="360" w:lineRule="exact"/>
              <w:rPr>
                <w:color w:val="auto"/>
                <w:szCs w:val="21"/>
                <w:highlight w:val="none"/>
              </w:rPr>
            </w:pPr>
            <w:r>
              <w:rPr>
                <w:color w:val="auto"/>
                <w:szCs w:val="21"/>
                <w:highlight w:val="none"/>
                <w:lang w:bidi="ar"/>
              </w:rPr>
              <w:t>≥IP55，可承受特大暴雨，可抗12级风。</w:t>
            </w:r>
          </w:p>
        </w:tc>
      </w:tr>
      <w:tr w14:paraId="6AFD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12" w:type="dxa"/>
            <w:tcBorders>
              <w:top w:val="single" w:color="auto" w:sz="4" w:space="0"/>
              <w:left w:val="single" w:color="auto" w:sz="4" w:space="0"/>
              <w:bottom w:val="single" w:color="auto" w:sz="4" w:space="0"/>
              <w:right w:val="single" w:color="auto" w:sz="4" w:space="0"/>
            </w:tcBorders>
            <w:noWrap w:val="0"/>
            <w:vAlign w:val="top"/>
          </w:tcPr>
          <w:p w14:paraId="5A787ABE">
            <w:pPr>
              <w:numPr>
                <w:ilvl w:val="0"/>
                <w:numId w:val="8"/>
              </w:numPr>
              <w:spacing w:line="360" w:lineRule="exact"/>
              <w:jc w:val="center"/>
              <w:rPr>
                <w:color w:val="auto"/>
                <w:szCs w:val="21"/>
                <w:highlight w:val="none"/>
              </w:rPr>
            </w:pPr>
          </w:p>
        </w:tc>
        <w:tc>
          <w:tcPr>
            <w:tcW w:w="2177" w:type="dxa"/>
            <w:tcBorders>
              <w:top w:val="single" w:color="auto" w:sz="4" w:space="0"/>
              <w:left w:val="single" w:color="auto" w:sz="4" w:space="0"/>
              <w:bottom w:val="single" w:color="auto" w:sz="4" w:space="0"/>
              <w:right w:val="single" w:color="auto" w:sz="4" w:space="0"/>
            </w:tcBorders>
            <w:noWrap w:val="0"/>
            <w:vAlign w:val="top"/>
          </w:tcPr>
          <w:p w14:paraId="24AFE0EA">
            <w:pPr>
              <w:spacing w:line="360" w:lineRule="exact"/>
              <w:rPr>
                <w:color w:val="auto"/>
                <w:szCs w:val="21"/>
                <w:highlight w:val="none"/>
              </w:rPr>
            </w:pPr>
            <w:r>
              <w:rPr>
                <w:color w:val="auto"/>
                <w:szCs w:val="21"/>
                <w:highlight w:val="none"/>
                <w:lang w:bidi="ar"/>
              </w:rPr>
              <w:t>电源管理</w:t>
            </w:r>
          </w:p>
        </w:tc>
        <w:tc>
          <w:tcPr>
            <w:tcW w:w="6390" w:type="dxa"/>
            <w:tcBorders>
              <w:top w:val="single" w:color="auto" w:sz="4" w:space="0"/>
              <w:left w:val="single" w:color="auto" w:sz="4" w:space="0"/>
              <w:bottom w:val="single" w:color="auto" w:sz="4" w:space="0"/>
              <w:right w:val="single" w:color="auto" w:sz="4" w:space="0"/>
            </w:tcBorders>
            <w:noWrap w:val="0"/>
            <w:vAlign w:val="top"/>
          </w:tcPr>
          <w:p w14:paraId="35EE0ADE">
            <w:pPr>
              <w:spacing w:line="360" w:lineRule="exact"/>
              <w:rPr>
                <w:color w:val="auto"/>
                <w:szCs w:val="21"/>
                <w:highlight w:val="none"/>
              </w:rPr>
            </w:pPr>
            <w:r>
              <w:rPr>
                <w:color w:val="auto"/>
                <w:szCs w:val="21"/>
                <w:highlight w:val="none"/>
                <w:lang w:bidi="ar"/>
              </w:rPr>
              <w:t>内置备用电池，支持断电5小时内云端在线并保障无人机可安全返航。</w:t>
            </w:r>
          </w:p>
        </w:tc>
      </w:tr>
      <w:tr w14:paraId="2780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12" w:type="dxa"/>
            <w:tcBorders>
              <w:top w:val="single" w:color="auto" w:sz="4" w:space="0"/>
              <w:left w:val="single" w:color="auto" w:sz="4" w:space="0"/>
              <w:bottom w:val="single" w:color="auto" w:sz="4" w:space="0"/>
              <w:right w:val="single" w:color="auto" w:sz="4" w:space="0"/>
            </w:tcBorders>
            <w:noWrap w:val="0"/>
            <w:vAlign w:val="top"/>
          </w:tcPr>
          <w:p w14:paraId="013F8A9D">
            <w:pPr>
              <w:numPr>
                <w:ilvl w:val="0"/>
                <w:numId w:val="8"/>
              </w:numPr>
              <w:spacing w:line="360" w:lineRule="exact"/>
              <w:jc w:val="center"/>
              <w:rPr>
                <w:color w:val="auto"/>
                <w:szCs w:val="21"/>
                <w:highlight w:val="none"/>
              </w:rPr>
            </w:pPr>
          </w:p>
        </w:tc>
        <w:tc>
          <w:tcPr>
            <w:tcW w:w="2177" w:type="dxa"/>
            <w:tcBorders>
              <w:top w:val="single" w:color="auto" w:sz="4" w:space="0"/>
              <w:left w:val="single" w:color="auto" w:sz="4" w:space="0"/>
              <w:bottom w:val="single" w:color="auto" w:sz="4" w:space="0"/>
              <w:right w:val="single" w:color="auto" w:sz="4" w:space="0"/>
            </w:tcBorders>
            <w:noWrap w:val="0"/>
            <w:vAlign w:val="top"/>
          </w:tcPr>
          <w:p w14:paraId="20F77C0B">
            <w:pPr>
              <w:spacing w:line="360" w:lineRule="exact"/>
              <w:rPr>
                <w:color w:val="auto"/>
                <w:szCs w:val="21"/>
                <w:highlight w:val="none"/>
              </w:rPr>
            </w:pPr>
            <w:r>
              <w:rPr>
                <w:color w:val="auto"/>
                <w:szCs w:val="21"/>
                <w:highlight w:val="none"/>
                <w:lang w:bidi="ar"/>
              </w:rPr>
              <w:t>户外环境监测模组</w:t>
            </w:r>
          </w:p>
        </w:tc>
        <w:tc>
          <w:tcPr>
            <w:tcW w:w="6390" w:type="dxa"/>
            <w:tcBorders>
              <w:top w:val="single" w:color="auto" w:sz="4" w:space="0"/>
              <w:left w:val="single" w:color="auto" w:sz="4" w:space="0"/>
              <w:bottom w:val="single" w:color="auto" w:sz="4" w:space="0"/>
              <w:right w:val="single" w:color="auto" w:sz="4" w:space="0"/>
            </w:tcBorders>
            <w:noWrap w:val="0"/>
            <w:vAlign w:val="top"/>
          </w:tcPr>
          <w:p w14:paraId="0BA822C9">
            <w:pPr>
              <w:spacing w:line="360" w:lineRule="exact"/>
              <w:rPr>
                <w:color w:val="auto"/>
                <w:szCs w:val="21"/>
                <w:highlight w:val="none"/>
              </w:rPr>
            </w:pPr>
            <w:r>
              <w:rPr>
                <w:color w:val="auto"/>
                <w:szCs w:val="21"/>
                <w:highlight w:val="none"/>
                <w:lang w:bidi="ar"/>
              </w:rPr>
              <w:t>含风速、风向、雨量、振动、温度、湿度测量仪，水浸，1080p监控摄像头。</w:t>
            </w:r>
          </w:p>
        </w:tc>
      </w:tr>
      <w:tr w14:paraId="6D60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2" w:type="dxa"/>
            <w:tcBorders>
              <w:top w:val="single" w:color="auto" w:sz="4" w:space="0"/>
              <w:left w:val="single" w:color="auto" w:sz="4" w:space="0"/>
              <w:bottom w:val="single" w:color="auto" w:sz="4" w:space="0"/>
              <w:right w:val="single" w:color="auto" w:sz="4" w:space="0"/>
            </w:tcBorders>
            <w:noWrap w:val="0"/>
            <w:vAlign w:val="top"/>
          </w:tcPr>
          <w:p w14:paraId="603632BD">
            <w:pPr>
              <w:numPr>
                <w:ilvl w:val="0"/>
                <w:numId w:val="8"/>
              </w:numPr>
              <w:spacing w:line="360" w:lineRule="exact"/>
              <w:jc w:val="center"/>
              <w:rPr>
                <w:color w:val="auto"/>
                <w:szCs w:val="21"/>
                <w:highlight w:val="none"/>
              </w:rPr>
            </w:pPr>
          </w:p>
        </w:tc>
        <w:tc>
          <w:tcPr>
            <w:tcW w:w="2177" w:type="dxa"/>
            <w:tcBorders>
              <w:top w:val="single" w:color="auto" w:sz="4" w:space="0"/>
              <w:left w:val="single" w:color="auto" w:sz="4" w:space="0"/>
              <w:bottom w:val="single" w:color="auto" w:sz="4" w:space="0"/>
              <w:right w:val="single" w:color="auto" w:sz="4" w:space="0"/>
            </w:tcBorders>
            <w:noWrap w:val="0"/>
            <w:vAlign w:val="top"/>
          </w:tcPr>
          <w:p w14:paraId="005BF789">
            <w:pPr>
              <w:spacing w:line="360" w:lineRule="exact"/>
              <w:rPr>
                <w:color w:val="auto"/>
                <w:szCs w:val="21"/>
                <w:highlight w:val="none"/>
              </w:rPr>
            </w:pPr>
            <w:r>
              <w:rPr>
                <w:color w:val="auto"/>
                <w:szCs w:val="21"/>
                <w:highlight w:val="none"/>
                <w:lang w:bidi="ar"/>
              </w:rPr>
              <w:t>支持多种通信方式</w:t>
            </w:r>
          </w:p>
        </w:tc>
        <w:tc>
          <w:tcPr>
            <w:tcW w:w="6390" w:type="dxa"/>
            <w:tcBorders>
              <w:top w:val="single" w:color="auto" w:sz="4" w:space="0"/>
              <w:left w:val="single" w:color="auto" w:sz="4" w:space="0"/>
              <w:bottom w:val="single" w:color="auto" w:sz="4" w:space="0"/>
              <w:right w:val="single" w:color="auto" w:sz="4" w:space="0"/>
            </w:tcBorders>
            <w:noWrap w:val="0"/>
            <w:vAlign w:val="top"/>
          </w:tcPr>
          <w:p w14:paraId="2F46C513">
            <w:pPr>
              <w:spacing w:line="360" w:lineRule="exact"/>
              <w:rPr>
                <w:color w:val="auto"/>
                <w:szCs w:val="21"/>
                <w:highlight w:val="none"/>
              </w:rPr>
            </w:pPr>
            <w:r>
              <w:rPr>
                <w:color w:val="auto"/>
                <w:szCs w:val="21"/>
                <w:highlight w:val="none"/>
                <w:lang w:bidi="ar"/>
              </w:rPr>
              <w:t>以太网/4G</w:t>
            </w:r>
          </w:p>
        </w:tc>
      </w:tr>
      <w:tr w14:paraId="57D1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12" w:type="dxa"/>
            <w:tcBorders>
              <w:top w:val="single" w:color="auto" w:sz="4" w:space="0"/>
              <w:left w:val="single" w:color="auto" w:sz="4" w:space="0"/>
              <w:bottom w:val="single" w:color="auto" w:sz="4" w:space="0"/>
              <w:right w:val="single" w:color="auto" w:sz="4" w:space="0"/>
            </w:tcBorders>
            <w:noWrap w:val="0"/>
            <w:vAlign w:val="top"/>
          </w:tcPr>
          <w:p w14:paraId="00B08100">
            <w:pPr>
              <w:numPr>
                <w:ilvl w:val="0"/>
                <w:numId w:val="8"/>
              </w:numPr>
              <w:spacing w:line="360" w:lineRule="exact"/>
              <w:jc w:val="center"/>
              <w:rPr>
                <w:color w:val="auto"/>
                <w:szCs w:val="21"/>
                <w:highlight w:val="none"/>
              </w:rPr>
            </w:pPr>
          </w:p>
        </w:tc>
        <w:tc>
          <w:tcPr>
            <w:tcW w:w="2177" w:type="dxa"/>
            <w:tcBorders>
              <w:top w:val="single" w:color="auto" w:sz="4" w:space="0"/>
              <w:left w:val="single" w:color="auto" w:sz="4" w:space="0"/>
              <w:bottom w:val="single" w:color="auto" w:sz="4" w:space="0"/>
              <w:right w:val="single" w:color="auto" w:sz="4" w:space="0"/>
            </w:tcBorders>
            <w:noWrap w:val="0"/>
            <w:vAlign w:val="top"/>
          </w:tcPr>
          <w:p w14:paraId="5E02FBDD">
            <w:pPr>
              <w:spacing w:line="360" w:lineRule="exact"/>
              <w:rPr>
                <w:color w:val="auto"/>
                <w:szCs w:val="21"/>
                <w:highlight w:val="none"/>
              </w:rPr>
            </w:pPr>
            <w:r>
              <w:rPr>
                <w:color w:val="auto"/>
                <w:szCs w:val="21"/>
                <w:highlight w:val="none"/>
                <w:lang w:bidi="ar"/>
              </w:rPr>
              <w:t>监控管理</w:t>
            </w:r>
          </w:p>
        </w:tc>
        <w:tc>
          <w:tcPr>
            <w:tcW w:w="6390" w:type="dxa"/>
            <w:tcBorders>
              <w:top w:val="single" w:color="auto" w:sz="4" w:space="0"/>
              <w:left w:val="single" w:color="auto" w:sz="4" w:space="0"/>
              <w:bottom w:val="single" w:color="auto" w:sz="4" w:space="0"/>
              <w:right w:val="single" w:color="auto" w:sz="4" w:space="0"/>
            </w:tcBorders>
            <w:noWrap w:val="0"/>
            <w:vAlign w:val="top"/>
          </w:tcPr>
          <w:p w14:paraId="4E66CFF8">
            <w:pPr>
              <w:spacing w:line="360" w:lineRule="exact"/>
              <w:rPr>
                <w:color w:val="auto"/>
                <w:szCs w:val="21"/>
                <w:highlight w:val="none"/>
              </w:rPr>
            </w:pPr>
            <w:r>
              <w:rPr>
                <w:color w:val="auto"/>
                <w:szCs w:val="21"/>
                <w:highlight w:val="none"/>
                <w:lang w:bidi="ar"/>
              </w:rPr>
              <w:t>远程健康监测：无需抵达作业现场，即可查看飞行器、机场的状态信息，并可通过命令面板进行远程调试。</w:t>
            </w:r>
          </w:p>
        </w:tc>
      </w:tr>
      <w:tr w14:paraId="660F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2" w:type="dxa"/>
            <w:tcBorders>
              <w:top w:val="single" w:color="auto" w:sz="4" w:space="0"/>
              <w:left w:val="single" w:color="auto" w:sz="4" w:space="0"/>
              <w:bottom w:val="single" w:color="auto" w:sz="4" w:space="0"/>
              <w:right w:val="single" w:color="auto" w:sz="4" w:space="0"/>
            </w:tcBorders>
            <w:noWrap w:val="0"/>
            <w:vAlign w:val="top"/>
          </w:tcPr>
          <w:p w14:paraId="4F06D229">
            <w:pPr>
              <w:numPr>
                <w:ilvl w:val="0"/>
                <w:numId w:val="8"/>
              </w:numPr>
              <w:spacing w:line="360" w:lineRule="exact"/>
              <w:jc w:val="center"/>
              <w:rPr>
                <w:color w:val="auto"/>
                <w:szCs w:val="21"/>
                <w:highlight w:val="none"/>
              </w:rPr>
            </w:pPr>
          </w:p>
        </w:tc>
        <w:tc>
          <w:tcPr>
            <w:tcW w:w="2177" w:type="dxa"/>
            <w:tcBorders>
              <w:top w:val="single" w:color="auto" w:sz="4" w:space="0"/>
              <w:left w:val="single" w:color="auto" w:sz="4" w:space="0"/>
              <w:bottom w:val="single" w:color="auto" w:sz="4" w:space="0"/>
              <w:right w:val="single" w:color="auto" w:sz="4" w:space="0"/>
            </w:tcBorders>
            <w:noWrap w:val="0"/>
            <w:vAlign w:val="top"/>
          </w:tcPr>
          <w:p w14:paraId="013C1DFB">
            <w:pPr>
              <w:spacing w:line="360" w:lineRule="exact"/>
              <w:rPr>
                <w:color w:val="auto"/>
                <w:szCs w:val="21"/>
                <w:highlight w:val="none"/>
              </w:rPr>
            </w:pPr>
            <w:r>
              <w:rPr>
                <w:color w:val="auto"/>
                <w:szCs w:val="21"/>
                <w:highlight w:val="none"/>
                <w:lang w:bidi="ar"/>
              </w:rPr>
              <w:t>系统延时</w:t>
            </w:r>
          </w:p>
        </w:tc>
        <w:tc>
          <w:tcPr>
            <w:tcW w:w="6390" w:type="dxa"/>
            <w:tcBorders>
              <w:top w:val="single" w:color="auto" w:sz="4" w:space="0"/>
              <w:left w:val="single" w:color="auto" w:sz="4" w:space="0"/>
              <w:bottom w:val="single" w:color="auto" w:sz="4" w:space="0"/>
              <w:right w:val="single" w:color="auto" w:sz="4" w:space="0"/>
            </w:tcBorders>
            <w:noWrap w:val="0"/>
            <w:vAlign w:val="top"/>
          </w:tcPr>
          <w:p w14:paraId="550B0380">
            <w:pPr>
              <w:spacing w:line="360" w:lineRule="exact"/>
              <w:rPr>
                <w:color w:val="auto"/>
                <w:szCs w:val="21"/>
                <w:highlight w:val="none"/>
              </w:rPr>
            </w:pPr>
            <w:r>
              <w:rPr>
                <w:color w:val="auto"/>
                <w:szCs w:val="21"/>
                <w:highlight w:val="none"/>
                <w:lang w:bidi="ar"/>
              </w:rPr>
              <w:t>图像延时≤1000ms，数据延迟≤500ms。</w:t>
            </w:r>
          </w:p>
        </w:tc>
      </w:tr>
      <w:tr w14:paraId="1CF2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2" w:type="dxa"/>
            <w:tcBorders>
              <w:top w:val="single" w:color="auto" w:sz="4" w:space="0"/>
              <w:left w:val="single" w:color="auto" w:sz="4" w:space="0"/>
              <w:bottom w:val="single" w:color="auto" w:sz="4" w:space="0"/>
              <w:right w:val="single" w:color="auto" w:sz="4" w:space="0"/>
            </w:tcBorders>
            <w:noWrap w:val="0"/>
            <w:vAlign w:val="top"/>
          </w:tcPr>
          <w:p w14:paraId="5A98FFD6">
            <w:pPr>
              <w:numPr>
                <w:ilvl w:val="0"/>
                <w:numId w:val="8"/>
              </w:numPr>
              <w:spacing w:line="360" w:lineRule="exact"/>
              <w:jc w:val="center"/>
              <w:rPr>
                <w:color w:val="auto"/>
                <w:szCs w:val="21"/>
                <w:highlight w:val="none"/>
              </w:rPr>
            </w:pPr>
          </w:p>
        </w:tc>
        <w:tc>
          <w:tcPr>
            <w:tcW w:w="2177" w:type="dxa"/>
            <w:tcBorders>
              <w:top w:val="single" w:color="auto" w:sz="4" w:space="0"/>
              <w:left w:val="single" w:color="auto" w:sz="4" w:space="0"/>
              <w:bottom w:val="single" w:color="auto" w:sz="4" w:space="0"/>
              <w:right w:val="single" w:color="auto" w:sz="4" w:space="0"/>
            </w:tcBorders>
            <w:noWrap w:val="0"/>
            <w:vAlign w:val="top"/>
          </w:tcPr>
          <w:p w14:paraId="480CF7C3">
            <w:pPr>
              <w:spacing w:line="360" w:lineRule="exact"/>
              <w:rPr>
                <w:color w:val="auto"/>
                <w:szCs w:val="21"/>
                <w:highlight w:val="none"/>
              </w:rPr>
            </w:pPr>
            <w:r>
              <w:rPr>
                <w:color w:val="auto"/>
                <w:szCs w:val="21"/>
                <w:highlight w:val="none"/>
                <w:lang w:bidi="ar"/>
              </w:rPr>
              <w:t>机场维护间隔</w:t>
            </w:r>
          </w:p>
        </w:tc>
        <w:tc>
          <w:tcPr>
            <w:tcW w:w="6390" w:type="dxa"/>
            <w:tcBorders>
              <w:top w:val="single" w:color="auto" w:sz="4" w:space="0"/>
              <w:left w:val="single" w:color="auto" w:sz="4" w:space="0"/>
              <w:bottom w:val="single" w:color="auto" w:sz="4" w:space="0"/>
              <w:right w:val="single" w:color="auto" w:sz="4" w:space="0"/>
            </w:tcBorders>
            <w:noWrap w:val="0"/>
            <w:vAlign w:val="top"/>
          </w:tcPr>
          <w:p w14:paraId="199E4AC3">
            <w:pPr>
              <w:spacing w:line="360" w:lineRule="exact"/>
              <w:rPr>
                <w:color w:val="auto"/>
                <w:szCs w:val="21"/>
                <w:highlight w:val="none"/>
              </w:rPr>
            </w:pPr>
            <w:r>
              <w:rPr>
                <w:color w:val="auto"/>
                <w:szCs w:val="21"/>
                <w:highlight w:val="none"/>
                <w:lang w:bidi="ar"/>
              </w:rPr>
              <w:t>≥6个月。</w:t>
            </w:r>
          </w:p>
        </w:tc>
      </w:tr>
      <w:tr w14:paraId="2CDA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12" w:type="dxa"/>
            <w:tcBorders>
              <w:top w:val="single" w:color="auto" w:sz="4" w:space="0"/>
              <w:left w:val="single" w:color="auto" w:sz="4" w:space="0"/>
              <w:bottom w:val="single" w:color="auto" w:sz="4" w:space="0"/>
              <w:right w:val="single" w:color="auto" w:sz="4" w:space="0"/>
            </w:tcBorders>
            <w:noWrap w:val="0"/>
            <w:vAlign w:val="top"/>
          </w:tcPr>
          <w:p w14:paraId="6D2F74A0">
            <w:pPr>
              <w:numPr>
                <w:ilvl w:val="0"/>
                <w:numId w:val="8"/>
              </w:numPr>
              <w:spacing w:line="360" w:lineRule="exact"/>
              <w:jc w:val="center"/>
              <w:rPr>
                <w:color w:val="auto"/>
                <w:szCs w:val="21"/>
                <w:highlight w:val="none"/>
              </w:rPr>
            </w:pPr>
          </w:p>
        </w:tc>
        <w:tc>
          <w:tcPr>
            <w:tcW w:w="2177" w:type="dxa"/>
            <w:tcBorders>
              <w:top w:val="single" w:color="auto" w:sz="4" w:space="0"/>
              <w:left w:val="single" w:color="auto" w:sz="4" w:space="0"/>
              <w:bottom w:val="single" w:color="auto" w:sz="4" w:space="0"/>
              <w:right w:val="single" w:color="auto" w:sz="4" w:space="0"/>
            </w:tcBorders>
            <w:noWrap w:val="0"/>
            <w:vAlign w:val="top"/>
          </w:tcPr>
          <w:p w14:paraId="505C3EA0">
            <w:pPr>
              <w:spacing w:line="360" w:lineRule="exact"/>
              <w:rPr>
                <w:color w:val="auto"/>
                <w:szCs w:val="21"/>
                <w:highlight w:val="none"/>
              </w:rPr>
            </w:pPr>
            <w:r>
              <w:rPr>
                <w:color w:val="auto"/>
                <w:szCs w:val="21"/>
                <w:highlight w:val="none"/>
                <w:lang w:bidi="ar"/>
              </w:rPr>
              <w:t>网络接入</w:t>
            </w:r>
          </w:p>
        </w:tc>
        <w:tc>
          <w:tcPr>
            <w:tcW w:w="6390" w:type="dxa"/>
            <w:tcBorders>
              <w:top w:val="single" w:color="auto" w:sz="4" w:space="0"/>
              <w:left w:val="single" w:color="auto" w:sz="4" w:space="0"/>
              <w:bottom w:val="single" w:color="auto" w:sz="4" w:space="0"/>
              <w:right w:val="single" w:color="auto" w:sz="4" w:space="0"/>
            </w:tcBorders>
            <w:noWrap w:val="0"/>
            <w:vAlign w:val="top"/>
          </w:tcPr>
          <w:p w14:paraId="595CE8E1">
            <w:pPr>
              <w:spacing w:line="360" w:lineRule="exact"/>
              <w:rPr>
                <w:color w:val="auto"/>
                <w:szCs w:val="21"/>
                <w:highlight w:val="none"/>
                <w:lang w:bidi="ar"/>
              </w:rPr>
            </w:pPr>
            <w:r>
              <w:rPr>
                <w:color w:val="auto"/>
                <w:szCs w:val="21"/>
                <w:highlight w:val="none"/>
                <w:lang w:bidi="ar"/>
              </w:rPr>
              <w:t>支持10/100/1000Mbps自适应以太网口；</w:t>
            </w:r>
          </w:p>
          <w:p w14:paraId="61475CD3">
            <w:pPr>
              <w:spacing w:line="360" w:lineRule="exact"/>
              <w:rPr>
                <w:color w:val="auto"/>
                <w:szCs w:val="21"/>
                <w:highlight w:val="none"/>
              </w:rPr>
            </w:pPr>
            <w:r>
              <w:rPr>
                <w:color w:val="auto"/>
                <w:szCs w:val="21"/>
                <w:highlight w:val="none"/>
                <w:lang w:bidi="ar"/>
              </w:rPr>
              <w:t>4G/5G接入（可配合通讯模块+SIM卡使用）。</w:t>
            </w:r>
          </w:p>
        </w:tc>
      </w:tr>
    </w:tbl>
    <w:p w14:paraId="011D6E52">
      <w:pPr>
        <w:spacing w:line="520" w:lineRule="exact"/>
        <w:rPr>
          <w:color w:val="auto"/>
          <w:sz w:val="28"/>
          <w:szCs w:val="28"/>
          <w:highlight w:val="none"/>
        </w:rPr>
      </w:pPr>
    </w:p>
    <w:p w14:paraId="2A854E5D">
      <w:pPr>
        <w:ind w:firstLine="560" w:firstLineChars="200"/>
        <w:jc w:val="left"/>
        <w:rPr>
          <w:color w:val="auto"/>
          <w:sz w:val="28"/>
          <w:szCs w:val="28"/>
          <w:highlight w:val="none"/>
        </w:rPr>
      </w:pPr>
      <w:r>
        <w:rPr>
          <w:rFonts w:hint="eastAsia"/>
          <w:color w:val="auto"/>
          <w:sz w:val="28"/>
          <w:szCs w:val="28"/>
          <w:highlight w:val="none"/>
        </w:rPr>
        <w:t>2</w:t>
      </w:r>
      <w:r>
        <w:rPr>
          <w:rFonts w:hint="eastAsia"/>
          <w:color w:val="auto"/>
          <w:sz w:val="28"/>
          <w:szCs w:val="28"/>
          <w:highlight w:val="none"/>
          <w:lang w:val="en-US" w:eastAsia="zh-CN"/>
        </w:rPr>
        <w:t>1</w:t>
      </w:r>
      <w:r>
        <w:rPr>
          <w:color w:val="auto"/>
          <w:sz w:val="28"/>
          <w:szCs w:val="28"/>
          <w:highlight w:val="none"/>
        </w:rPr>
        <w:t>）无人机自动化机场选点位置</w:t>
      </w:r>
    </w:p>
    <w:p w14:paraId="33E1E75F">
      <w:pPr>
        <w:ind w:firstLine="560" w:firstLineChars="200"/>
        <w:jc w:val="left"/>
        <w:rPr>
          <w:color w:val="auto"/>
          <w:highlight w:val="none"/>
        </w:rPr>
      </w:pPr>
      <w:r>
        <w:rPr>
          <w:rFonts w:hint="default"/>
          <w:color w:val="auto"/>
          <w:sz w:val="28"/>
          <w:szCs w:val="28"/>
          <w:highlight w:val="none"/>
          <w:lang w:val="en-US" w:eastAsia="zh-CN"/>
        </w:rPr>
        <w:t>根据</w:t>
      </w:r>
      <w:r>
        <w:rPr>
          <w:rFonts w:hint="eastAsia"/>
          <w:color w:val="auto"/>
          <w:sz w:val="28"/>
          <w:szCs w:val="28"/>
          <w:highlight w:val="none"/>
          <w:lang w:val="en-US" w:eastAsia="zh-CN"/>
        </w:rPr>
        <w:t>实地调研</w:t>
      </w:r>
      <w:r>
        <w:rPr>
          <w:rFonts w:hint="default"/>
          <w:color w:val="auto"/>
          <w:sz w:val="28"/>
          <w:szCs w:val="28"/>
          <w:highlight w:val="none"/>
          <w:lang w:val="en-US" w:eastAsia="zh-CN"/>
        </w:rPr>
        <w:t>了解，</w:t>
      </w:r>
      <w:r>
        <w:rPr>
          <w:rFonts w:hint="eastAsia"/>
          <w:color w:val="auto"/>
          <w:sz w:val="28"/>
          <w:szCs w:val="28"/>
          <w:highlight w:val="none"/>
          <w:lang w:val="en-US" w:eastAsia="zh-CN"/>
        </w:rPr>
        <w:t>城区建筑物密集环境下，</w:t>
      </w:r>
      <w:r>
        <w:rPr>
          <w:rFonts w:hint="default"/>
          <w:color w:val="auto"/>
          <w:sz w:val="28"/>
          <w:szCs w:val="28"/>
          <w:highlight w:val="none"/>
          <w:lang w:val="en-US" w:eastAsia="zh-CN"/>
        </w:rPr>
        <w:t>无人机到无人机场之间的有效通信信号范围约在</w:t>
      </w:r>
      <w:r>
        <w:rPr>
          <w:rFonts w:hint="eastAsia"/>
          <w:color w:val="auto"/>
          <w:sz w:val="28"/>
          <w:szCs w:val="28"/>
          <w:highlight w:val="none"/>
          <w:lang w:val="en-US" w:eastAsia="zh-CN"/>
        </w:rPr>
        <w:t>半径</w:t>
      </w:r>
      <w:r>
        <w:rPr>
          <w:rFonts w:hint="default"/>
          <w:color w:val="auto"/>
          <w:sz w:val="28"/>
          <w:szCs w:val="28"/>
          <w:highlight w:val="none"/>
          <w:lang w:val="en-US" w:eastAsia="zh-CN"/>
        </w:rPr>
        <w:t>2.5-3km，</w:t>
      </w:r>
      <w:r>
        <w:rPr>
          <w:rFonts w:hint="eastAsia"/>
          <w:color w:val="auto"/>
          <w:sz w:val="28"/>
          <w:szCs w:val="28"/>
          <w:highlight w:val="none"/>
          <w:lang w:val="en-US" w:eastAsia="zh-CN"/>
        </w:rPr>
        <w:t>约需布置10台机场，方可做到地下段全线覆盖。</w:t>
      </w:r>
    </w:p>
    <w:p w14:paraId="52FF3A54">
      <w:pPr>
        <w:widowControl/>
        <w:spacing w:line="520" w:lineRule="exact"/>
        <w:ind w:firstLine="560" w:firstLineChars="200"/>
        <w:jc w:val="left"/>
        <w:rPr>
          <w:color w:val="auto"/>
          <w:sz w:val="28"/>
          <w:szCs w:val="28"/>
          <w:highlight w:val="none"/>
        </w:rPr>
      </w:pPr>
      <w:r>
        <w:rPr>
          <w:color w:val="auto"/>
          <w:sz w:val="28"/>
          <w:szCs w:val="28"/>
          <w:highlight w:val="none"/>
        </w:rPr>
        <w:t>最终</w:t>
      </w:r>
      <w:r>
        <w:rPr>
          <w:rFonts w:hint="eastAsia"/>
          <w:color w:val="auto"/>
          <w:sz w:val="28"/>
          <w:szCs w:val="28"/>
          <w:highlight w:val="none"/>
          <w:lang w:val="en-US" w:eastAsia="zh-CN"/>
        </w:rPr>
        <w:t>选址将</w:t>
      </w:r>
      <w:r>
        <w:rPr>
          <w:color w:val="auto"/>
          <w:sz w:val="28"/>
          <w:szCs w:val="28"/>
          <w:highlight w:val="none"/>
        </w:rPr>
        <w:t>根据地铁构筑物</w:t>
      </w:r>
      <w:r>
        <w:rPr>
          <w:rFonts w:hint="eastAsia"/>
          <w:color w:val="auto"/>
          <w:sz w:val="28"/>
          <w:szCs w:val="28"/>
          <w:highlight w:val="none"/>
          <w:lang w:val="en-US" w:eastAsia="zh-CN"/>
        </w:rPr>
        <w:t>周边环境、</w:t>
      </w:r>
      <w:r>
        <w:rPr>
          <w:color w:val="auto"/>
          <w:sz w:val="28"/>
          <w:szCs w:val="28"/>
          <w:highlight w:val="none"/>
        </w:rPr>
        <w:t>实际</w:t>
      </w:r>
      <w:r>
        <w:rPr>
          <w:rFonts w:hint="eastAsia"/>
          <w:color w:val="auto"/>
          <w:sz w:val="28"/>
          <w:szCs w:val="28"/>
          <w:highlight w:val="none"/>
          <w:lang w:val="en-US" w:eastAsia="zh-CN"/>
        </w:rPr>
        <w:t>信号测试</w:t>
      </w:r>
      <w:r>
        <w:rPr>
          <w:color w:val="auto"/>
          <w:sz w:val="28"/>
          <w:szCs w:val="28"/>
          <w:highlight w:val="none"/>
        </w:rPr>
        <w:t>情况和无人机续航里程确定</w:t>
      </w:r>
      <w:r>
        <w:rPr>
          <w:rFonts w:hint="eastAsia"/>
          <w:color w:val="auto"/>
          <w:sz w:val="28"/>
          <w:szCs w:val="28"/>
          <w:highlight w:val="none"/>
        </w:rPr>
        <w:t>，初步计划安装于车站人防通道顶端，均具备传输和取电条件，且有效防止设备被盗或破坏风险。</w:t>
      </w:r>
    </w:p>
    <w:p w14:paraId="61B2EE71">
      <w:pPr>
        <w:jc w:val="left"/>
        <w:rPr>
          <w:color w:val="auto"/>
          <w:highlight w:val="none"/>
        </w:rPr>
      </w:pPr>
    </w:p>
    <w:p w14:paraId="5E957AAE">
      <w:pPr>
        <w:spacing w:line="520" w:lineRule="exact"/>
        <w:ind w:firstLine="560" w:firstLineChars="200"/>
        <w:rPr>
          <w:color w:val="auto"/>
          <w:sz w:val="28"/>
          <w:szCs w:val="28"/>
          <w:highlight w:val="none"/>
        </w:rPr>
      </w:pPr>
      <w:r>
        <w:rPr>
          <w:color w:val="auto"/>
          <w:sz w:val="28"/>
          <w:szCs w:val="28"/>
          <w:highlight w:val="none"/>
        </w:rPr>
        <w:t>4.1.6.</w:t>
      </w:r>
      <w:r>
        <w:rPr>
          <w:rFonts w:hint="eastAsia" w:ascii="Times New Roman" w:eastAsia="宋体"/>
          <w:color w:val="auto"/>
          <w:sz w:val="28"/>
          <w:szCs w:val="28"/>
          <w:highlight w:val="none"/>
          <w:lang w:val="en-US" w:eastAsia="zh-CN"/>
        </w:rPr>
        <w:t>4</w:t>
      </w:r>
      <w:r>
        <w:rPr>
          <w:color w:val="auto"/>
          <w:sz w:val="28"/>
          <w:szCs w:val="28"/>
          <w:highlight w:val="none"/>
        </w:rPr>
        <w:t>电动自行车（可折叠）技术要求</w:t>
      </w:r>
    </w:p>
    <w:p w14:paraId="7BFC1FDA">
      <w:pPr>
        <w:spacing w:line="520" w:lineRule="exact"/>
        <w:ind w:firstLine="560" w:firstLineChars="200"/>
        <w:rPr>
          <w:color w:val="auto"/>
          <w:sz w:val="28"/>
          <w:szCs w:val="28"/>
          <w:highlight w:val="none"/>
        </w:rPr>
      </w:pPr>
      <w:r>
        <w:rPr>
          <w:color w:val="auto"/>
          <w:sz w:val="28"/>
          <w:szCs w:val="28"/>
          <w:highlight w:val="none"/>
        </w:rPr>
        <w:t>需采购2辆，用于巡查汽车无法进入区域的巡查工作，需具备稳定可靠的性能，以支持长时间的巡逻任务，单次充电续航里程不低于30公里，配备高性能锂电池或同等水平的电池技术，确保长寿命、高能量密度及安全性，确保在紧急情况下能迅速停车。</w:t>
      </w:r>
    </w:p>
    <w:p w14:paraId="137B8966">
      <w:pPr>
        <w:spacing w:line="520" w:lineRule="exact"/>
        <w:ind w:firstLine="560" w:firstLineChars="200"/>
        <w:rPr>
          <w:rFonts w:hint="eastAsia"/>
          <w:color w:val="auto"/>
          <w:sz w:val="28"/>
          <w:szCs w:val="28"/>
          <w:highlight w:val="none"/>
          <w:lang w:val="en-US" w:eastAsia="zh-CN"/>
        </w:rPr>
      </w:pPr>
      <w:r>
        <w:rPr>
          <w:rFonts w:hint="eastAsia" w:ascii="Times New Roman" w:eastAsia="宋体"/>
          <w:color w:val="auto"/>
          <w:sz w:val="28"/>
          <w:szCs w:val="28"/>
          <w:highlight w:val="none"/>
          <w:lang w:val="en-US" w:eastAsia="zh-CN"/>
        </w:rPr>
        <w:t>4.1.6.5服务器技术要求</w:t>
      </w:r>
    </w:p>
    <w:p w14:paraId="309788F6">
      <w:pPr>
        <w:spacing w:line="520" w:lineRule="exact"/>
        <w:ind w:firstLine="560" w:firstLineChars="200"/>
        <w:rPr>
          <w:rFonts w:hint="eastAsia"/>
          <w:color w:val="auto"/>
          <w:sz w:val="28"/>
          <w:szCs w:val="28"/>
          <w:highlight w:val="none"/>
          <w:lang w:val="en-US" w:eastAsia="zh-CN"/>
        </w:rPr>
      </w:pPr>
      <w:r>
        <w:rPr>
          <w:rFonts w:hint="eastAsia" w:ascii="Times New Roman" w:eastAsia="宋体"/>
          <w:color w:val="auto"/>
          <w:sz w:val="28"/>
          <w:szCs w:val="28"/>
          <w:highlight w:val="none"/>
          <w:lang w:val="en-US" w:eastAsia="zh-CN"/>
        </w:rPr>
        <w:t>本项目根据实际情况，由投标人提供2台系统服务器和一套视觉多模态大模型一体机，需本地化部署，由招标人提供机房、机柜和宽带接入条件，投标人包含但不限于服务器设备硬件采购、运输、安装、布线施工、现场测试和其他确保服务器正常上线运行的相应辅助耗材和材料等。</w:t>
      </w:r>
    </w:p>
    <w:p w14:paraId="4BD5D224">
      <w:pPr>
        <w:numPr>
          <w:ilvl w:val="0"/>
          <w:numId w:val="9"/>
        </w:numPr>
        <w:spacing w:line="520" w:lineRule="exact"/>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一体机</w:t>
      </w:r>
      <w:r>
        <w:rPr>
          <w:rFonts w:hint="eastAsia" w:ascii="Times New Roman" w:eastAsia="宋体"/>
          <w:color w:val="auto"/>
          <w:sz w:val="28"/>
          <w:szCs w:val="28"/>
          <w:highlight w:val="none"/>
          <w:lang w:val="en-US" w:eastAsia="zh-CN"/>
        </w:rPr>
        <w:t>配置需求：2U机架式；CPU:2*Intel Xeon Silver 4210 /AMD同等配置CPU；内存:256GB DDR4内存；GPU:算力不小于32TFLOPS；硬盘：2*960GB, SATA SSD，2*4TB 3.5寸SATA HDD；网口:2个万兆/千兆自适应网口。</w:t>
      </w:r>
    </w:p>
    <w:p w14:paraId="3FFFC310">
      <w:pPr>
        <w:numPr>
          <w:ilvl w:val="0"/>
          <w:numId w:val="9"/>
        </w:numPr>
        <w:spacing w:line="520" w:lineRule="exact"/>
        <w:ind w:firstLine="560" w:firstLineChars="200"/>
        <w:rPr>
          <w:rFonts w:hint="default"/>
          <w:color w:val="auto"/>
          <w:sz w:val="28"/>
          <w:szCs w:val="28"/>
          <w:highlight w:val="none"/>
          <w:lang w:val="en-US" w:eastAsia="zh-CN"/>
        </w:rPr>
      </w:pPr>
      <w:r>
        <w:rPr>
          <w:rFonts w:hint="eastAsia"/>
          <w:color w:val="auto"/>
          <w:sz w:val="28"/>
          <w:szCs w:val="28"/>
          <w:highlight w:val="none"/>
          <w:lang w:val="en-US" w:eastAsia="zh-CN"/>
        </w:rPr>
        <w:t>服务器</w:t>
      </w:r>
      <w:r>
        <w:rPr>
          <w:rFonts w:hint="eastAsia" w:ascii="Times New Roman" w:eastAsia="宋体"/>
          <w:color w:val="auto"/>
          <w:sz w:val="28"/>
          <w:szCs w:val="28"/>
          <w:highlight w:val="none"/>
          <w:lang w:val="en-US" w:eastAsia="zh-CN"/>
        </w:rPr>
        <w:t>配置需求：2台，单台配置如下：CPU：2×6336Y（2.4G/24核心/48线程）；内存：256G DDR4 3200；硬盘1：2×480G SSD；硬盘2：1×20T SATA；GPU：2×4090；阵列卡：2G缓存阵列卡；网卡：4个千兆电口+2个万兆光口，含2个万兆多模光模块；电源：双冗余电源；其他：2U机架。</w:t>
      </w:r>
    </w:p>
    <w:p w14:paraId="2F60C023">
      <w:pPr>
        <w:spacing w:line="360" w:lineRule="auto"/>
        <w:jc w:val="left"/>
        <w:outlineLvl w:val="1"/>
        <w:rPr>
          <w:b/>
          <w:bCs/>
          <w:color w:val="auto"/>
          <w:sz w:val="28"/>
          <w:szCs w:val="28"/>
          <w:highlight w:val="none"/>
        </w:rPr>
      </w:pPr>
      <w:bookmarkStart w:id="1066" w:name="_Toc23293"/>
      <w:bookmarkStart w:id="1067" w:name="_Toc1593"/>
      <w:bookmarkStart w:id="1068" w:name="_Toc22989"/>
      <w:bookmarkStart w:id="1069" w:name="_Toc15771"/>
      <w:bookmarkStart w:id="1070" w:name="_Toc23184"/>
      <w:bookmarkStart w:id="1071" w:name="_Toc27659"/>
      <w:bookmarkStart w:id="1072" w:name="_Toc27967"/>
      <w:r>
        <w:rPr>
          <w:b/>
          <w:bCs/>
          <w:color w:val="auto"/>
          <w:sz w:val="28"/>
          <w:szCs w:val="28"/>
          <w:highlight w:val="none"/>
        </w:rPr>
        <w:t>4.2用户功能需求</w:t>
      </w:r>
      <w:bookmarkEnd w:id="1066"/>
      <w:bookmarkEnd w:id="1067"/>
      <w:bookmarkEnd w:id="1068"/>
      <w:bookmarkEnd w:id="1069"/>
      <w:bookmarkEnd w:id="1070"/>
      <w:bookmarkEnd w:id="1071"/>
      <w:bookmarkEnd w:id="1072"/>
    </w:p>
    <w:p w14:paraId="767BE7DF">
      <w:pPr>
        <w:tabs>
          <w:tab w:val="left" w:pos="851"/>
        </w:tabs>
        <w:spacing w:line="360" w:lineRule="auto"/>
        <w:ind w:firstLine="562" w:firstLineChars="200"/>
        <w:jc w:val="left"/>
        <w:outlineLvl w:val="2"/>
        <w:rPr>
          <w:b/>
          <w:bCs/>
          <w:color w:val="auto"/>
          <w:sz w:val="28"/>
          <w:szCs w:val="28"/>
          <w:highlight w:val="none"/>
        </w:rPr>
      </w:pPr>
      <w:bookmarkStart w:id="1073" w:name="_Toc29710"/>
      <w:bookmarkStart w:id="1074" w:name="_Toc31440"/>
      <w:bookmarkStart w:id="1075" w:name="_Toc7635"/>
      <w:bookmarkStart w:id="1076" w:name="_Toc637"/>
      <w:bookmarkStart w:id="1077" w:name="_Toc11121"/>
      <w:r>
        <w:rPr>
          <w:b/>
          <w:bCs/>
          <w:color w:val="auto"/>
          <w:sz w:val="28"/>
          <w:szCs w:val="28"/>
          <w:highlight w:val="none"/>
        </w:rPr>
        <w:t>4.2.1系统首页</w:t>
      </w:r>
      <w:bookmarkEnd w:id="1073"/>
      <w:bookmarkEnd w:id="1074"/>
      <w:bookmarkEnd w:id="1075"/>
      <w:bookmarkEnd w:id="1076"/>
      <w:bookmarkEnd w:id="1077"/>
    </w:p>
    <w:p w14:paraId="07130EB4">
      <w:pPr>
        <w:tabs>
          <w:tab w:val="left" w:pos="851"/>
        </w:tabs>
        <w:spacing w:line="360" w:lineRule="auto"/>
        <w:ind w:firstLine="560" w:firstLineChars="200"/>
        <w:jc w:val="left"/>
        <w:rPr>
          <w:color w:val="auto"/>
          <w:sz w:val="28"/>
          <w:szCs w:val="28"/>
          <w:highlight w:val="none"/>
        </w:rPr>
      </w:pPr>
      <w:r>
        <w:rPr>
          <w:color w:val="auto"/>
          <w:sz w:val="28"/>
          <w:szCs w:val="28"/>
          <w:highlight w:val="none"/>
        </w:rPr>
        <w:t>系统首页可通过</w:t>
      </w:r>
      <w:r>
        <w:rPr>
          <w:rFonts w:hint="eastAsia" w:ascii="Times New Roman" w:eastAsia="宋体"/>
          <w:color w:val="auto"/>
          <w:sz w:val="28"/>
          <w:szCs w:val="28"/>
          <w:highlight w:val="none"/>
          <w:lang w:val="en-US" w:eastAsia="zh-CN"/>
        </w:rPr>
        <w:t>招标人</w:t>
      </w:r>
      <w:r>
        <w:rPr>
          <w:color w:val="auto"/>
          <w:sz w:val="28"/>
          <w:szCs w:val="28"/>
          <w:highlight w:val="none"/>
        </w:rPr>
        <w:t>门户网站进行登录，</w:t>
      </w:r>
      <w:r>
        <w:rPr>
          <w:rFonts w:hint="eastAsia" w:ascii="Times New Roman" w:eastAsia="宋体"/>
          <w:color w:val="auto"/>
          <w:sz w:val="28"/>
          <w:szCs w:val="28"/>
          <w:highlight w:val="none"/>
          <w:lang w:val="en-US" w:eastAsia="zh-CN"/>
        </w:rPr>
        <w:t>招标人</w:t>
      </w:r>
      <w:r>
        <w:rPr>
          <w:color w:val="auto"/>
          <w:sz w:val="28"/>
          <w:szCs w:val="28"/>
          <w:highlight w:val="none"/>
        </w:rPr>
        <w:t>门户网站对此项功能进行集成，系统首页预留外部单位申报项目审批窗口，建立起外部报建单位与地铁公司的沟通桥梁，通过系统首页东莞市轨道交通控制保护区管理部门可以对外进行保护区相关信息的宣贯，包括法律法规、保护区介绍、保护区范围、办事指南、最新公告等信息；外部报建单位可以通过注册登录系统首页，进行项目的报建和报建资料上传。系统首页的主要功能如下：1)保护区信息；2)法律法规；3)办事指南；4)最新公告；5)网上办事。</w:t>
      </w:r>
    </w:p>
    <w:p w14:paraId="32AC7F7A">
      <w:pPr>
        <w:tabs>
          <w:tab w:val="left" w:pos="851"/>
        </w:tabs>
        <w:spacing w:line="360" w:lineRule="auto"/>
        <w:ind w:firstLine="562" w:firstLineChars="200"/>
        <w:jc w:val="left"/>
        <w:outlineLvl w:val="2"/>
        <w:rPr>
          <w:b/>
          <w:bCs/>
          <w:color w:val="auto"/>
          <w:sz w:val="28"/>
          <w:szCs w:val="28"/>
          <w:highlight w:val="none"/>
        </w:rPr>
      </w:pPr>
      <w:bookmarkStart w:id="1078" w:name="_Toc11396"/>
      <w:bookmarkStart w:id="1079" w:name="_Toc22332"/>
      <w:bookmarkStart w:id="1080" w:name="_Toc6354"/>
      <w:bookmarkStart w:id="1081" w:name="_Toc25829"/>
      <w:bookmarkStart w:id="1082" w:name="_Toc31682"/>
      <w:r>
        <w:rPr>
          <w:b/>
          <w:bCs/>
          <w:color w:val="auto"/>
          <w:sz w:val="28"/>
          <w:szCs w:val="28"/>
          <w:highlight w:val="none"/>
        </w:rPr>
        <w:t>4.2.2电脑端系统</w:t>
      </w:r>
      <w:bookmarkEnd w:id="1078"/>
      <w:bookmarkEnd w:id="1079"/>
      <w:bookmarkEnd w:id="1080"/>
      <w:bookmarkEnd w:id="1081"/>
      <w:bookmarkEnd w:id="1082"/>
    </w:p>
    <w:p w14:paraId="74E4C520">
      <w:pPr>
        <w:tabs>
          <w:tab w:val="left" w:pos="851"/>
        </w:tabs>
        <w:spacing w:line="360" w:lineRule="auto"/>
        <w:ind w:firstLine="560" w:firstLineChars="200"/>
        <w:jc w:val="left"/>
        <w:rPr>
          <w:color w:val="auto"/>
          <w:sz w:val="28"/>
          <w:szCs w:val="28"/>
          <w:highlight w:val="none"/>
        </w:rPr>
      </w:pPr>
      <w:r>
        <w:rPr>
          <w:color w:val="auto"/>
          <w:sz w:val="28"/>
          <w:szCs w:val="28"/>
          <w:highlight w:val="none"/>
        </w:rPr>
        <w:t>可通过系统首页和保护区综合管理系统网址登录，实现对东莞市轨道交通控制保护区范围内的项目管理和巡查管理等方面进行全过程全流程管理。</w:t>
      </w:r>
    </w:p>
    <w:p w14:paraId="1D8F1B12">
      <w:pPr>
        <w:tabs>
          <w:tab w:val="left" w:pos="851"/>
        </w:tabs>
        <w:spacing w:line="360" w:lineRule="auto"/>
        <w:ind w:firstLine="560" w:firstLineChars="200"/>
        <w:jc w:val="left"/>
        <w:rPr>
          <w:color w:val="auto"/>
          <w:sz w:val="28"/>
          <w:szCs w:val="28"/>
          <w:highlight w:val="none"/>
        </w:rPr>
      </w:pPr>
      <w:r>
        <w:rPr>
          <w:color w:val="auto"/>
          <w:sz w:val="28"/>
          <w:szCs w:val="28"/>
          <w:highlight w:val="none"/>
        </w:rPr>
        <w:t>包含以下功能模块：</w:t>
      </w:r>
    </w:p>
    <w:p w14:paraId="6AC5D8E7">
      <w:pPr>
        <w:tabs>
          <w:tab w:val="left" w:pos="851"/>
        </w:tabs>
        <w:spacing w:line="360" w:lineRule="auto"/>
        <w:ind w:firstLine="562" w:firstLineChars="200"/>
        <w:jc w:val="left"/>
        <w:rPr>
          <w:b/>
          <w:bCs/>
          <w:color w:val="auto"/>
          <w:sz w:val="28"/>
          <w:szCs w:val="28"/>
          <w:highlight w:val="none"/>
        </w:rPr>
      </w:pPr>
      <w:r>
        <w:rPr>
          <w:b/>
          <w:bCs/>
          <w:color w:val="auto"/>
          <w:sz w:val="28"/>
          <w:szCs w:val="28"/>
          <w:highlight w:val="none"/>
        </w:rPr>
        <w:t>4.2.2.1综合信息管理</w:t>
      </w:r>
    </w:p>
    <w:p w14:paraId="5B6AF10B">
      <w:pPr>
        <w:tabs>
          <w:tab w:val="left" w:pos="851"/>
        </w:tabs>
        <w:spacing w:line="360" w:lineRule="auto"/>
        <w:ind w:firstLine="560" w:firstLineChars="200"/>
        <w:jc w:val="left"/>
        <w:rPr>
          <w:color w:val="auto"/>
          <w:sz w:val="28"/>
          <w:szCs w:val="28"/>
          <w:highlight w:val="none"/>
        </w:rPr>
      </w:pPr>
      <w:r>
        <w:rPr>
          <w:color w:val="auto"/>
          <w:sz w:val="28"/>
          <w:szCs w:val="28"/>
          <w:highlight w:val="none"/>
        </w:rPr>
        <w:t>1）显示界面</w:t>
      </w:r>
    </w:p>
    <w:p w14:paraId="4817CE18">
      <w:pPr>
        <w:tabs>
          <w:tab w:val="left" w:pos="851"/>
        </w:tabs>
        <w:spacing w:line="360" w:lineRule="auto"/>
        <w:ind w:firstLine="560" w:firstLineChars="200"/>
        <w:jc w:val="left"/>
        <w:rPr>
          <w:color w:val="auto"/>
          <w:sz w:val="28"/>
          <w:szCs w:val="28"/>
          <w:highlight w:val="none"/>
        </w:rPr>
      </w:pPr>
      <w:r>
        <w:rPr>
          <w:color w:val="auto"/>
          <w:sz w:val="28"/>
          <w:szCs w:val="28"/>
          <w:highlight w:val="none"/>
        </w:rPr>
        <w:t>登录系统后界面显示线路保护区范围、巡查任务及人员、施工项目等基本信息，显示界面支持快速检索、自定义筛选等功能，自定义显示相应功能模块。</w:t>
      </w:r>
    </w:p>
    <w:p w14:paraId="195DAEF8">
      <w:pPr>
        <w:numPr>
          <w:ilvl w:val="0"/>
          <w:numId w:val="10"/>
        </w:numPr>
        <w:tabs>
          <w:tab w:val="left" w:pos="851"/>
        </w:tabs>
        <w:spacing w:line="360" w:lineRule="auto"/>
        <w:ind w:firstLine="560" w:firstLineChars="200"/>
        <w:jc w:val="left"/>
        <w:rPr>
          <w:color w:val="auto"/>
          <w:sz w:val="28"/>
          <w:szCs w:val="28"/>
          <w:highlight w:val="none"/>
        </w:rPr>
      </w:pPr>
      <w:r>
        <w:rPr>
          <w:color w:val="auto"/>
          <w:sz w:val="28"/>
          <w:szCs w:val="28"/>
          <w:highlight w:val="none"/>
        </w:rPr>
        <w:t>线路基础信息管理</w:t>
      </w:r>
    </w:p>
    <w:p w14:paraId="0409C721">
      <w:pPr>
        <w:tabs>
          <w:tab w:val="left" w:pos="851"/>
        </w:tabs>
        <w:spacing w:line="360" w:lineRule="auto"/>
        <w:ind w:firstLine="560" w:firstLineChars="200"/>
        <w:jc w:val="left"/>
        <w:rPr>
          <w:color w:val="auto"/>
          <w:sz w:val="28"/>
          <w:szCs w:val="28"/>
          <w:highlight w:val="none"/>
        </w:rPr>
      </w:pPr>
      <w:r>
        <w:rPr>
          <w:color w:val="auto"/>
          <w:sz w:val="28"/>
          <w:szCs w:val="28"/>
          <w:highlight w:val="none"/>
        </w:rPr>
        <w:t>提供对线网基础信息进行添加、修改、删除等管理维护功能。系统须支持以目录树和GIS地图等形式组织和管理线网基础信息。可结合GIS地图形成地铁线网一张图，支持地铁线路、保护区范围、保护区标识、外接管线位置、外部施工项目信息、巡查人员行动轨迹、地理信息（包括车站/区间名称、结构形式、结构埋深、施工工法、风险提示等信息）、无人机机场、无人机巡查轨迹、运营线路监测点等数据，根据坐标信息在一张图上进行可视化展示和管理，支持图层扩展配置，支持用户对地图进行筛选、放大、缩小等操作，以便更深入地分析数据，系统管理人员可以根据需要自行添加、修改、删除，并预留接口保证后期扩展需求。</w:t>
      </w:r>
    </w:p>
    <w:p w14:paraId="2FB776BD">
      <w:pPr>
        <w:tabs>
          <w:tab w:val="left" w:pos="851"/>
        </w:tabs>
        <w:spacing w:line="360" w:lineRule="auto"/>
        <w:ind w:firstLine="560" w:firstLineChars="200"/>
        <w:jc w:val="left"/>
        <w:rPr>
          <w:color w:val="auto"/>
          <w:sz w:val="28"/>
          <w:szCs w:val="28"/>
          <w:highlight w:val="none"/>
        </w:rPr>
      </w:pPr>
      <w:r>
        <w:rPr>
          <w:color w:val="auto"/>
          <w:sz w:val="28"/>
          <w:szCs w:val="28"/>
          <w:highlight w:val="none"/>
        </w:rPr>
        <w:t>3）标识牌（桩）管理</w:t>
      </w:r>
    </w:p>
    <w:p w14:paraId="681262C4">
      <w:pPr>
        <w:tabs>
          <w:tab w:val="left" w:pos="851"/>
        </w:tabs>
        <w:spacing w:line="360" w:lineRule="auto"/>
        <w:ind w:firstLine="560" w:firstLineChars="200"/>
        <w:jc w:val="left"/>
        <w:rPr>
          <w:color w:val="auto"/>
          <w:sz w:val="28"/>
          <w:szCs w:val="28"/>
          <w:highlight w:val="none"/>
        </w:rPr>
      </w:pPr>
      <w:r>
        <w:rPr>
          <w:color w:val="auto"/>
          <w:sz w:val="28"/>
          <w:szCs w:val="28"/>
          <w:highlight w:val="none"/>
        </w:rPr>
        <w:t>标识牌（桩）需精准地标识在GIS地图上，并允许用户在地图上直接查看每个标识牌的详细信息。巡查人员可依据GIS地图上的标识点位，定期对这些标识牌进行巡查。一旦发现丢失、损坏或其他异常情况，巡查人员能迅速在系统内上报故障。此外，系统需提供了灵活的筛选功能，支持用户按照线路等类型对标识牌（桩）进行快速筛选。</w:t>
      </w:r>
    </w:p>
    <w:p w14:paraId="62EF2DFB">
      <w:pPr>
        <w:tabs>
          <w:tab w:val="left" w:pos="851"/>
        </w:tabs>
        <w:spacing w:line="360" w:lineRule="auto"/>
        <w:ind w:firstLine="560" w:firstLineChars="200"/>
        <w:jc w:val="left"/>
        <w:rPr>
          <w:color w:val="auto"/>
          <w:sz w:val="28"/>
          <w:szCs w:val="28"/>
          <w:highlight w:val="none"/>
        </w:rPr>
      </w:pPr>
      <w:r>
        <w:rPr>
          <w:color w:val="auto"/>
          <w:sz w:val="28"/>
          <w:szCs w:val="28"/>
          <w:highlight w:val="none"/>
        </w:rPr>
        <w:t>4）全线网埋深的数字化管理</w:t>
      </w:r>
    </w:p>
    <w:p w14:paraId="29E452AD">
      <w:pPr>
        <w:tabs>
          <w:tab w:val="left" w:pos="851"/>
        </w:tabs>
        <w:spacing w:line="360" w:lineRule="auto"/>
        <w:ind w:firstLine="560" w:firstLineChars="200"/>
        <w:jc w:val="left"/>
        <w:rPr>
          <w:color w:val="auto"/>
          <w:sz w:val="28"/>
          <w:szCs w:val="28"/>
          <w:highlight w:val="none"/>
        </w:rPr>
      </w:pPr>
      <w:r>
        <w:rPr>
          <w:color w:val="auto"/>
          <w:sz w:val="28"/>
          <w:szCs w:val="28"/>
          <w:highlight w:val="none"/>
        </w:rPr>
        <w:t>通过将线路的埋深数据结合隧道轴线算法，并根据各线路里程的不同埋深数据，系统能够在地图上以不同颜色划分等级并标识。对于埋深较浅的高风险区域，可通过有针对性的预防措施和巡查方式，实现分级管控与综合治理。这一功能有助于工程管理人员和技术人员清晰直观地了解轨道交通沿线的地层信息，掌握地质风险与应急对策。</w:t>
      </w:r>
    </w:p>
    <w:p w14:paraId="3A049F1B">
      <w:pPr>
        <w:tabs>
          <w:tab w:val="left" w:pos="851"/>
        </w:tabs>
        <w:spacing w:line="360" w:lineRule="auto"/>
        <w:ind w:firstLine="560" w:firstLineChars="200"/>
        <w:jc w:val="left"/>
        <w:rPr>
          <w:color w:val="auto"/>
          <w:sz w:val="28"/>
          <w:szCs w:val="28"/>
          <w:highlight w:val="none"/>
        </w:rPr>
      </w:pPr>
      <w:r>
        <w:rPr>
          <w:color w:val="auto"/>
          <w:sz w:val="28"/>
          <w:szCs w:val="28"/>
          <w:highlight w:val="none"/>
        </w:rPr>
        <w:t>5）隧道百米标与地面位置的精准定位</w:t>
      </w:r>
    </w:p>
    <w:p w14:paraId="7CACCDCE">
      <w:pPr>
        <w:tabs>
          <w:tab w:val="left" w:pos="851"/>
        </w:tabs>
        <w:spacing w:line="360" w:lineRule="auto"/>
        <w:ind w:firstLine="560" w:firstLineChars="200"/>
        <w:jc w:val="left"/>
        <w:rPr>
          <w:color w:val="auto"/>
          <w:sz w:val="28"/>
          <w:szCs w:val="28"/>
          <w:highlight w:val="none"/>
        </w:rPr>
      </w:pPr>
      <w:r>
        <w:rPr>
          <w:color w:val="auto"/>
          <w:sz w:val="28"/>
          <w:szCs w:val="28"/>
          <w:highlight w:val="none"/>
        </w:rPr>
        <w:t>信息化系统应实现将隧道内百米标数据通过对应的坐标信息定位于GIS地图上。当隧道内发生突发事件时，在手机APP端可迅速查找到地面上所对应的位置，提高应急事件响应能力。</w:t>
      </w:r>
    </w:p>
    <w:p w14:paraId="41EA06B9">
      <w:pPr>
        <w:numPr>
          <w:ilvl w:val="0"/>
          <w:numId w:val="11"/>
        </w:numPr>
        <w:tabs>
          <w:tab w:val="left" w:pos="851"/>
        </w:tabs>
        <w:spacing w:line="360" w:lineRule="auto"/>
        <w:ind w:firstLine="560" w:firstLineChars="200"/>
        <w:jc w:val="left"/>
        <w:rPr>
          <w:color w:val="auto"/>
          <w:sz w:val="28"/>
          <w:szCs w:val="28"/>
          <w:highlight w:val="none"/>
        </w:rPr>
      </w:pPr>
      <w:r>
        <w:rPr>
          <w:color w:val="auto"/>
          <w:sz w:val="28"/>
          <w:szCs w:val="28"/>
          <w:highlight w:val="none"/>
        </w:rPr>
        <w:t>项目查询</w:t>
      </w:r>
    </w:p>
    <w:p w14:paraId="280024A2">
      <w:pPr>
        <w:pStyle w:val="18"/>
        <w:spacing w:before="0" w:beforeAutospacing="0" w:after="0" w:afterAutospacing="0"/>
        <w:ind w:firstLine="560" w:firstLineChars="200"/>
        <w:rPr>
          <w:rFonts w:ascii="Times New Roman" w:hAnsi="Times New Roman" w:cs="Times New Roman"/>
          <w:color w:val="auto"/>
          <w:kern w:val="2"/>
          <w:sz w:val="28"/>
          <w:szCs w:val="28"/>
          <w:highlight w:val="none"/>
        </w:rPr>
      </w:pPr>
      <w:r>
        <w:rPr>
          <w:rFonts w:ascii="Times New Roman" w:hAnsi="Times New Roman" w:cs="Times New Roman"/>
          <w:color w:val="auto"/>
          <w:kern w:val="2"/>
          <w:sz w:val="28"/>
          <w:szCs w:val="28"/>
          <w:highlight w:val="none"/>
        </w:rPr>
        <w:t>支持以列表形式显示项目清单，记录项目各个办理节点信息及项目状态，支持按所属线路、项目名称、项目状态等条件进行查询。</w:t>
      </w:r>
    </w:p>
    <w:p w14:paraId="07E055AA">
      <w:pPr>
        <w:tabs>
          <w:tab w:val="left" w:pos="851"/>
        </w:tabs>
        <w:spacing w:line="360" w:lineRule="auto"/>
        <w:ind w:firstLine="560" w:firstLineChars="200"/>
        <w:jc w:val="left"/>
        <w:rPr>
          <w:color w:val="auto"/>
          <w:sz w:val="28"/>
          <w:szCs w:val="28"/>
          <w:highlight w:val="none"/>
        </w:rPr>
      </w:pPr>
      <w:r>
        <w:rPr>
          <w:color w:val="auto"/>
          <w:sz w:val="28"/>
          <w:szCs w:val="28"/>
          <w:highlight w:val="none"/>
        </w:rPr>
        <w:t>7）内页资料查询</w:t>
      </w:r>
    </w:p>
    <w:p w14:paraId="7687BC63">
      <w:pPr>
        <w:tabs>
          <w:tab w:val="left" w:pos="851"/>
        </w:tabs>
        <w:spacing w:line="360" w:lineRule="auto"/>
        <w:ind w:firstLine="560" w:firstLineChars="200"/>
        <w:jc w:val="left"/>
        <w:rPr>
          <w:color w:val="auto"/>
          <w:sz w:val="28"/>
          <w:szCs w:val="28"/>
          <w:highlight w:val="none"/>
        </w:rPr>
      </w:pPr>
      <w:r>
        <w:rPr>
          <w:color w:val="auto"/>
          <w:sz w:val="28"/>
          <w:szCs w:val="28"/>
          <w:highlight w:val="none"/>
        </w:rPr>
        <w:t>系统可自动生成巡查、监护、监测的部门工作简报、月报，支持在线查询、导出。</w:t>
      </w:r>
    </w:p>
    <w:p w14:paraId="4171A05B">
      <w:pPr>
        <w:tabs>
          <w:tab w:val="left" w:pos="851"/>
        </w:tabs>
        <w:spacing w:line="360" w:lineRule="auto"/>
        <w:ind w:firstLine="562" w:firstLineChars="200"/>
        <w:jc w:val="left"/>
        <w:rPr>
          <w:b/>
          <w:bCs/>
          <w:color w:val="auto"/>
          <w:sz w:val="28"/>
          <w:szCs w:val="28"/>
          <w:highlight w:val="none"/>
        </w:rPr>
      </w:pPr>
      <w:r>
        <w:rPr>
          <w:b/>
          <w:bCs/>
          <w:color w:val="auto"/>
          <w:sz w:val="28"/>
          <w:szCs w:val="28"/>
          <w:highlight w:val="none"/>
        </w:rPr>
        <w:t>4.2.2.2项目管理</w:t>
      </w:r>
    </w:p>
    <w:p w14:paraId="19F4A308">
      <w:pPr>
        <w:tabs>
          <w:tab w:val="left" w:pos="851"/>
        </w:tabs>
        <w:spacing w:line="360" w:lineRule="auto"/>
        <w:ind w:firstLine="560" w:firstLineChars="200"/>
        <w:jc w:val="left"/>
        <w:rPr>
          <w:color w:val="auto"/>
          <w:sz w:val="28"/>
          <w:szCs w:val="28"/>
          <w:highlight w:val="none"/>
        </w:rPr>
      </w:pPr>
      <w:r>
        <w:rPr>
          <w:color w:val="auto"/>
          <w:sz w:val="28"/>
          <w:szCs w:val="28"/>
          <w:highlight w:val="none"/>
        </w:rPr>
        <w:t>项目管理系统全面实现了对东莞市轨道交通控制保护区外部项目的管理，涵盖项目总体概况、分级管理、项目巡查及监测管理等需求，同时预留项目审批接口。功能说明如下：</w:t>
      </w:r>
    </w:p>
    <w:tbl>
      <w:tblPr>
        <w:tblStyle w:val="21"/>
        <w:tblW w:w="5000" w:type="pct"/>
        <w:tblInd w:w="0" w:type="dxa"/>
        <w:tblLayout w:type="autofit"/>
        <w:tblCellMar>
          <w:top w:w="0" w:type="dxa"/>
          <w:left w:w="108" w:type="dxa"/>
          <w:bottom w:w="0" w:type="dxa"/>
          <w:right w:w="108" w:type="dxa"/>
        </w:tblCellMar>
      </w:tblPr>
      <w:tblGrid>
        <w:gridCol w:w="808"/>
        <w:gridCol w:w="1289"/>
        <w:gridCol w:w="7756"/>
      </w:tblGrid>
      <w:tr w14:paraId="2C1852D2">
        <w:tblPrEx>
          <w:tblCellMar>
            <w:top w:w="0" w:type="dxa"/>
            <w:left w:w="108" w:type="dxa"/>
            <w:bottom w:w="0" w:type="dxa"/>
            <w:right w:w="108" w:type="dxa"/>
          </w:tblCellMar>
        </w:tblPrEx>
        <w:trPr>
          <w:trHeight w:val="506"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14:paraId="7484F158">
            <w:pPr>
              <w:widowControl/>
              <w:jc w:val="center"/>
              <w:textAlignment w:val="center"/>
              <w:rPr>
                <w:b/>
                <w:bCs/>
                <w:color w:val="auto"/>
                <w:szCs w:val="21"/>
                <w:highlight w:val="none"/>
              </w:rPr>
            </w:pPr>
            <w:r>
              <w:rPr>
                <w:b/>
                <w:bCs/>
                <w:color w:val="auto"/>
                <w:kern w:val="0"/>
                <w:szCs w:val="21"/>
                <w:highlight w:val="none"/>
                <w:lang w:bidi="ar"/>
              </w:rPr>
              <w:t>序号</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14:paraId="217EB546">
            <w:pPr>
              <w:widowControl/>
              <w:jc w:val="center"/>
              <w:textAlignment w:val="center"/>
              <w:rPr>
                <w:b/>
                <w:bCs/>
                <w:color w:val="auto"/>
                <w:szCs w:val="21"/>
                <w:highlight w:val="none"/>
              </w:rPr>
            </w:pPr>
            <w:r>
              <w:rPr>
                <w:b/>
                <w:bCs/>
                <w:color w:val="auto"/>
                <w:kern w:val="0"/>
                <w:szCs w:val="21"/>
                <w:highlight w:val="none"/>
                <w:lang w:bidi="ar"/>
              </w:rPr>
              <w:t>功能需求</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14:paraId="38A66202">
            <w:pPr>
              <w:widowControl/>
              <w:jc w:val="center"/>
              <w:textAlignment w:val="center"/>
              <w:rPr>
                <w:b/>
                <w:bCs/>
                <w:color w:val="auto"/>
                <w:szCs w:val="21"/>
                <w:highlight w:val="none"/>
              </w:rPr>
            </w:pPr>
            <w:r>
              <w:rPr>
                <w:b/>
                <w:bCs/>
                <w:color w:val="auto"/>
                <w:kern w:val="0"/>
                <w:szCs w:val="21"/>
                <w:highlight w:val="none"/>
                <w:lang w:bidi="ar"/>
              </w:rPr>
              <w:t>功能说明</w:t>
            </w:r>
          </w:p>
        </w:tc>
      </w:tr>
      <w:tr w14:paraId="33891435">
        <w:tblPrEx>
          <w:tblCellMar>
            <w:top w:w="0" w:type="dxa"/>
            <w:left w:w="108" w:type="dxa"/>
            <w:bottom w:w="0" w:type="dxa"/>
            <w:right w:w="108" w:type="dxa"/>
          </w:tblCellMar>
        </w:tblPrEx>
        <w:trPr>
          <w:trHeight w:val="312" w:hRule="atLeast"/>
        </w:trPr>
        <w:tc>
          <w:tcPr>
            <w:tcW w:w="410" w:type="pct"/>
            <w:vMerge w:val="restart"/>
            <w:tcBorders>
              <w:top w:val="single" w:color="000000" w:sz="4" w:space="0"/>
              <w:left w:val="single" w:color="000000" w:sz="4" w:space="0"/>
              <w:bottom w:val="single" w:color="000000" w:sz="4" w:space="0"/>
              <w:right w:val="single" w:color="000000" w:sz="4" w:space="0"/>
            </w:tcBorders>
            <w:noWrap w:val="0"/>
            <w:vAlign w:val="center"/>
          </w:tcPr>
          <w:p w14:paraId="79AA008F">
            <w:pPr>
              <w:widowControl/>
              <w:jc w:val="center"/>
              <w:textAlignment w:val="center"/>
              <w:rPr>
                <w:color w:val="auto"/>
                <w:kern w:val="0"/>
                <w:szCs w:val="21"/>
                <w:highlight w:val="none"/>
                <w:lang w:bidi="ar"/>
              </w:rPr>
            </w:pPr>
            <w:r>
              <w:rPr>
                <w:color w:val="auto"/>
                <w:kern w:val="0"/>
                <w:szCs w:val="21"/>
                <w:highlight w:val="none"/>
                <w:lang w:bidi="ar"/>
              </w:rPr>
              <w:t>1</w:t>
            </w:r>
          </w:p>
        </w:tc>
        <w:tc>
          <w:tcPr>
            <w:tcW w:w="654" w:type="pct"/>
            <w:vMerge w:val="restart"/>
            <w:tcBorders>
              <w:top w:val="single" w:color="000000" w:sz="4" w:space="0"/>
              <w:left w:val="single" w:color="000000" w:sz="4" w:space="0"/>
              <w:bottom w:val="single" w:color="000000" w:sz="4" w:space="0"/>
              <w:right w:val="single" w:color="000000" w:sz="4" w:space="0"/>
            </w:tcBorders>
            <w:noWrap w:val="0"/>
            <w:vAlign w:val="center"/>
          </w:tcPr>
          <w:p w14:paraId="4EFB54D4">
            <w:pPr>
              <w:widowControl/>
              <w:jc w:val="center"/>
              <w:textAlignment w:val="center"/>
              <w:rPr>
                <w:color w:val="auto"/>
                <w:kern w:val="0"/>
                <w:szCs w:val="21"/>
                <w:highlight w:val="none"/>
                <w:lang w:bidi="ar"/>
              </w:rPr>
            </w:pPr>
            <w:r>
              <w:rPr>
                <w:color w:val="auto"/>
                <w:kern w:val="0"/>
                <w:szCs w:val="21"/>
                <w:highlight w:val="none"/>
                <w:lang w:bidi="ar"/>
              </w:rPr>
              <w:t>项目首页</w:t>
            </w:r>
          </w:p>
        </w:tc>
        <w:tc>
          <w:tcPr>
            <w:tcW w:w="3934" w:type="pct"/>
            <w:vMerge w:val="restart"/>
            <w:tcBorders>
              <w:top w:val="single" w:color="000000" w:sz="4" w:space="0"/>
              <w:left w:val="single" w:color="000000" w:sz="4" w:space="0"/>
              <w:bottom w:val="single" w:color="000000" w:sz="4" w:space="0"/>
              <w:right w:val="single" w:color="000000" w:sz="4" w:space="0"/>
            </w:tcBorders>
            <w:noWrap w:val="0"/>
            <w:vAlign w:val="center"/>
          </w:tcPr>
          <w:p w14:paraId="59763428">
            <w:pPr>
              <w:widowControl/>
              <w:jc w:val="left"/>
              <w:textAlignment w:val="center"/>
              <w:rPr>
                <w:color w:val="auto"/>
                <w:kern w:val="0"/>
                <w:szCs w:val="21"/>
                <w:highlight w:val="none"/>
                <w:lang w:bidi="ar"/>
              </w:rPr>
            </w:pPr>
            <w:r>
              <w:rPr>
                <w:color w:val="auto"/>
                <w:kern w:val="0"/>
                <w:szCs w:val="21"/>
                <w:highlight w:val="none"/>
                <w:lang w:bidi="ar"/>
              </w:rPr>
              <w:t>1.与GIS地理信息系统进行集成，展示保护区管理范围内施工项目、个案的所在位置等详细信息。包括如下内容：地铁线路与站点，保护区管理范围，跟进施工项目等级、类型区分颜色进行展示，同时也支持规划项目的地图展示。</w:t>
            </w:r>
            <w:r>
              <w:rPr>
                <w:color w:val="auto"/>
                <w:kern w:val="0"/>
                <w:szCs w:val="21"/>
                <w:highlight w:val="none"/>
                <w:lang w:bidi="ar"/>
              </w:rPr>
              <w:br w:type="textWrapping"/>
            </w:r>
            <w:r>
              <w:rPr>
                <w:color w:val="auto"/>
                <w:kern w:val="0"/>
                <w:szCs w:val="21"/>
                <w:highlight w:val="none"/>
                <w:lang w:bidi="ar"/>
              </w:rPr>
              <w:t>2.可查看项目概况和施工项目详细信息。</w:t>
            </w:r>
            <w:r>
              <w:rPr>
                <w:color w:val="auto"/>
                <w:kern w:val="0"/>
                <w:szCs w:val="21"/>
                <w:highlight w:val="none"/>
                <w:lang w:bidi="ar"/>
              </w:rPr>
              <w:br w:type="textWrapping"/>
            </w:r>
            <w:r>
              <w:rPr>
                <w:color w:val="auto"/>
                <w:kern w:val="0"/>
                <w:szCs w:val="21"/>
                <w:highlight w:val="none"/>
                <w:lang w:bidi="ar"/>
              </w:rPr>
              <w:t>3.支持项目监测预警展示。</w:t>
            </w:r>
            <w:r>
              <w:rPr>
                <w:color w:val="auto"/>
                <w:kern w:val="0"/>
                <w:szCs w:val="21"/>
                <w:highlight w:val="none"/>
                <w:lang w:bidi="ar"/>
              </w:rPr>
              <w:br w:type="textWrapping"/>
            </w:r>
            <w:r>
              <w:rPr>
                <w:color w:val="auto"/>
                <w:kern w:val="0"/>
                <w:szCs w:val="21"/>
                <w:highlight w:val="none"/>
                <w:lang w:bidi="ar"/>
              </w:rPr>
              <w:t>4.违法违规项目的地图展示。</w:t>
            </w:r>
            <w:r>
              <w:rPr>
                <w:color w:val="auto"/>
                <w:kern w:val="0"/>
                <w:szCs w:val="21"/>
                <w:highlight w:val="none"/>
                <w:lang w:bidi="ar"/>
              </w:rPr>
              <w:br w:type="textWrapping"/>
            </w:r>
            <w:r>
              <w:rPr>
                <w:color w:val="auto"/>
                <w:kern w:val="0"/>
                <w:szCs w:val="21"/>
                <w:highlight w:val="none"/>
                <w:lang w:bidi="ar"/>
              </w:rPr>
              <w:t>5.支持在控项目统计。</w:t>
            </w:r>
            <w:r>
              <w:rPr>
                <w:color w:val="auto"/>
                <w:kern w:val="0"/>
                <w:szCs w:val="21"/>
                <w:highlight w:val="none"/>
                <w:lang w:bidi="ar"/>
              </w:rPr>
              <w:br w:type="textWrapping"/>
            </w:r>
            <w:r>
              <w:rPr>
                <w:color w:val="auto"/>
                <w:kern w:val="0"/>
                <w:szCs w:val="21"/>
                <w:highlight w:val="none"/>
                <w:lang w:bidi="ar"/>
              </w:rPr>
              <w:t>6.支持以下自定义功能。根据项目等级自定义地图展示；根据巡查人员自定义查看巡查轨迹；可自定义是否展示保护区范围；可自定义是否展示违法违规项目。</w:t>
            </w:r>
          </w:p>
          <w:p w14:paraId="3C1FF819">
            <w:pPr>
              <w:widowControl/>
              <w:jc w:val="left"/>
              <w:textAlignment w:val="center"/>
              <w:rPr>
                <w:color w:val="auto"/>
                <w:kern w:val="0"/>
                <w:szCs w:val="21"/>
                <w:highlight w:val="none"/>
                <w:lang w:bidi="ar"/>
              </w:rPr>
            </w:pPr>
            <w:r>
              <w:rPr>
                <w:color w:val="auto"/>
                <w:kern w:val="0"/>
                <w:szCs w:val="21"/>
                <w:highlight w:val="none"/>
                <w:lang w:bidi="ar"/>
              </w:rPr>
              <w:t>7.支持导出项目台账、周报、月报、项目竣工报告等。</w:t>
            </w:r>
          </w:p>
          <w:p w14:paraId="7E70744F">
            <w:pPr>
              <w:widowControl/>
              <w:jc w:val="left"/>
              <w:textAlignment w:val="center"/>
              <w:rPr>
                <w:color w:val="auto"/>
                <w:kern w:val="0"/>
                <w:szCs w:val="21"/>
                <w:highlight w:val="none"/>
                <w:lang w:bidi="ar"/>
              </w:rPr>
            </w:pPr>
            <w:r>
              <w:rPr>
                <w:color w:val="auto"/>
                <w:kern w:val="0"/>
                <w:szCs w:val="21"/>
                <w:highlight w:val="none"/>
                <w:lang w:bidi="ar"/>
              </w:rPr>
              <w:t>8.项目安全影响等级简易判定</w:t>
            </w:r>
          </w:p>
        </w:tc>
      </w:tr>
      <w:tr w14:paraId="71766F28">
        <w:tblPrEx>
          <w:tblCellMar>
            <w:top w:w="0" w:type="dxa"/>
            <w:left w:w="108" w:type="dxa"/>
            <w:bottom w:w="0" w:type="dxa"/>
            <w:right w:w="108" w:type="dxa"/>
          </w:tblCellMar>
        </w:tblPrEx>
        <w:trPr>
          <w:trHeight w:val="312" w:hRule="atLeast"/>
        </w:trPr>
        <w:tc>
          <w:tcPr>
            <w:tcW w:w="4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734FD5">
            <w:pPr>
              <w:widowControl/>
              <w:jc w:val="center"/>
              <w:textAlignment w:val="center"/>
              <w:rPr>
                <w:color w:val="auto"/>
                <w:kern w:val="0"/>
                <w:szCs w:val="21"/>
                <w:highlight w:val="none"/>
                <w:lang w:bidi="ar"/>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6B2831">
            <w:pPr>
              <w:widowControl/>
              <w:jc w:val="center"/>
              <w:textAlignment w:val="center"/>
              <w:rPr>
                <w:color w:val="auto"/>
                <w:kern w:val="0"/>
                <w:szCs w:val="21"/>
                <w:highlight w:val="none"/>
                <w:lang w:bidi="ar"/>
              </w:rPr>
            </w:pPr>
          </w:p>
        </w:tc>
        <w:tc>
          <w:tcPr>
            <w:tcW w:w="39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35361E">
            <w:pPr>
              <w:widowControl/>
              <w:jc w:val="left"/>
              <w:textAlignment w:val="center"/>
              <w:rPr>
                <w:color w:val="auto"/>
                <w:kern w:val="0"/>
                <w:szCs w:val="21"/>
                <w:highlight w:val="none"/>
                <w:lang w:bidi="ar"/>
              </w:rPr>
            </w:pPr>
          </w:p>
        </w:tc>
      </w:tr>
      <w:tr w14:paraId="716CBF6E">
        <w:tblPrEx>
          <w:tblCellMar>
            <w:top w:w="0" w:type="dxa"/>
            <w:left w:w="108" w:type="dxa"/>
            <w:bottom w:w="0" w:type="dxa"/>
            <w:right w:w="108" w:type="dxa"/>
          </w:tblCellMar>
        </w:tblPrEx>
        <w:trPr>
          <w:trHeight w:val="312" w:hRule="atLeast"/>
        </w:trPr>
        <w:tc>
          <w:tcPr>
            <w:tcW w:w="4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D6118E">
            <w:pPr>
              <w:widowControl/>
              <w:jc w:val="center"/>
              <w:textAlignment w:val="center"/>
              <w:rPr>
                <w:color w:val="auto"/>
                <w:kern w:val="0"/>
                <w:szCs w:val="21"/>
                <w:highlight w:val="none"/>
                <w:lang w:bidi="ar"/>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3950E6">
            <w:pPr>
              <w:widowControl/>
              <w:jc w:val="center"/>
              <w:textAlignment w:val="center"/>
              <w:rPr>
                <w:color w:val="auto"/>
                <w:kern w:val="0"/>
                <w:szCs w:val="21"/>
                <w:highlight w:val="none"/>
                <w:lang w:bidi="ar"/>
              </w:rPr>
            </w:pPr>
          </w:p>
        </w:tc>
        <w:tc>
          <w:tcPr>
            <w:tcW w:w="39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10C445">
            <w:pPr>
              <w:widowControl/>
              <w:jc w:val="left"/>
              <w:textAlignment w:val="center"/>
              <w:rPr>
                <w:color w:val="auto"/>
                <w:kern w:val="0"/>
                <w:szCs w:val="21"/>
                <w:highlight w:val="none"/>
                <w:lang w:bidi="ar"/>
              </w:rPr>
            </w:pPr>
          </w:p>
        </w:tc>
      </w:tr>
      <w:tr w14:paraId="7B06374B">
        <w:tblPrEx>
          <w:tblCellMar>
            <w:top w:w="0" w:type="dxa"/>
            <w:left w:w="108" w:type="dxa"/>
            <w:bottom w:w="0" w:type="dxa"/>
            <w:right w:w="108" w:type="dxa"/>
          </w:tblCellMar>
        </w:tblPrEx>
        <w:trPr>
          <w:trHeight w:val="312" w:hRule="atLeast"/>
        </w:trPr>
        <w:tc>
          <w:tcPr>
            <w:tcW w:w="4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1232D5">
            <w:pPr>
              <w:widowControl/>
              <w:jc w:val="center"/>
              <w:textAlignment w:val="center"/>
              <w:rPr>
                <w:color w:val="auto"/>
                <w:kern w:val="0"/>
                <w:szCs w:val="21"/>
                <w:highlight w:val="none"/>
                <w:lang w:bidi="ar"/>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8893A2">
            <w:pPr>
              <w:widowControl/>
              <w:jc w:val="center"/>
              <w:textAlignment w:val="center"/>
              <w:rPr>
                <w:color w:val="auto"/>
                <w:kern w:val="0"/>
                <w:szCs w:val="21"/>
                <w:highlight w:val="none"/>
                <w:lang w:bidi="ar"/>
              </w:rPr>
            </w:pPr>
          </w:p>
        </w:tc>
        <w:tc>
          <w:tcPr>
            <w:tcW w:w="39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ED0E20">
            <w:pPr>
              <w:widowControl/>
              <w:jc w:val="left"/>
              <w:textAlignment w:val="center"/>
              <w:rPr>
                <w:color w:val="auto"/>
                <w:kern w:val="0"/>
                <w:szCs w:val="21"/>
                <w:highlight w:val="none"/>
                <w:lang w:bidi="ar"/>
              </w:rPr>
            </w:pPr>
          </w:p>
        </w:tc>
      </w:tr>
      <w:tr w14:paraId="0FFB8469">
        <w:tblPrEx>
          <w:tblCellMar>
            <w:top w:w="0" w:type="dxa"/>
            <w:left w:w="108" w:type="dxa"/>
            <w:bottom w:w="0" w:type="dxa"/>
            <w:right w:w="108" w:type="dxa"/>
          </w:tblCellMar>
        </w:tblPrEx>
        <w:trPr>
          <w:trHeight w:val="312" w:hRule="atLeast"/>
        </w:trPr>
        <w:tc>
          <w:tcPr>
            <w:tcW w:w="410" w:type="pct"/>
            <w:vMerge w:val="restart"/>
            <w:tcBorders>
              <w:top w:val="single" w:color="000000" w:sz="4" w:space="0"/>
              <w:left w:val="single" w:color="000000" w:sz="4" w:space="0"/>
              <w:bottom w:val="single" w:color="000000" w:sz="4" w:space="0"/>
              <w:right w:val="single" w:color="000000" w:sz="4" w:space="0"/>
            </w:tcBorders>
            <w:noWrap w:val="0"/>
            <w:vAlign w:val="center"/>
          </w:tcPr>
          <w:p w14:paraId="0B57BF04">
            <w:pPr>
              <w:widowControl/>
              <w:jc w:val="center"/>
              <w:textAlignment w:val="center"/>
              <w:rPr>
                <w:color w:val="auto"/>
                <w:kern w:val="0"/>
                <w:szCs w:val="21"/>
                <w:highlight w:val="none"/>
                <w:lang w:bidi="ar"/>
              </w:rPr>
            </w:pPr>
            <w:r>
              <w:rPr>
                <w:color w:val="auto"/>
                <w:kern w:val="0"/>
                <w:szCs w:val="21"/>
                <w:highlight w:val="none"/>
                <w:lang w:bidi="ar"/>
              </w:rPr>
              <w:t>2</w:t>
            </w:r>
          </w:p>
        </w:tc>
        <w:tc>
          <w:tcPr>
            <w:tcW w:w="654" w:type="pct"/>
            <w:vMerge w:val="restart"/>
            <w:tcBorders>
              <w:top w:val="single" w:color="000000" w:sz="4" w:space="0"/>
              <w:left w:val="single" w:color="000000" w:sz="4" w:space="0"/>
              <w:bottom w:val="single" w:color="000000" w:sz="4" w:space="0"/>
              <w:right w:val="single" w:color="000000" w:sz="4" w:space="0"/>
            </w:tcBorders>
            <w:noWrap w:val="0"/>
            <w:vAlign w:val="center"/>
          </w:tcPr>
          <w:p w14:paraId="1043F126">
            <w:pPr>
              <w:widowControl/>
              <w:jc w:val="center"/>
              <w:textAlignment w:val="center"/>
              <w:rPr>
                <w:color w:val="auto"/>
                <w:kern w:val="0"/>
                <w:szCs w:val="21"/>
                <w:highlight w:val="none"/>
                <w:lang w:bidi="ar"/>
              </w:rPr>
            </w:pPr>
            <w:r>
              <w:rPr>
                <w:color w:val="auto"/>
                <w:kern w:val="0"/>
                <w:szCs w:val="21"/>
                <w:highlight w:val="none"/>
                <w:lang w:bidi="ar"/>
              </w:rPr>
              <w:t>项目详情</w:t>
            </w:r>
          </w:p>
        </w:tc>
        <w:tc>
          <w:tcPr>
            <w:tcW w:w="3934" w:type="pct"/>
            <w:vMerge w:val="restart"/>
            <w:tcBorders>
              <w:top w:val="single" w:color="000000" w:sz="4" w:space="0"/>
              <w:left w:val="single" w:color="000000" w:sz="4" w:space="0"/>
              <w:bottom w:val="single" w:color="000000" w:sz="4" w:space="0"/>
              <w:right w:val="single" w:color="000000" w:sz="4" w:space="0"/>
            </w:tcBorders>
            <w:noWrap w:val="0"/>
            <w:vAlign w:val="center"/>
          </w:tcPr>
          <w:p w14:paraId="5DD13D5E">
            <w:pPr>
              <w:widowControl/>
              <w:jc w:val="left"/>
              <w:rPr>
                <w:color w:val="auto"/>
                <w:kern w:val="0"/>
                <w:szCs w:val="21"/>
                <w:highlight w:val="none"/>
                <w:lang w:bidi="ar"/>
              </w:rPr>
            </w:pPr>
            <w:r>
              <w:rPr>
                <w:color w:val="auto"/>
                <w:kern w:val="0"/>
                <w:szCs w:val="21"/>
                <w:highlight w:val="none"/>
                <w:lang w:bidi="ar"/>
              </w:rPr>
              <w:t>对外部施工项目进行档案式管理的功能模块。包括：项目基本信息管理：项目编号、项目资料、项目等级、项目概况、项目人员信息，项目风险。</w:t>
            </w:r>
            <w:r>
              <w:rPr>
                <w:color w:val="auto"/>
                <w:kern w:val="0"/>
                <w:szCs w:val="21"/>
                <w:highlight w:val="none"/>
                <w:lang w:bidi="ar"/>
              </w:rPr>
              <w:br w:type="textWrapping"/>
            </w:r>
            <w:r>
              <w:rPr>
                <w:color w:val="auto"/>
                <w:kern w:val="0"/>
                <w:szCs w:val="21"/>
                <w:highlight w:val="none"/>
                <w:lang w:bidi="ar"/>
              </w:rPr>
              <w:t>2.项目定位信息管理：项目位置、项目轮廓、项目与地铁关系等配置。</w:t>
            </w:r>
            <w:r>
              <w:rPr>
                <w:color w:val="auto"/>
                <w:kern w:val="0"/>
                <w:szCs w:val="21"/>
                <w:highlight w:val="none"/>
                <w:lang w:bidi="ar"/>
              </w:rPr>
              <w:br w:type="textWrapping"/>
            </w:r>
            <w:r>
              <w:rPr>
                <w:color w:val="auto"/>
                <w:kern w:val="0"/>
                <w:szCs w:val="21"/>
                <w:highlight w:val="none"/>
                <w:lang w:bidi="ar"/>
              </w:rPr>
              <w:t>3.项目状态信息管理：项目巡查信息、项目监测预警信息、项目违规处理、项目阶段处理等；规划项目信息单独标识。</w:t>
            </w:r>
          </w:p>
          <w:p w14:paraId="01B09D40">
            <w:pPr>
              <w:widowControl/>
              <w:jc w:val="left"/>
              <w:rPr>
                <w:color w:val="auto"/>
                <w:kern w:val="0"/>
                <w:szCs w:val="21"/>
                <w:highlight w:val="none"/>
                <w:lang w:bidi="ar"/>
              </w:rPr>
            </w:pPr>
            <w:r>
              <w:rPr>
                <w:color w:val="auto"/>
                <w:kern w:val="0"/>
                <w:szCs w:val="21"/>
                <w:highlight w:val="none"/>
                <w:lang w:bidi="ar"/>
              </w:rPr>
              <w:t>4.项目查询搜索：能准确搜索到备案时提交的监测方案、施工方案、保护方案和安全评估报告等。</w:t>
            </w:r>
          </w:p>
        </w:tc>
      </w:tr>
      <w:tr w14:paraId="03048F77">
        <w:tblPrEx>
          <w:tblCellMar>
            <w:top w:w="0" w:type="dxa"/>
            <w:left w:w="108" w:type="dxa"/>
            <w:bottom w:w="0" w:type="dxa"/>
            <w:right w:w="108" w:type="dxa"/>
          </w:tblCellMar>
        </w:tblPrEx>
        <w:trPr>
          <w:trHeight w:val="312" w:hRule="atLeast"/>
        </w:trPr>
        <w:tc>
          <w:tcPr>
            <w:tcW w:w="4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FE3788">
            <w:pPr>
              <w:widowControl/>
              <w:jc w:val="center"/>
              <w:textAlignment w:val="center"/>
              <w:rPr>
                <w:color w:val="auto"/>
                <w:kern w:val="0"/>
                <w:szCs w:val="21"/>
                <w:highlight w:val="none"/>
                <w:lang w:bidi="ar"/>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689213">
            <w:pPr>
              <w:widowControl/>
              <w:jc w:val="center"/>
              <w:textAlignment w:val="center"/>
              <w:rPr>
                <w:color w:val="auto"/>
                <w:kern w:val="0"/>
                <w:szCs w:val="21"/>
                <w:highlight w:val="none"/>
                <w:lang w:bidi="ar"/>
              </w:rPr>
            </w:pPr>
          </w:p>
        </w:tc>
        <w:tc>
          <w:tcPr>
            <w:tcW w:w="39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C41A94">
            <w:pPr>
              <w:widowControl/>
              <w:jc w:val="left"/>
              <w:textAlignment w:val="center"/>
              <w:rPr>
                <w:color w:val="auto"/>
                <w:kern w:val="0"/>
                <w:szCs w:val="21"/>
                <w:highlight w:val="none"/>
                <w:lang w:bidi="ar"/>
              </w:rPr>
            </w:pPr>
          </w:p>
        </w:tc>
      </w:tr>
      <w:tr w14:paraId="597A62D7">
        <w:tblPrEx>
          <w:tblCellMar>
            <w:top w:w="0" w:type="dxa"/>
            <w:left w:w="108" w:type="dxa"/>
            <w:bottom w:w="0" w:type="dxa"/>
            <w:right w:w="108" w:type="dxa"/>
          </w:tblCellMar>
        </w:tblPrEx>
        <w:trPr>
          <w:trHeight w:val="312" w:hRule="atLeast"/>
        </w:trPr>
        <w:tc>
          <w:tcPr>
            <w:tcW w:w="4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4FECAB">
            <w:pPr>
              <w:widowControl/>
              <w:jc w:val="center"/>
              <w:textAlignment w:val="center"/>
              <w:rPr>
                <w:color w:val="auto"/>
                <w:kern w:val="0"/>
                <w:szCs w:val="21"/>
                <w:highlight w:val="none"/>
                <w:lang w:bidi="ar"/>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F4D695">
            <w:pPr>
              <w:widowControl/>
              <w:jc w:val="center"/>
              <w:textAlignment w:val="center"/>
              <w:rPr>
                <w:color w:val="auto"/>
                <w:kern w:val="0"/>
                <w:szCs w:val="21"/>
                <w:highlight w:val="none"/>
                <w:lang w:bidi="ar"/>
              </w:rPr>
            </w:pPr>
          </w:p>
        </w:tc>
        <w:tc>
          <w:tcPr>
            <w:tcW w:w="39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3446B4">
            <w:pPr>
              <w:widowControl/>
              <w:jc w:val="left"/>
              <w:textAlignment w:val="center"/>
              <w:rPr>
                <w:color w:val="auto"/>
                <w:kern w:val="0"/>
                <w:szCs w:val="21"/>
                <w:highlight w:val="none"/>
                <w:lang w:bidi="ar"/>
              </w:rPr>
            </w:pPr>
          </w:p>
        </w:tc>
      </w:tr>
      <w:tr w14:paraId="0CE8F11A">
        <w:tblPrEx>
          <w:tblCellMar>
            <w:top w:w="0" w:type="dxa"/>
            <w:left w:w="108" w:type="dxa"/>
            <w:bottom w:w="0" w:type="dxa"/>
            <w:right w:w="108" w:type="dxa"/>
          </w:tblCellMar>
        </w:tblPrEx>
        <w:trPr>
          <w:trHeight w:val="312" w:hRule="atLeast"/>
        </w:trPr>
        <w:tc>
          <w:tcPr>
            <w:tcW w:w="4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6E141E">
            <w:pPr>
              <w:widowControl/>
              <w:jc w:val="center"/>
              <w:textAlignment w:val="center"/>
              <w:rPr>
                <w:color w:val="auto"/>
                <w:kern w:val="0"/>
                <w:szCs w:val="21"/>
                <w:highlight w:val="none"/>
                <w:lang w:bidi="ar"/>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6546BC">
            <w:pPr>
              <w:widowControl/>
              <w:jc w:val="center"/>
              <w:textAlignment w:val="center"/>
              <w:rPr>
                <w:color w:val="auto"/>
                <w:kern w:val="0"/>
                <w:szCs w:val="21"/>
                <w:highlight w:val="none"/>
                <w:lang w:bidi="ar"/>
              </w:rPr>
            </w:pPr>
          </w:p>
        </w:tc>
        <w:tc>
          <w:tcPr>
            <w:tcW w:w="39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265F4B">
            <w:pPr>
              <w:widowControl/>
              <w:jc w:val="left"/>
              <w:textAlignment w:val="center"/>
              <w:rPr>
                <w:color w:val="auto"/>
                <w:kern w:val="0"/>
                <w:szCs w:val="21"/>
                <w:highlight w:val="none"/>
                <w:lang w:bidi="ar"/>
              </w:rPr>
            </w:pPr>
          </w:p>
        </w:tc>
      </w:tr>
      <w:tr w14:paraId="15A53A36">
        <w:tblPrEx>
          <w:tblCellMar>
            <w:top w:w="0" w:type="dxa"/>
            <w:left w:w="108" w:type="dxa"/>
            <w:bottom w:w="0" w:type="dxa"/>
            <w:right w:w="108" w:type="dxa"/>
          </w:tblCellMar>
        </w:tblPrEx>
        <w:trPr>
          <w:trHeight w:val="580" w:hRule="atLeast"/>
        </w:trPr>
        <w:tc>
          <w:tcPr>
            <w:tcW w:w="4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6069FC">
            <w:pPr>
              <w:widowControl/>
              <w:jc w:val="center"/>
              <w:textAlignment w:val="center"/>
              <w:rPr>
                <w:color w:val="auto"/>
                <w:kern w:val="0"/>
                <w:szCs w:val="21"/>
                <w:highlight w:val="none"/>
                <w:lang w:bidi="ar"/>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0B6EA9">
            <w:pPr>
              <w:widowControl/>
              <w:jc w:val="center"/>
              <w:textAlignment w:val="center"/>
              <w:rPr>
                <w:color w:val="auto"/>
                <w:kern w:val="0"/>
                <w:szCs w:val="21"/>
                <w:highlight w:val="none"/>
                <w:lang w:bidi="ar"/>
              </w:rPr>
            </w:pPr>
          </w:p>
        </w:tc>
        <w:tc>
          <w:tcPr>
            <w:tcW w:w="39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C4505B">
            <w:pPr>
              <w:widowControl/>
              <w:jc w:val="left"/>
              <w:textAlignment w:val="center"/>
              <w:rPr>
                <w:color w:val="auto"/>
                <w:kern w:val="0"/>
                <w:szCs w:val="21"/>
                <w:highlight w:val="none"/>
                <w:lang w:bidi="ar"/>
              </w:rPr>
            </w:pPr>
          </w:p>
        </w:tc>
      </w:tr>
      <w:tr w14:paraId="2D01A5E5">
        <w:tblPrEx>
          <w:tblCellMar>
            <w:top w:w="0" w:type="dxa"/>
            <w:left w:w="108" w:type="dxa"/>
            <w:bottom w:w="0" w:type="dxa"/>
            <w:right w:w="108" w:type="dxa"/>
          </w:tblCellMar>
        </w:tblPrEx>
        <w:trPr>
          <w:trHeight w:val="330"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14:paraId="5A2985E5">
            <w:pPr>
              <w:widowControl/>
              <w:jc w:val="center"/>
              <w:textAlignment w:val="center"/>
              <w:rPr>
                <w:color w:val="auto"/>
                <w:kern w:val="0"/>
                <w:szCs w:val="21"/>
                <w:highlight w:val="none"/>
                <w:lang w:bidi="ar"/>
              </w:rPr>
            </w:pPr>
            <w:r>
              <w:rPr>
                <w:color w:val="auto"/>
                <w:kern w:val="0"/>
                <w:szCs w:val="21"/>
                <w:highlight w:val="none"/>
                <w:lang w:bidi="ar"/>
              </w:rPr>
              <w:t>3</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14:paraId="1662A1BA">
            <w:pPr>
              <w:widowControl/>
              <w:jc w:val="center"/>
              <w:textAlignment w:val="center"/>
              <w:rPr>
                <w:color w:val="auto"/>
                <w:kern w:val="0"/>
                <w:szCs w:val="21"/>
                <w:highlight w:val="none"/>
                <w:lang w:bidi="ar"/>
              </w:rPr>
            </w:pPr>
            <w:r>
              <w:rPr>
                <w:color w:val="auto"/>
                <w:kern w:val="0"/>
                <w:szCs w:val="21"/>
                <w:highlight w:val="none"/>
                <w:lang w:bidi="ar"/>
              </w:rPr>
              <w:t>监测数据管理</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14:paraId="6C89763B">
            <w:pPr>
              <w:widowControl/>
              <w:jc w:val="left"/>
              <w:rPr>
                <w:color w:val="auto"/>
                <w:kern w:val="0"/>
                <w:szCs w:val="21"/>
                <w:highlight w:val="none"/>
                <w:lang w:bidi="ar"/>
              </w:rPr>
            </w:pPr>
            <w:r>
              <w:rPr>
                <w:color w:val="auto"/>
                <w:kern w:val="0"/>
                <w:szCs w:val="21"/>
                <w:highlight w:val="none"/>
                <w:lang w:bidi="ar"/>
              </w:rPr>
              <w:t>支持外部监测单位设置测点信息和位置、上传监测数据和监测成果等功能。</w:t>
            </w:r>
            <w:r>
              <w:rPr>
                <w:color w:val="auto"/>
                <w:kern w:val="0"/>
                <w:szCs w:val="21"/>
                <w:highlight w:val="none"/>
                <w:lang w:bidi="ar"/>
              </w:rPr>
              <w:br w:type="textWrapping"/>
            </w:r>
            <w:r>
              <w:rPr>
                <w:color w:val="auto"/>
                <w:kern w:val="0"/>
                <w:szCs w:val="21"/>
                <w:highlight w:val="none"/>
                <w:lang w:bidi="ar"/>
              </w:rPr>
              <w:t>2.实现外部建设单位施工进度、监测日报、周报、月报、总结报告等资料上传。</w:t>
            </w:r>
            <w:r>
              <w:rPr>
                <w:color w:val="auto"/>
                <w:kern w:val="0"/>
                <w:szCs w:val="21"/>
                <w:highlight w:val="none"/>
                <w:lang w:bidi="ar"/>
              </w:rPr>
              <w:br w:type="textWrapping"/>
            </w:r>
            <w:r>
              <w:rPr>
                <w:color w:val="auto"/>
                <w:kern w:val="0"/>
                <w:szCs w:val="21"/>
                <w:highlight w:val="none"/>
                <w:lang w:bidi="ar"/>
              </w:rPr>
              <w:t>3.实现监测数据与监测成果浏览与下载。</w:t>
            </w:r>
            <w:r>
              <w:rPr>
                <w:color w:val="auto"/>
                <w:kern w:val="0"/>
                <w:szCs w:val="21"/>
                <w:highlight w:val="none"/>
                <w:lang w:bidi="ar"/>
              </w:rPr>
              <w:br w:type="textWrapping"/>
            </w:r>
            <w:r>
              <w:rPr>
                <w:color w:val="auto"/>
                <w:kern w:val="0"/>
                <w:szCs w:val="21"/>
                <w:highlight w:val="none"/>
                <w:lang w:bidi="ar"/>
              </w:rPr>
              <w:t>4.预留重点监护项目有施工方组织的第三方自动化监测数据接入功能，设置可调整控制值，达到相应设定值进行预警，并推送预警信息。</w:t>
            </w:r>
          </w:p>
          <w:p w14:paraId="3FE64B23">
            <w:pPr>
              <w:widowControl/>
              <w:numPr>
                <w:ilvl w:val="0"/>
                <w:numId w:val="12"/>
              </w:numPr>
              <w:jc w:val="left"/>
              <w:rPr>
                <w:color w:val="auto"/>
                <w:kern w:val="0"/>
                <w:szCs w:val="21"/>
                <w:highlight w:val="none"/>
                <w:lang w:bidi="ar"/>
              </w:rPr>
            </w:pPr>
            <w:r>
              <w:rPr>
                <w:color w:val="auto"/>
                <w:kern w:val="0"/>
                <w:szCs w:val="21"/>
                <w:highlight w:val="none"/>
                <w:lang w:bidi="ar"/>
              </w:rPr>
              <w:t>监测数据统计功能，统计监测单位是否按照要求的监测频率采集上传数据，对缺项或缺失的监测数据进行提醒</w:t>
            </w:r>
          </w:p>
        </w:tc>
      </w:tr>
      <w:tr w14:paraId="06A9C91D">
        <w:tblPrEx>
          <w:tblCellMar>
            <w:top w:w="0" w:type="dxa"/>
            <w:left w:w="108" w:type="dxa"/>
            <w:bottom w:w="0" w:type="dxa"/>
            <w:right w:w="108" w:type="dxa"/>
          </w:tblCellMar>
        </w:tblPrEx>
        <w:trPr>
          <w:trHeight w:val="960"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14:paraId="4DA283E9">
            <w:pPr>
              <w:widowControl/>
              <w:jc w:val="center"/>
              <w:textAlignment w:val="center"/>
              <w:rPr>
                <w:color w:val="auto"/>
                <w:kern w:val="0"/>
                <w:szCs w:val="21"/>
                <w:highlight w:val="none"/>
                <w:lang w:bidi="ar"/>
              </w:rPr>
            </w:pPr>
            <w:r>
              <w:rPr>
                <w:color w:val="auto"/>
                <w:kern w:val="0"/>
                <w:szCs w:val="21"/>
                <w:highlight w:val="none"/>
                <w:lang w:bidi="ar"/>
              </w:rPr>
              <w:t>4</w:t>
            </w:r>
          </w:p>
        </w:tc>
        <w:tc>
          <w:tcPr>
            <w:tcW w:w="654" w:type="pct"/>
            <w:tcBorders>
              <w:top w:val="single" w:color="000000" w:sz="4" w:space="0"/>
              <w:left w:val="single" w:color="000000" w:sz="4" w:space="0"/>
              <w:bottom w:val="single" w:color="000000" w:sz="4" w:space="0"/>
              <w:right w:val="single" w:color="000000" w:sz="4" w:space="0"/>
            </w:tcBorders>
            <w:noWrap/>
            <w:vAlign w:val="center"/>
          </w:tcPr>
          <w:p w14:paraId="1E5A6748">
            <w:pPr>
              <w:widowControl/>
              <w:jc w:val="center"/>
              <w:textAlignment w:val="center"/>
              <w:rPr>
                <w:color w:val="auto"/>
                <w:kern w:val="0"/>
                <w:szCs w:val="21"/>
                <w:highlight w:val="none"/>
                <w:lang w:bidi="ar"/>
              </w:rPr>
            </w:pPr>
            <w:r>
              <w:rPr>
                <w:color w:val="auto"/>
                <w:kern w:val="0"/>
                <w:szCs w:val="21"/>
                <w:highlight w:val="none"/>
                <w:lang w:bidi="ar"/>
              </w:rPr>
              <w:t>巡查管理</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14:paraId="3FF262CC">
            <w:pPr>
              <w:widowControl/>
              <w:jc w:val="left"/>
              <w:textAlignment w:val="center"/>
              <w:rPr>
                <w:color w:val="auto"/>
                <w:kern w:val="0"/>
                <w:szCs w:val="21"/>
                <w:highlight w:val="none"/>
                <w:lang w:bidi="ar"/>
              </w:rPr>
            </w:pPr>
            <w:r>
              <w:rPr>
                <w:color w:val="auto"/>
                <w:kern w:val="0"/>
                <w:szCs w:val="21"/>
                <w:highlight w:val="none"/>
                <w:lang w:bidi="ar"/>
              </w:rPr>
              <w:t>1.编制监护计划，支持计划提醒，超期未监护项目提醒功能。</w:t>
            </w:r>
            <w:r>
              <w:rPr>
                <w:color w:val="auto"/>
                <w:kern w:val="0"/>
                <w:szCs w:val="21"/>
                <w:highlight w:val="none"/>
                <w:lang w:bidi="ar"/>
              </w:rPr>
              <w:br w:type="textWrapping"/>
            </w:r>
            <w:r>
              <w:rPr>
                <w:color w:val="auto"/>
                <w:kern w:val="0"/>
                <w:szCs w:val="21"/>
                <w:highlight w:val="none"/>
                <w:lang w:bidi="ar"/>
              </w:rPr>
              <w:t>2.监护计划经审批，生成执行监护计划，并同步下达至手机APP。</w:t>
            </w:r>
            <w:r>
              <w:rPr>
                <w:color w:val="auto"/>
                <w:kern w:val="0"/>
                <w:szCs w:val="21"/>
                <w:highlight w:val="none"/>
                <w:lang w:bidi="ar"/>
              </w:rPr>
              <w:br w:type="textWrapping"/>
            </w:r>
            <w:r>
              <w:rPr>
                <w:color w:val="auto"/>
                <w:kern w:val="0"/>
                <w:szCs w:val="21"/>
                <w:highlight w:val="none"/>
                <w:lang w:bidi="ar"/>
              </w:rPr>
              <w:t>3.具有任务下达功能，并强制列入监护计划，并提供针对性的反馈机制。</w:t>
            </w:r>
          </w:p>
          <w:p w14:paraId="254670FF">
            <w:pPr>
              <w:widowControl/>
              <w:jc w:val="left"/>
              <w:textAlignment w:val="center"/>
              <w:rPr>
                <w:color w:val="auto"/>
                <w:kern w:val="0"/>
                <w:szCs w:val="21"/>
                <w:highlight w:val="none"/>
                <w:lang w:bidi="ar"/>
              </w:rPr>
            </w:pPr>
            <w:r>
              <w:rPr>
                <w:color w:val="auto"/>
                <w:kern w:val="0"/>
                <w:szCs w:val="21"/>
                <w:highlight w:val="none"/>
                <w:lang w:bidi="ar"/>
              </w:rPr>
              <w:t>4.支持按项目统计巡查次数、异常次数并可对各报表进行导出、打印功能。</w:t>
            </w:r>
          </w:p>
          <w:p w14:paraId="14AB2719">
            <w:pPr>
              <w:widowControl/>
              <w:jc w:val="left"/>
              <w:textAlignment w:val="center"/>
              <w:rPr>
                <w:color w:val="auto"/>
                <w:kern w:val="0"/>
                <w:szCs w:val="21"/>
                <w:highlight w:val="none"/>
                <w:lang w:bidi="ar"/>
              </w:rPr>
            </w:pPr>
            <w:r>
              <w:rPr>
                <w:color w:val="auto"/>
                <w:kern w:val="0"/>
                <w:szCs w:val="21"/>
                <w:highlight w:val="none"/>
                <w:lang w:bidi="ar"/>
              </w:rPr>
              <w:t>5.支持项目巡查轨迹查询。</w:t>
            </w:r>
          </w:p>
        </w:tc>
      </w:tr>
      <w:tr w14:paraId="53A2F2C1">
        <w:tblPrEx>
          <w:tblCellMar>
            <w:top w:w="0" w:type="dxa"/>
            <w:left w:w="108" w:type="dxa"/>
            <w:bottom w:w="0" w:type="dxa"/>
            <w:right w:w="108" w:type="dxa"/>
          </w:tblCellMar>
        </w:tblPrEx>
        <w:trPr>
          <w:trHeight w:val="312" w:hRule="atLeast"/>
        </w:trPr>
        <w:tc>
          <w:tcPr>
            <w:tcW w:w="410" w:type="pct"/>
            <w:vMerge w:val="restart"/>
            <w:tcBorders>
              <w:top w:val="single" w:color="000000" w:sz="4" w:space="0"/>
              <w:left w:val="single" w:color="000000" w:sz="4" w:space="0"/>
              <w:bottom w:val="single" w:color="000000" w:sz="4" w:space="0"/>
              <w:right w:val="single" w:color="000000" w:sz="4" w:space="0"/>
            </w:tcBorders>
            <w:noWrap w:val="0"/>
            <w:vAlign w:val="center"/>
          </w:tcPr>
          <w:p w14:paraId="6CC82464">
            <w:pPr>
              <w:widowControl/>
              <w:jc w:val="center"/>
              <w:textAlignment w:val="center"/>
              <w:rPr>
                <w:color w:val="auto"/>
                <w:kern w:val="0"/>
                <w:szCs w:val="21"/>
                <w:highlight w:val="none"/>
                <w:lang w:bidi="ar"/>
              </w:rPr>
            </w:pPr>
            <w:r>
              <w:rPr>
                <w:color w:val="auto"/>
                <w:kern w:val="0"/>
                <w:szCs w:val="21"/>
                <w:highlight w:val="none"/>
                <w:lang w:bidi="ar"/>
              </w:rPr>
              <w:t>5</w:t>
            </w:r>
          </w:p>
        </w:tc>
        <w:tc>
          <w:tcPr>
            <w:tcW w:w="654" w:type="pct"/>
            <w:vMerge w:val="restart"/>
            <w:tcBorders>
              <w:top w:val="single" w:color="000000" w:sz="4" w:space="0"/>
              <w:left w:val="single" w:color="000000" w:sz="4" w:space="0"/>
              <w:bottom w:val="single" w:color="000000" w:sz="4" w:space="0"/>
              <w:right w:val="single" w:color="000000" w:sz="4" w:space="0"/>
            </w:tcBorders>
            <w:noWrap w:val="0"/>
            <w:vAlign w:val="center"/>
          </w:tcPr>
          <w:p w14:paraId="0FA939E6">
            <w:pPr>
              <w:widowControl/>
              <w:jc w:val="center"/>
              <w:textAlignment w:val="center"/>
              <w:rPr>
                <w:color w:val="auto"/>
                <w:kern w:val="0"/>
                <w:szCs w:val="21"/>
                <w:highlight w:val="none"/>
                <w:lang w:bidi="ar"/>
              </w:rPr>
            </w:pPr>
            <w:r>
              <w:rPr>
                <w:color w:val="auto"/>
                <w:kern w:val="0"/>
                <w:szCs w:val="21"/>
                <w:highlight w:val="none"/>
                <w:lang w:bidi="ar"/>
              </w:rPr>
              <w:t>项目审批（预留）</w:t>
            </w:r>
          </w:p>
        </w:tc>
        <w:tc>
          <w:tcPr>
            <w:tcW w:w="3934" w:type="pct"/>
            <w:vMerge w:val="restart"/>
            <w:tcBorders>
              <w:top w:val="single" w:color="000000" w:sz="4" w:space="0"/>
              <w:left w:val="single" w:color="000000" w:sz="4" w:space="0"/>
              <w:bottom w:val="single" w:color="000000" w:sz="4" w:space="0"/>
              <w:right w:val="single" w:color="000000" w:sz="4" w:space="0"/>
            </w:tcBorders>
            <w:noWrap w:val="0"/>
            <w:vAlign w:val="center"/>
          </w:tcPr>
          <w:p w14:paraId="1DF81CDE">
            <w:pPr>
              <w:widowControl/>
              <w:jc w:val="left"/>
              <w:textAlignment w:val="center"/>
              <w:rPr>
                <w:color w:val="auto"/>
                <w:kern w:val="0"/>
                <w:szCs w:val="21"/>
                <w:highlight w:val="none"/>
                <w:lang w:bidi="ar"/>
              </w:rPr>
            </w:pPr>
            <w:r>
              <w:rPr>
                <w:color w:val="auto"/>
                <w:kern w:val="0"/>
                <w:szCs w:val="21"/>
                <w:highlight w:val="none"/>
                <w:lang w:bidi="ar"/>
              </w:rPr>
              <w:t>审查管理是对外部施工单位提交的技术、施工资料等方面审核的功能模块。该模块与系统首页进行对接，便于外部施工单位上传各个施工阶段的提审材料及查看了解审批的流程进展情况。审批流程基于独立的审批流程管理体系，具备更加灵活的流程配置，方便使用者自行配置流程。</w:t>
            </w:r>
          </w:p>
        </w:tc>
      </w:tr>
      <w:tr w14:paraId="0B3D12D6">
        <w:tblPrEx>
          <w:tblCellMar>
            <w:top w:w="0" w:type="dxa"/>
            <w:left w:w="108" w:type="dxa"/>
            <w:bottom w:w="0" w:type="dxa"/>
            <w:right w:w="108" w:type="dxa"/>
          </w:tblCellMar>
        </w:tblPrEx>
        <w:trPr>
          <w:trHeight w:val="312" w:hRule="atLeast"/>
        </w:trPr>
        <w:tc>
          <w:tcPr>
            <w:tcW w:w="4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CB2940">
            <w:pPr>
              <w:widowControl/>
              <w:jc w:val="left"/>
              <w:textAlignment w:val="center"/>
              <w:rPr>
                <w:color w:val="auto"/>
                <w:kern w:val="0"/>
                <w:szCs w:val="21"/>
                <w:highlight w:val="none"/>
                <w:lang w:bidi="ar"/>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9AFA3A">
            <w:pPr>
              <w:widowControl/>
              <w:jc w:val="left"/>
              <w:textAlignment w:val="center"/>
              <w:rPr>
                <w:color w:val="auto"/>
                <w:kern w:val="0"/>
                <w:szCs w:val="21"/>
                <w:highlight w:val="none"/>
                <w:lang w:bidi="ar"/>
              </w:rPr>
            </w:pPr>
          </w:p>
        </w:tc>
        <w:tc>
          <w:tcPr>
            <w:tcW w:w="39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C3005F">
            <w:pPr>
              <w:widowControl/>
              <w:jc w:val="left"/>
              <w:textAlignment w:val="center"/>
              <w:rPr>
                <w:color w:val="auto"/>
                <w:kern w:val="0"/>
                <w:szCs w:val="21"/>
                <w:highlight w:val="none"/>
                <w:lang w:bidi="ar"/>
              </w:rPr>
            </w:pPr>
          </w:p>
        </w:tc>
      </w:tr>
      <w:tr w14:paraId="44BF4E16">
        <w:tblPrEx>
          <w:tblCellMar>
            <w:top w:w="0" w:type="dxa"/>
            <w:left w:w="108" w:type="dxa"/>
            <w:bottom w:w="0" w:type="dxa"/>
            <w:right w:w="108" w:type="dxa"/>
          </w:tblCellMar>
        </w:tblPrEx>
        <w:trPr>
          <w:trHeight w:val="312" w:hRule="atLeast"/>
        </w:trPr>
        <w:tc>
          <w:tcPr>
            <w:tcW w:w="4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6CD233">
            <w:pPr>
              <w:jc w:val="center"/>
              <w:rPr>
                <w:b/>
                <w:bCs/>
                <w:color w:val="auto"/>
                <w:szCs w:val="21"/>
                <w:highlight w:val="none"/>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3AAD83">
            <w:pPr>
              <w:jc w:val="center"/>
              <w:rPr>
                <w:color w:val="auto"/>
                <w:szCs w:val="21"/>
                <w:highlight w:val="none"/>
              </w:rPr>
            </w:pPr>
          </w:p>
        </w:tc>
        <w:tc>
          <w:tcPr>
            <w:tcW w:w="39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C83750">
            <w:pPr>
              <w:jc w:val="center"/>
              <w:rPr>
                <w:color w:val="auto"/>
                <w:szCs w:val="21"/>
                <w:highlight w:val="none"/>
              </w:rPr>
            </w:pPr>
          </w:p>
        </w:tc>
      </w:tr>
      <w:tr w14:paraId="4B292BE4">
        <w:tblPrEx>
          <w:tblCellMar>
            <w:top w:w="0" w:type="dxa"/>
            <w:left w:w="108" w:type="dxa"/>
            <w:bottom w:w="0" w:type="dxa"/>
            <w:right w:w="108" w:type="dxa"/>
          </w:tblCellMar>
        </w:tblPrEx>
        <w:trPr>
          <w:trHeight w:val="312" w:hRule="atLeast"/>
        </w:trPr>
        <w:tc>
          <w:tcPr>
            <w:tcW w:w="4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E6D0EF">
            <w:pPr>
              <w:jc w:val="center"/>
              <w:rPr>
                <w:b/>
                <w:bCs/>
                <w:color w:val="auto"/>
                <w:szCs w:val="21"/>
                <w:highlight w:val="none"/>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91BE81">
            <w:pPr>
              <w:jc w:val="center"/>
              <w:rPr>
                <w:color w:val="auto"/>
                <w:szCs w:val="21"/>
                <w:highlight w:val="none"/>
              </w:rPr>
            </w:pPr>
          </w:p>
        </w:tc>
        <w:tc>
          <w:tcPr>
            <w:tcW w:w="39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58EDD4">
            <w:pPr>
              <w:jc w:val="center"/>
              <w:rPr>
                <w:color w:val="auto"/>
                <w:szCs w:val="21"/>
                <w:highlight w:val="none"/>
              </w:rPr>
            </w:pPr>
          </w:p>
        </w:tc>
      </w:tr>
      <w:tr w14:paraId="1DBB16BE">
        <w:tblPrEx>
          <w:tblCellMar>
            <w:top w:w="0" w:type="dxa"/>
            <w:left w:w="108" w:type="dxa"/>
            <w:bottom w:w="0" w:type="dxa"/>
            <w:right w:w="108" w:type="dxa"/>
          </w:tblCellMar>
        </w:tblPrEx>
        <w:trPr>
          <w:trHeight w:val="312" w:hRule="atLeast"/>
        </w:trPr>
        <w:tc>
          <w:tcPr>
            <w:tcW w:w="4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11DE14">
            <w:pPr>
              <w:jc w:val="center"/>
              <w:rPr>
                <w:b/>
                <w:bCs/>
                <w:color w:val="auto"/>
                <w:szCs w:val="21"/>
                <w:highlight w:val="none"/>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9AA9AF">
            <w:pPr>
              <w:jc w:val="center"/>
              <w:rPr>
                <w:color w:val="auto"/>
                <w:szCs w:val="21"/>
                <w:highlight w:val="none"/>
              </w:rPr>
            </w:pPr>
          </w:p>
        </w:tc>
        <w:tc>
          <w:tcPr>
            <w:tcW w:w="39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CB3AA3">
            <w:pPr>
              <w:jc w:val="center"/>
              <w:rPr>
                <w:color w:val="auto"/>
                <w:szCs w:val="21"/>
                <w:highlight w:val="none"/>
              </w:rPr>
            </w:pPr>
          </w:p>
        </w:tc>
      </w:tr>
    </w:tbl>
    <w:p w14:paraId="2BC90AA5">
      <w:pPr>
        <w:tabs>
          <w:tab w:val="left" w:pos="851"/>
        </w:tabs>
        <w:spacing w:line="360" w:lineRule="auto"/>
        <w:ind w:firstLine="562" w:firstLineChars="200"/>
        <w:jc w:val="left"/>
        <w:rPr>
          <w:b/>
          <w:bCs/>
          <w:color w:val="auto"/>
          <w:sz w:val="28"/>
          <w:szCs w:val="28"/>
          <w:highlight w:val="none"/>
        </w:rPr>
      </w:pPr>
      <w:r>
        <w:rPr>
          <w:b/>
          <w:bCs/>
          <w:color w:val="auto"/>
          <w:sz w:val="28"/>
          <w:szCs w:val="28"/>
          <w:highlight w:val="none"/>
        </w:rPr>
        <w:t>4.2.2.3巡查管理</w:t>
      </w:r>
    </w:p>
    <w:p w14:paraId="43A1AE44">
      <w:pPr>
        <w:spacing w:line="360" w:lineRule="auto"/>
        <w:ind w:firstLine="560" w:firstLineChars="200"/>
        <w:jc w:val="left"/>
        <w:rPr>
          <w:color w:val="auto"/>
          <w:sz w:val="28"/>
          <w:szCs w:val="28"/>
          <w:highlight w:val="none"/>
        </w:rPr>
      </w:pPr>
      <w:r>
        <w:rPr>
          <w:color w:val="auto"/>
          <w:sz w:val="28"/>
          <w:szCs w:val="28"/>
          <w:highlight w:val="none"/>
        </w:rPr>
        <w:t>（1）人员巡查</w:t>
      </w:r>
    </w:p>
    <w:p w14:paraId="00C0AFFF">
      <w:pPr>
        <w:spacing w:line="360" w:lineRule="auto"/>
        <w:ind w:firstLine="560" w:firstLineChars="200"/>
        <w:jc w:val="left"/>
        <w:rPr>
          <w:color w:val="auto"/>
          <w:sz w:val="28"/>
          <w:szCs w:val="28"/>
          <w:highlight w:val="none"/>
        </w:rPr>
      </w:pPr>
      <w:r>
        <w:rPr>
          <w:color w:val="auto"/>
          <w:sz w:val="28"/>
          <w:szCs w:val="28"/>
          <w:highlight w:val="none"/>
        </w:rPr>
        <w:t>人员巡查分为日常巡查和专项巡查两种类型，具备巡查计划管理、轨迹管理、记录管理和统计管理等功能；支持根据固定模板生成报告，支持巡查日报、巡查月报、巡查季报、巡查年报等不同形式的报告，灵活显示巡查结果。功能说明如下：</w:t>
      </w:r>
    </w:p>
    <w:tbl>
      <w:tblPr>
        <w:tblStyle w:val="21"/>
        <w:tblW w:w="5000" w:type="pct"/>
        <w:tblInd w:w="91" w:type="dxa"/>
        <w:tblLayout w:type="autofit"/>
        <w:tblCellMar>
          <w:top w:w="0" w:type="dxa"/>
          <w:left w:w="108" w:type="dxa"/>
          <w:bottom w:w="0" w:type="dxa"/>
          <w:right w:w="108" w:type="dxa"/>
        </w:tblCellMar>
      </w:tblPr>
      <w:tblGrid>
        <w:gridCol w:w="829"/>
        <w:gridCol w:w="1681"/>
        <w:gridCol w:w="7343"/>
      </w:tblGrid>
      <w:tr w14:paraId="76CA7CF2">
        <w:tblPrEx>
          <w:tblCellMar>
            <w:top w:w="0" w:type="dxa"/>
            <w:left w:w="108" w:type="dxa"/>
            <w:bottom w:w="0" w:type="dxa"/>
            <w:right w:w="108" w:type="dxa"/>
          </w:tblCellMar>
        </w:tblPrEx>
        <w:trPr>
          <w:trHeight w:val="270"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2E9F3F8F">
            <w:pPr>
              <w:widowControl/>
              <w:jc w:val="center"/>
              <w:textAlignment w:val="center"/>
              <w:rPr>
                <w:b/>
                <w:bCs/>
                <w:color w:val="auto"/>
                <w:szCs w:val="21"/>
                <w:highlight w:val="none"/>
              </w:rPr>
            </w:pPr>
            <w:r>
              <w:rPr>
                <w:b/>
                <w:bCs/>
                <w:color w:val="auto"/>
                <w:kern w:val="0"/>
                <w:szCs w:val="21"/>
                <w:highlight w:val="none"/>
                <w:lang w:bidi="ar"/>
              </w:rPr>
              <w:t>序号</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2D554E7">
            <w:pPr>
              <w:widowControl/>
              <w:jc w:val="center"/>
              <w:textAlignment w:val="center"/>
              <w:rPr>
                <w:b/>
                <w:bCs/>
                <w:color w:val="auto"/>
                <w:szCs w:val="21"/>
                <w:highlight w:val="none"/>
              </w:rPr>
            </w:pPr>
            <w:r>
              <w:rPr>
                <w:b/>
                <w:bCs/>
                <w:color w:val="auto"/>
                <w:szCs w:val="21"/>
                <w:highlight w:val="none"/>
              </w:rPr>
              <w:t>功能需求</w:t>
            </w:r>
          </w:p>
        </w:tc>
        <w:tc>
          <w:tcPr>
            <w:tcW w:w="6920" w:type="dxa"/>
            <w:tcBorders>
              <w:top w:val="single" w:color="auto" w:sz="4" w:space="0"/>
              <w:left w:val="single" w:color="auto" w:sz="4" w:space="0"/>
              <w:bottom w:val="single" w:color="auto" w:sz="4" w:space="0"/>
              <w:right w:val="single" w:color="auto" w:sz="4" w:space="0"/>
            </w:tcBorders>
            <w:noWrap w:val="0"/>
            <w:vAlign w:val="center"/>
          </w:tcPr>
          <w:p w14:paraId="7DB24CBC">
            <w:pPr>
              <w:widowControl/>
              <w:jc w:val="center"/>
              <w:textAlignment w:val="center"/>
              <w:rPr>
                <w:b/>
                <w:bCs/>
                <w:color w:val="auto"/>
                <w:szCs w:val="21"/>
                <w:highlight w:val="none"/>
              </w:rPr>
            </w:pPr>
            <w:r>
              <w:rPr>
                <w:b/>
                <w:bCs/>
                <w:color w:val="auto"/>
                <w:kern w:val="0"/>
                <w:szCs w:val="21"/>
                <w:highlight w:val="none"/>
                <w:lang w:bidi="ar"/>
              </w:rPr>
              <w:t>功能说明</w:t>
            </w:r>
          </w:p>
        </w:tc>
      </w:tr>
      <w:tr w14:paraId="468100B3">
        <w:tblPrEx>
          <w:tblCellMar>
            <w:top w:w="0" w:type="dxa"/>
            <w:left w:w="108" w:type="dxa"/>
            <w:bottom w:w="0" w:type="dxa"/>
            <w:right w:w="108" w:type="dxa"/>
          </w:tblCellMar>
        </w:tblPrEx>
        <w:trPr>
          <w:trHeight w:val="270" w:hRule="atLeast"/>
        </w:trPr>
        <w:tc>
          <w:tcPr>
            <w:tcW w:w="782" w:type="dxa"/>
            <w:vMerge w:val="restart"/>
            <w:tcBorders>
              <w:top w:val="single" w:color="auto" w:sz="4" w:space="0"/>
              <w:left w:val="single" w:color="auto" w:sz="4" w:space="0"/>
              <w:bottom w:val="single" w:color="auto" w:sz="4" w:space="0"/>
              <w:right w:val="single" w:color="auto" w:sz="4" w:space="0"/>
            </w:tcBorders>
            <w:noWrap w:val="0"/>
            <w:vAlign w:val="center"/>
          </w:tcPr>
          <w:p w14:paraId="42CC22C9">
            <w:pPr>
              <w:widowControl/>
              <w:jc w:val="center"/>
              <w:textAlignment w:val="center"/>
              <w:rPr>
                <w:color w:val="auto"/>
                <w:szCs w:val="21"/>
                <w:highlight w:val="none"/>
              </w:rPr>
            </w:pPr>
            <w:r>
              <w:rPr>
                <w:color w:val="auto"/>
                <w:kern w:val="0"/>
                <w:szCs w:val="21"/>
                <w:highlight w:val="none"/>
                <w:lang w:bidi="ar"/>
              </w:rPr>
              <w:t>1</w:t>
            </w:r>
          </w:p>
        </w:tc>
        <w:tc>
          <w:tcPr>
            <w:tcW w:w="1584" w:type="dxa"/>
            <w:vMerge w:val="restart"/>
            <w:tcBorders>
              <w:top w:val="single" w:color="auto" w:sz="4" w:space="0"/>
              <w:left w:val="single" w:color="auto" w:sz="4" w:space="0"/>
              <w:bottom w:val="single" w:color="auto" w:sz="4" w:space="0"/>
              <w:right w:val="single" w:color="auto" w:sz="4" w:space="0"/>
            </w:tcBorders>
            <w:noWrap w:val="0"/>
            <w:vAlign w:val="center"/>
          </w:tcPr>
          <w:p w14:paraId="7E13E1F2">
            <w:pPr>
              <w:widowControl/>
              <w:jc w:val="center"/>
              <w:textAlignment w:val="center"/>
              <w:rPr>
                <w:color w:val="auto"/>
                <w:szCs w:val="21"/>
                <w:highlight w:val="none"/>
              </w:rPr>
            </w:pPr>
            <w:r>
              <w:rPr>
                <w:color w:val="auto"/>
                <w:kern w:val="0"/>
                <w:szCs w:val="21"/>
                <w:highlight w:val="none"/>
                <w:lang w:bidi="ar"/>
              </w:rPr>
              <w:t>巡查计划管理</w:t>
            </w:r>
          </w:p>
        </w:tc>
        <w:tc>
          <w:tcPr>
            <w:tcW w:w="6920" w:type="dxa"/>
            <w:vMerge w:val="restart"/>
            <w:tcBorders>
              <w:top w:val="single" w:color="auto" w:sz="4" w:space="0"/>
              <w:left w:val="single" w:color="auto" w:sz="4" w:space="0"/>
              <w:bottom w:val="single" w:color="auto" w:sz="4" w:space="0"/>
              <w:right w:val="single" w:color="auto" w:sz="4" w:space="0"/>
            </w:tcBorders>
            <w:noWrap w:val="0"/>
            <w:vAlign w:val="center"/>
          </w:tcPr>
          <w:p w14:paraId="53267E43">
            <w:pPr>
              <w:widowControl/>
              <w:jc w:val="left"/>
              <w:textAlignment w:val="center"/>
              <w:rPr>
                <w:color w:val="auto"/>
                <w:szCs w:val="21"/>
                <w:highlight w:val="none"/>
              </w:rPr>
            </w:pPr>
            <w:r>
              <w:rPr>
                <w:color w:val="auto"/>
                <w:kern w:val="0"/>
                <w:szCs w:val="21"/>
                <w:highlight w:val="none"/>
                <w:lang w:bidi="ar"/>
              </w:rPr>
              <w:t>巡查计划是外部巡查的工作依据，包括日常巡查与专项巡查。</w:t>
            </w:r>
            <w:r>
              <w:rPr>
                <w:color w:val="auto"/>
                <w:kern w:val="0"/>
                <w:szCs w:val="21"/>
                <w:highlight w:val="none"/>
                <w:lang w:bidi="ar"/>
              </w:rPr>
              <w:br w:type="textWrapping"/>
            </w:r>
            <w:r>
              <w:rPr>
                <w:color w:val="auto"/>
                <w:kern w:val="0"/>
                <w:szCs w:val="21"/>
                <w:highlight w:val="none"/>
                <w:lang w:bidi="ar"/>
              </w:rPr>
              <w:t>1.日常巡查是巡查管理人员可按日分配巡查任务，巡查任务分配包括：线路、站点、外部施工项目与个案，计划制定后，巡查人员在移动端即可查看与执行计划。系统自动统计巡查任务的执行情况。</w:t>
            </w:r>
            <w:r>
              <w:rPr>
                <w:color w:val="auto"/>
                <w:kern w:val="0"/>
                <w:szCs w:val="21"/>
                <w:highlight w:val="none"/>
                <w:lang w:bidi="ar"/>
              </w:rPr>
              <w:br w:type="textWrapping"/>
            </w:r>
            <w:r>
              <w:rPr>
                <w:color w:val="auto"/>
                <w:kern w:val="0"/>
                <w:szCs w:val="21"/>
                <w:highlight w:val="none"/>
                <w:lang w:bidi="ar"/>
              </w:rPr>
              <w:t>2.专项巡查是制定系统需要支持多人同时巡查一条任务，创建巡查计划需要支持频率设置，可以使用Excel表进行巡查任务导入临时性的工作任务，指定特定人员执行特定的巡查任务。</w:t>
            </w:r>
            <w:r>
              <w:rPr>
                <w:color w:val="auto"/>
                <w:kern w:val="0"/>
                <w:szCs w:val="21"/>
                <w:highlight w:val="none"/>
                <w:lang w:bidi="ar"/>
              </w:rPr>
              <w:br w:type="textWrapping"/>
            </w:r>
            <w:r>
              <w:rPr>
                <w:color w:val="auto"/>
                <w:kern w:val="0"/>
                <w:szCs w:val="21"/>
                <w:highlight w:val="none"/>
                <w:lang w:bidi="ar"/>
              </w:rPr>
              <w:t>3.可自定义巡查区段与人员。</w:t>
            </w:r>
          </w:p>
        </w:tc>
      </w:tr>
      <w:tr w14:paraId="4652721F">
        <w:tblPrEx>
          <w:tblCellMar>
            <w:top w:w="0" w:type="dxa"/>
            <w:left w:w="108" w:type="dxa"/>
            <w:bottom w:w="0" w:type="dxa"/>
            <w:right w:w="108" w:type="dxa"/>
          </w:tblCellMar>
        </w:tblPrEx>
        <w:trPr>
          <w:trHeight w:val="270" w:hRule="atLeast"/>
        </w:trPr>
        <w:tc>
          <w:tcPr>
            <w:tcW w:w="782" w:type="dxa"/>
            <w:vMerge w:val="continue"/>
            <w:tcBorders>
              <w:top w:val="single" w:color="auto" w:sz="4" w:space="0"/>
              <w:left w:val="single" w:color="auto" w:sz="4" w:space="0"/>
              <w:bottom w:val="single" w:color="auto" w:sz="4" w:space="0"/>
              <w:right w:val="single" w:color="auto" w:sz="4" w:space="0"/>
            </w:tcBorders>
            <w:noWrap w:val="0"/>
            <w:vAlign w:val="center"/>
          </w:tcPr>
          <w:p w14:paraId="600AE0FA">
            <w:pPr>
              <w:jc w:val="center"/>
              <w:rPr>
                <w:color w:val="auto"/>
                <w:szCs w:val="21"/>
                <w:highlight w:val="none"/>
              </w:rPr>
            </w:pPr>
          </w:p>
        </w:tc>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14:paraId="4FCC33B8">
            <w:pPr>
              <w:jc w:val="center"/>
              <w:rPr>
                <w:color w:val="auto"/>
                <w:szCs w:val="21"/>
                <w:highlight w:val="none"/>
              </w:rPr>
            </w:pPr>
          </w:p>
        </w:tc>
        <w:tc>
          <w:tcPr>
            <w:tcW w:w="6920" w:type="dxa"/>
            <w:vMerge w:val="continue"/>
            <w:tcBorders>
              <w:top w:val="single" w:color="auto" w:sz="4" w:space="0"/>
              <w:left w:val="single" w:color="auto" w:sz="4" w:space="0"/>
              <w:bottom w:val="single" w:color="auto" w:sz="4" w:space="0"/>
              <w:right w:val="single" w:color="auto" w:sz="4" w:space="0"/>
            </w:tcBorders>
            <w:noWrap w:val="0"/>
            <w:vAlign w:val="center"/>
          </w:tcPr>
          <w:p w14:paraId="6197FD77">
            <w:pPr>
              <w:jc w:val="left"/>
              <w:rPr>
                <w:color w:val="auto"/>
                <w:szCs w:val="21"/>
                <w:highlight w:val="none"/>
              </w:rPr>
            </w:pPr>
          </w:p>
        </w:tc>
      </w:tr>
      <w:tr w14:paraId="3B9184C7">
        <w:tblPrEx>
          <w:tblCellMar>
            <w:top w:w="0" w:type="dxa"/>
            <w:left w:w="108" w:type="dxa"/>
            <w:bottom w:w="0" w:type="dxa"/>
            <w:right w:w="108" w:type="dxa"/>
          </w:tblCellMar>
        </w:tblPrEx>
        <w:trPr>
          <w:trHeight w:val="270" w:hRule="atLeast"/>
        </w:trPr>
        <w:tc>
          <w:tcPr>
            <w:tcW w:w="782" w:type="dxa"/>
            <w:vMerge w:val="continue"/>
            <w:tcBorders>
              <w:top w:val="single" w:color="auto" w:sz="4" w:space="0"/>
              <w:left w:val="single" w:color="auto" w:sz="4" w:space="0"/>
              <w:bottom w:val="single" w:color="auto" w:sz="4" w:space="0"/>
              <w:right w:val="single" w:color="auto" w:sz="4" w:space="0"/>
            </w:tcBorders>
            <w:noWrap w:val="0"/>
            <w:vAlign w:val="center"/>
          </w:tcPr>
          <w:p w14:paraId="599817B0">
            <w:pPr>
              <w:jc w:val="center"/>
              <w:rPr>
                <w:color w:val="auto"/>
                <w:szCs w:val="21"/>
                <w:highlight w:val="none"/>
              </w:rPr>
            </w:pPr>
          </w:p>
        </w:tc>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14:paraId="3C78CFB2">
            <w:pPr>
              <w:jc w:val="center"/>
              <w:rPr>
                <w:color w:val="auto"/>
                <w:szCs w:val="21"/>
                <w:highlight w:val="none"/>
              </w:rPr>
            </w:pPr>
          </w:p>
        </w:tc>
        <w:tc>
          <w:tcPr>
            <w:tcW w:w="6920" w:type="dxa"/>
            <w:vMerge w:val="continue"/>
            <w:tcBorders>
              <w:top w:val="single" w:color="auto" w:sz="4" w:space="0"/>
              <w:left w:val="single" w:color="auto" w:sz="4" w:space="0"/>
              <w:bottom w:val="single" w:color="auto" w:sz="4" w:space="0"/>
              <w:right w:val="single" w:color="auto" w:sz="4" w:space="0"/>
            </w:tcBorders>
            <w:noWrap w:val="0"/>
            <w:vAlign w:val="center"/>
          </w:tcPr>
          <w:p w14:paraId="41B2B3E8">
            <w:pPr>
              <w:jc w:val="left"/>
              <w:rPr>
                <w:color w:val="auto"/>
                <w:szCs w:val="21"/>
                <w:highlight w:val="none"/>
              </w:rPr>
            </w:pPr>
          </w:p>
        </w:tc>
      </w:tr>
      <w:tr w14:paraId="56A9CBC0">
        <w:trPr>
          <w:trHeight w:val="270" w:hRule="atLeast"/>
        </w:trPr>
        <w:tc>
          <w:tcPr>
            <w:tcW w:w="782" w:type="dxa"/>
            <w:vMerge w:val="continue"/>
            <w:tcBorders>
              <w:top w:val="single" w:color="auto" w:sz="4" w:space="0"/>
              <w:left w:val="single" w:color="auto" w:sz="4" w:space="0"/>
              <w:bottom w:val="single" w:color="auto" w:sz="4" w:space="0"/>
              <w:right w:val="single" w:color="auto" w:sz="4" w:space="0"/>
            </w:tcBorders>
            <w:noWrap w:val="0"/>
            <w:vAlign w:val="center"/>
          </w:tcPr>
          <w:p w14:paraId="6D64AA2F">
            <w:pPr>
              <w:jc w:val="center"/>
              <w:rPr>
                <w:color w:val="auto"/>
                <w:szCs w:val="21"/>
                <w:highlight w:val="none"/>
              </w:rPr>
            </w:pPr>
          </w:p>
        </w:tc>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14:paraId="4E3679C1">
            <w:pPr>
              <w:jc w:val="center"/>
              <w:rPr>
                <w:color w:val="auto"/>
                <w:szCs w:val="21"/>
                <w:highlight w:val="none"/>
              </w:rPr>
            </w:pPr>
          </w:p>
        </w:tc>
        <w:tc>
          <w:tcPr>
            <w:tcW w:w="6920" w:type="dxa"/>
            <w:vMerge w:val="continue"/>
            <w:tcBorders>
              <w:top w:val="single" w:color="auto" w:sz="4" w:space="0"/>
              <w:left w:val="single" w:color="auto" w:sz="4" w:space="0"/>
              <w:bottom w:val="single" w:color="auto" w:sz="4" w:space="0"/>
              <w:right w:val="single" w:color="auto" w:sz="4" w:space="0"/>
            </w:tcBorders>
            <w:noWrap w:val="0"/>
            <w:vAlign w:val="center"/>
          </w:tcPr>
          <w:p w14:paraId="73D73680">
            <w:pPr>
              <w:jc w:val="left"/>
              <w:rPr>
                <w:color w:val="auto"/>
                <w:szCs w:val="21"/>
                <w:highlight w:val="none"/>
              </w:rPr>
            </w:pPr>
          </w:p>
        </w:tc>
      </w:tr>
      <w:tr w14:paraId="70A45C7E">
        <w:tblPrEx>
          <w:tblCellMar>
            <w:top w:w="0" w:type="dxa"/>
            <w:left w:w="108" w:type="dxa"/>
            <w:bottom w:w="0" w:type="dxa"/>
            <w:right w:w="108" w:type="dxa"/>
          </w:tblCellMar>
        </w:tblPrEx>
        <w:trPr>
          <w:trHeight w:val="270" w:hRule="atLeast"/>
        </w:trPr>
        <w:tc>
          <w:tcPr>
            <w:tcW w:w="782" w:type="dxa"/>
            <w:vMerge w:val="continue"/>
            <w:tcBorders>
              <w:top w:val="single" w:color="auto" w:sz="4" w:space="0"/>
              <w:left w:val="single" w:color="auto" w:sz="4" w:space="0"/>
              <w:bottom w:val="single" w:color="auto" w:sz="4" w:space="0"/>
              <w:right w:val="single" w:color="auto" w:sz="4" w:space="0"/>
            </w:tcBorders>
            <w:noWrap w:val="0"/>
            <w:vAlign w:val="center"/>
          </w:tcPr>
          <w:p w14:paraId="08718732">
            <w:pPr>
              <w:jc w:val="center"/>
              <w:rPr>
                <w:color w:val="auto"/>
                <w:szCs w:val="21"/>
                <w:highlight w:val="none"/>
              </w:rPr>
            </w:pPr>
          </w:p>
        </w:tc>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14:paraId="2C9FCAFD">
            <w:pPr>
              <w:jc w:val="center"/>
              <w:rPr>
                <w:color w:val="auto"/>
                <w:szCs w:val="21"/>
                <w:highlight w:val="none"/>
              </w:rPr>
            </w:pPr>
          </w:p>
        </w:tc>
        <w:tc>
          <w:tcPr>
            <w:tcW w:w="6920" w:type="dxa"/>
            <w:vMerge w:val="continue"/>
            <w:tcBorders>
              <w:top w:val="single" w:color="auto" w:sz="4" w:space="0"/>
              <w:left w:val="single" w:color="auto" w:sz="4" w:space="0"/>
              <w:bottom w:val="single" w:color="auto" w:sz="4" w:space="0"/>
              <w:right w:val="single" w:color="auto" w:sz="4" w:space="0"/>
            </w:tcBorders>
            <w:noWrap w:val="0"/>
            <w:vAlign w:val="center"/>
          </w:tcPr>
          <w:p w14:paraId="1E83779F">
            <w:pPr>
              <w:jc w:val="left"/>
              <w:rPr>
                <w:color w:val="auto"/>
                <w:szCs w:val="21"/>
                <w:highlight w:val="none"/>
              </w:rPr>
            </w:pPr>
          </w:p>
        </w:tc>
      </w:tr>
      <w:tr w14:paraId="7BF87210">
        <w:tblPrEx>
          <w:tblCellMar>
            <w:top w:w="0" w:type="dxa"/>
            <w:left w:w="108" w:type="dxa"/>
            <w:bottom w:w="0" w:type="dxa"/>
            <w:right w:w="108" w:type="dxa"/>
          </w:tblCellMar>
        </w:tblPrEx>
        <w:trPr>
          <w:trHeight w:val="909" w:hRule="atLeast"/>
        </w:trPr>
        <w:tc>
          <w:tcPr>
            <w:tcW w:w="782" w:type="dxa"/>
            <w:vMerge w:val="continue"/>
            <w:tcBorders>
              <w:top w:val="single" w:color="auto" w:sz="4" w:space="0"/>
              <w:left w:val="single" w:color="auto" w:sz="4" w:space="0"/>
              <w:bottom w:val="single" w:color="auto" w:sz="4" w:space="0"/>
              <w:right w:val="single" w:color="auto" w:sz="4" w:space="0"/>
            </w:tcBorders>
            <w:noWrap w:val="0"/>
            <w:vAlign w:val="center"/>
          </w:tcPr>
          <w:p w14:paraId="63DB88AB">
            <w:pPr>
              <w:jc w:val="center"/>
              <w:rPr>
                <w:color w:val="auto"/>
                <w:szCs w:val="21"/>
                <w:highlight w:val="none"/>
              </w:rPr>
            </w:pPr>
          </w:p>
        </w:tc>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14:paraId="74E1B3D9">
            <w:pPr>
              <w:jc w:val="center"/>
              <w:rPr>
                <w:color w:val="auto"/>
                <w:szCs w:val="21"/>
                <w:highlight w:val="none"/>
              </w:rPr>
            </w:pPr>
          </w:p>
        </w:tc>
        <w:tc>
          <w:tcPr>
            <w:tcW w:w="6920" w:type="dxa"/>
            <w:vMerge w:val="continue"/>
            <w:tcBorders>
              <w:top w:val="single" w:color="auto" w:sz="4" w:space="0"/>
              <w:left w:val="single" w:color="auto" w:sz="4" w:space="0"/>
              <w:bottom w:val="single" w:color="auto" w:sz="4" w:space="0"/>
              <w:right w:val="single" w:color="auto" w:sz="4" w:space="0"/>
            </w:tcBorders>
            <w:noWrap w:val="0"/>
            <w:vAlign w:val="center"/>
          </w:tcPr>
          <w:p w14:paraId="543485F5">
            <w:pPr>
              <w:jc w:val="left"/>
              <w:rPr>
                <w:color w:val="auto"/>
                <w:szCs w:val="21"/>
                <w:highlight w:val="none"/>
              </w:rPr>
            </w:pPr>
          </w:p>
        </w:tc>
      </w:tr>
      <w:tr w14:paraId="3B93C224">
        <w:tblPrEx>
          <w:tblCellMar>
            <w:top w:w="0" w:type="dxa"/>
            <w:left w:w="108" w:type="dxa"/>
            <w:bottom w:w="0" w:type="dxa"/>
            <w:right w:w="108" w:type="dxa"/>
          </w:tblCellMar>
        </w:tblPrEx>
        <w:trPr>
          <w:trHeight w:val="270" w:hRule="atLeast"/>
        </w:trPr>
        <w:tc>
          <w:tcPr>
            <w:tcW w:w="782" w:type="dxa"/>
            <w:vMerge w:val="restart"/>
            <w:tcBorders>
              <w:top w:val="single" w:color="auto" w:sz="4" w:space="0"/>
              <w:left w:val="single" w:color="auto" w:sz="4" w:space="0"/>
              <w:bottom w:val="single" w:color="auto" w:sz="4" w:space="0"/>
              <w:right w:val="single" w:color="auto" w:sz="4" w:space="0"/>
            </w:tcBorders>
            <w:noWrap w:val="0"/>
            <w:vAlign w:val="center"/>
          </w:tcPr>
          <w:p w14:paraId="19D964D9">
            <w:pPr>
              <w:widowControl/>
              <w:jc w:val="center"/>
              <w:textAlignment w:val="center"/>
              <w:rPr>
                <w:color w:val="auto"/>
                <w:szCs w:val="21"/>
                <w:highlight w:val="none"/>
              </w:rPr>
            </w:pPr>
            <w:r>
              <w:rPr>
                <w:color w:val="auto"/>
                <w:kern w:val="0"/>
                <w:szCs w:val="21"/>
                <w:highlight w:val="none"/>
                <w:lang w:bidi="ar"/>
              </w:rPr>
              <w:t>2</w:t>
            </w:r>
          </w:p>
        </w:tc>
        <w:tc>
          <w:tcPr>
            <w:tcW w:w="1584" w:type="dxa"/>
            <w:vMerge w:val="restart"/>
            <w:tcBorders>
              <w:top w:val="single" w:color="auto" w:sz="4" w:space="0"/>
              <w:left w:val="single" w:color="auto" w:sz="4" w:space="0"/>
              <w:bottom w:val="single" w:color="auto" w:sz="4" w:space="0"/>
              <w:right w:val="single" w:color="auto" w:sz="4" w:space="0"/>
            </w:tcBorders>
            <w:noWrap w:val="0"/>
            <w:vAlign w:val="center"/>
          </w:tcPr>
          <w:p w14:paraId="05968775">
            <w:pPr>
              <w:widowControl/>
              <w:jc w:val="center"/>
              <w:textAlignment w:val="center"/>
              <w:rPr>
                <w:color w:val="auto"/>
                <w:szCs w:val="21"/>
                <w:highlight w:val="none"/>
              </w:rPr>
            </w:pPr>
            <w:r>
              <w:rPr>
                <w:color w:val="auto"/>
                <w:kern w:val="0"/>
                <w:szCs w:val="21"/>
                <w:highlight w:val="none"/>
                <w:lang w:bidi="ar"/>
              </w:rPr>
              <w:t>巡查轨迹管理</w:t>
            </w:r>
          </w:p>
        </w:tc>
        <w:tc>
          <w:tcPr>
            <w:tcW w:w="6920" w:type="dxa"/>
            <w:vMerge w:val="restart"/>
            <w:tcBorders>
              <w:top w:val="single" w:color="auto" w:sz="4" w:space="0"/>
              <w:left w:val="single" w:color="auto" w:sz="4" w:space="0"/>
              <w:bottom w:val="single" w:color="auto" w:sz="4" w:space="0"/>
              <w:right w:val="single" w:color="auto" w:sz="4" w:space="0"/>
            </w:tcBorders>
            <w:noWrap w:val="0"/>
            <w:vAlign w:val="center"/>
          </w:tcPr>
          <w:p w14:paraId="71EE542F">
            <w:pPr>
              <w:widowControl/>
              <w:jc w:val="left"/>
              <w:textAlignment w:val="center"/>
              <w:rPr>
                <w:color w:val="auto"/>
                <w:kern w:val="0"/>
                <w:szCs w:val="21"/>
                <w:highlight w:val="none"/>
                <w:lang w:bidi="ar"/>
              </w:rPr>
            </w:pPr>
            <w:r>
              <w:rPr>
                <w:color w:val="auto"/>
                <w:kern w:val="0"/>
                <w:szCs w:val="21"/>
                <w:highlight w:val="none"/>
                <w:lang w:bidi="ar"/>
              </w:rPr>
              <w:t>1.通过与GIS地理信息系统的集成，管理人员可在线查看巡查人员巡查轨迹，包括：站点签到、项目签到、暂停与开始巡查、巡查轨迹、未完成任务等信息，及时掌握巡查人员的巡查情况，便于管理。</w:t>
            </w:r>
            <w:r>
              <w:rPr>
                <w:color w:val="auto"/>
                <w:kern w:val="0"/>
                <w:szCs w:val="21"/>
                <w:highlight w:val="none"/>
                <w:lang w:bidi="ar"/>
              </w:rPr>
              <w:br w:type="textWrapping"/>
            </w:r>
            <w:r>
              <w:rPr>
                <w:color w:val="auto"/>
                <w:kern w:val="0"/>
                <w:szCs w:val="21"/>
                <w:highlight w:val="none"/>
                <w:lang w:bidi="ar"/>
              </w:rPr>
              <w:t>2支持巡查人员轨迹样式个性化定制巡查轨迹需要显示打卡点时间和启停点时间，巡查轨迹需要能够支持纠偏功能。</w:t>
            </w:r>
          </w:p>
          <w:p w14:paraId="220D3DC5">
            <w:pPr>
              <w:widowControl/>
              <w:jc w:val="left"/>
              <w:textAlignment w:val="center"/>
              <w:rPr>
                <w:color w:val="auto"/>
                <w:kern w:val="0"/>
                <w:szCs w:val="21"/>
                <w:highlight w:val="none"/>
                <w:lang w:bidi="ar"/>
              </w:rPr>
            </w:pPr>
            <w:r>
              <w:rPr>
                <w:color w:val="auto"/>
                <w:kern w:val="0"/>
                <w:szCs w:val="21"/>
                <w:highlight w:val="none"/>
                <w:lang w:bidi="ar"/>
              </w:rPr>
              <w:t>3.支持巡查任务完成情况自动评价，通过巡查时常、巡查配速、违规项目记录信息完整度等指标，自动对巡查任务完成人员进行打分，辅助管理人员掌握巡查完成质量，提高管理颗粒度。</w:t>
            </w:r>
          </w:p>
        </w:tc>
      </w:tr>
      <w:tr w14:paraId="2F77D190">
        <w:tblPrEx>
          <w:tblCellMar>
            <w:top w:w="0" w:type="dxa"/>
            <w:left w:w="108" w:type="dxa"/>
            <w:bottom w:w="0" w:type="dxa"/>
            <w:right w:w="108" w:type="dxa"/>
          </w:tblCellMar>
        </w:tblPrEx>
        <w:trPr>
          <w:trHeight w:val="270" w:hRule="atLeast"/>
        </w:trPr>
        <w:tc>
          <w:tcPr>
            <w:tcW w:w="782" w:type="dxa"/>
            <w:vMerge w:val="continue"/>
            <w:tcBorders>
              <w:top w:val="single" w:color="auto" w:sz="4" w:space="0"/>
              <w:left w:val="single" w:color="auto" w:sz="4" w:space="0"/>
              <w:bottom w:val="single" w:color="auto" w:sz="4" w:space="0"/>
              <w:right w:val="single" w:color="auto" w:sz="4" w:space="0"/>
            </w:tcBorders>
            <w:noWrap w:val="0"/>
            <w:vAlign w:val="center"/>
          </w:tcPr>
          <w:p w14:paraId="6A7A2480">
            <w:pPr>
              <w:jc w:val="center"/>
              <w:rPr>
                <w:color w:val="auto"/>
                <w:szCs w:val="21"/>
                <w:highlight w:val="none"/>
              </w:rPr>
            </w:pPr>
          </w:p>
        </w:tc>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14:paraId="5FF60CB5">
            <w:pPr>
              <w:jc w:val="center"/>
              <w:rPr>
                <w:color w:val="auto"/>
                <w:szCs w:val="21"/>
                <w:highlight w:val="none"/>
              </w:rPr>
            </w:pPr>
          </w:p>
        </w:tc>
        <w:tc>
          <w:tcPr>
            <w:tcW w:w="6920" w:type="dxa"/>
            <w:vMerge w:val="continue"/>
            <w:tcBorders>
              <w:top w:val="single" w:color="auto" w:sz="4" w:space="0"/>
              <w:left w:val="single" w:color="auto" w:sz="4" w:space="0"/>
              <w:bottom w:val="single" w:color="auto" w:sz="4" w:space="0"/>
              <w:right w:val="single" w:color="auto" w:sz="4" w:space="0"/>
            </w:tcBorders>
            <w:noWrap w:val="0"/>
            <w:vAlign w:val="center"/>
          </w:tcPr>
          <w:p w14:paraId="04FD160E">
            <w:pPr>
              <w:jc w:val="left"/>
              <w:rPr>
                <w:color w:val="auto"/>
                <w:szCs w:val="21"/>
                <w:highlight w:val="none"/>
              </w:rPr>
            </w:pPr>
          </w:p>
        </w:tc>
      </w:tr>
      <w:tr w14:paraId="52A80084">
        <w:tblPrEx>
          <w:tblCellMar>
            <w:top w:w="0" w:type="dxa"/>
            <w:left w:w="108" w:type="dxa"/>
            <w:bottom w:w="0" w:type="dxa"/>
            <w:right w:w="108" w:type="dxa"/>
          </w:tblCellMar>
        </w:tblPrEx>
        <w:trPr>
          <w:trHeight w:val="994" w:hRule="atLeast"/>
        </w:trPr>
        <w:tc>
          <w:tcPr>
            <w:tcW w:w="782" w:type="dxa"/>
            <w:vMerge w:val="continue"/>
            <w:tcBorders>
              <w:top w:val="single" w:color="auto" w:sz="4" w:space="0"/>
              <w:left w:val="single" w:color="auto" w:sz="4" w:space="0"/>
              <w:bottom w:val="single" w:color="auto" w:sz="4" w:space="0"/>
              <w:right w:val="single" w:color="auto" w:sz="4" w:space="0"/>
            </w:tcBorders>
            <w:noWrap w:val="0"/>
            <w:vAlign w:val="center"/>
          </w:tcPr>
          <w:p w14:paraId="1692349F">
            <w:pPr>
              <w:jc w:val="center"/>
              <w:rPr>
                <w:color w:val="auto"/>
                <w:szCs w:val="21"/>
                <w:highlight w:val="none"/>
              </w:rPr>
            </w:pPr>
          </w:p>
        </w:tc>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14:paraId="682071A6">
            <w:pPr>
              <w:jc w:val="center"/>
              <w:rPr>
                <w:color w:val="auto"/>
                <w:szCs w:val="21"/>
                <w:highlight w:val="none"/>
              </w:rPr>
            </w:pPr>
          </w:p>
        </w:tc>
        <w:tc>
          <w:tcPr>
            <w:tcW w:w="6920" w:type="dxa"/>
            <w:vMerge w:val="continue"/>
            <w:tcBorders>
              <w:top w:val="single" w:color="auto" w:sz="4" w:space="0"/>
              <w:left w:val="single" w:color="auto" w:sz="4" w:space="0"/>
              <w:bottom w:val="single" w:color="auto" w:sz="4" w:space="0"/>
              <w:right w:val="single" w:color="auto" w:sz="4" w:space="0"/>
            </w:tcBorders>
            <w:noWrap w:val="0"/>
            <w:vAlign w:val="center"/>
          </w:tcPr>
          <w:p w14:paraId="2E33B971">
            <w:pPr>
              <w:jc w:val="left"/>
              <w:rPr>
                <w:color w:val="auto"/>
                <w:szCs w:val="21"/>
                <w:highlight w:val="none"/>
              </w:rPr>
            </w:pPr>
          </w:p>
        </w:tc>
      </w:tr>
      <w:tr w14:paraId="2DEC8B22">
        <w:tblPrEx>
          <w:tblCellMar>
            <w:top w:w="0" w:type="dxa"/>
            <w:left w:w="108" w:type="dxa"/>
            <w:bottom w:w="0" w:type="dxa"/>
            <w:right w:w="108" w:type="dxa"/>
          </w:tblCellMar>
        </w:tblPrEx>
        <w:trPr>
          <w:trHeight w:val="270" w:hRule="atLeast"/>
        </w:trPr>
        <w:tc>
          <w:tcPr>
            <w:tcW w:w="782" w:type="dxa"/>
            <w:vMerge w:val="restart"/>
            <w:tcBorders>
              <w:top w:val="single" w:color="auto" w:sz="4" w:space="0"/>
              <w:left w:val="single" w:color="auto" w:sz="4" w:space="0"/>
              <w:bottom w:val="single" w:color="auto" w:sz="4" w:space="0"/>
              <w:right w:val="single" w:color="auto" w:sz="4" w:space="0"/>
            </w:tcBorders>
            <w:noWrap w:val="0"/>
            <w:vAlign w:val="center"/>
          </w:tcPr>
          <w:p w14:paraId="7D818B7B">
            <w:pPr>
              <w:widowControl/>
              <w:jc w:val="center"/>
              <w:textAlignment w:val="center"/>
              <w:rPr>
                <w:color w:val="auto"/>
                <w:szCs w:val="21"/>
                <w:highlight w:val="none"/>
              </w:rPr>
            </w:pPr>
            <w:r>
              <w:rPr>
                <w:color w:val="auto"/>
                <w:kern w:val="0"/>
                <w:szCs w:val="21"/>
                <w:highlight w:val="none"/>
                <w:lang w:bidi="ar"/>
              </w:rPr>
              <w:t>3</w:t>
            </w:r>
          </w:p>
        </w:tc>
        <w:tc>
          <w:tcPr>
            <w:tcW w:w="1584" w:type="dxa"/>
            <w:vMerge w:val="restart"/>
            <w:tcBorders>
              <w:top w:val="single" w:color="auto" w:sz="4" w:space="0"/>
              <w:left w:val="single" w:color="auto" w:sz="4" w:space="0"/>
              <w:bottom w:val="single" w:color="auto" w:sz="4" w:space="0"/>
              <w:right w:val="single" w:color="auto" w:sz="4" w:space="0"/>
            </w:tcBorders>
            <w:noWrap w:val="0"/>
            <w:vAlign w:val="center"/>
          </w:tcPr>
          <w:p w14:paraId="6BBE206A">
            <w:pPr>
              <w:widowControl/>
              <w:jc w:val="center"/>
              <w:textAlignment w:val="center"/>
              <w:rPr>
                <w:color w:val="auto"/>
                <w:szCs w:val="21"/>
                <w:highlight w:val="none"/>
              </w:rPr>
            </w:pPr>
            <w:r>
              <w:rPr>
                <w:color w:val="auto"/>
                <w:kern w:val="0"/>
                <w:szCs w:val="21"/>
                <w:highlight w:val="none"/>
                <w:lang w:bidi="ar"/>
              </w:rPr>
              <w:t>巡查记录管理</w:t>
            </w:r>
          </w:p>
        </w:tc>
        <w:tc>
          <w:tcPr>
            <w:tcW w:w="6920" w:type="dxa"/>
            <w:vMerge w:val="restart"/>
            <w:tcBorders>
              <w:top w:val="single" w:color="auto" w:sz="4" w:space="0"/>
              <w:left w:val="single" w:color="auto" w:sz="4" w:space="0"/>
              <w:bottom w:val="single" w:color="auto" w:sz="4" w:space="0"/>
              <w:right w:val="single" w:color="auto" w:sz="4" w:space="0"/>
            </w:tcBorders>
            <w:noWrap w:val="0"/>
            <w:vAlign w:val="center"/>
          </w:tcPr>
          <w:p w14:paraId="5C20093F">
            <w:pPr>
              <w:widowControl/>
              <w:jc w:val="left"/>
              <w:textAlignment w:val="center"/>
              <w:rPr>
                <w:color w:val="auto"/>
                <w:szCs w:val="21"/>
                <w:highlight w:val="none"/>
              </w:rPr>
            </w:pPr>
            <w:r>
              <w:rPr>
                <w:color w:val="auto"/>
                <w:kern w:val="0"/>
                <w:szCs w:val="21"/>
                <w:highlight w:val="none"/>
                <w:lang w:bidi="ar"/>
              </w:rPr>
              <w:t>1.巡查记录管理展示巡查人员巡查过程中上传的巡查报告、协调记录、停工/恢复施工的记录，并对记录进行统计分析；支持图片和视频上传。</w:t>
            </w:r>
            <w:r>
              <w:rPr>
                <w:color w:val="auto"/>
                <w:kern w:val="0"/>
                <w:szCs w:val="21"/>
                <w:highlight w:val="none"/>
                <w:lang w:bidi="ar"/>
              </w:rPr>
              <w:br w:type="textWrapping"/>
            </w:r>
            <w:r>
              <w:rPr>
                <w:color w:val="auto"/>
                <w:kern w:val="0"/>
                <w:szCs w:val="21"/>
                <w:highlight w:val="none"/>
                <w:lang w:bidi="ar"/>
              </w:rPr>
              <w:t>2.巡查记录能够与项目关联，点击项目可以查看全部巡查记录，对巡查结果进行统计分析，能够反映现场巡查人员的工作情况。</w:t>
            </w:r>
          </w:p>
        </w:tc>
      </w:tr>
      <w:tr w14:paraId="0E9FCA41">
        <w:tblPrEx>
          <w:tblCellMar>
            <w:top w:w="0" w:type="dxa"/>
            <w:left w:w="108" w:type="dxa"/>
            <w:bottom w:w="0" w:type="dxa"/>
            <w:right w:w="108" w:type="dxa"/>
          </w:tblCellMar>
        </w:tblPrEx>
        <w:trPr>
          <w:trHeight w:val="270" w:hRule="atLeast"/>
        </w:trPr>
        <w:tc>
          <w:tcPr>
            <w:tcW w:w="782" w:type="dxa"/>
            <w:vMerge w:val="continue"/>
            <w:tcBorders>
              <w:top w:val="single" w:color="auto" w:sz="4" w:space="0"/>
              <w:left w:val="single" w:color="auto" w:sz="4" w:space="0"/>
              <w:bottom w:val="single" w:color="auto" w:sz="4" w:space="0"/>
              <w:right w:val="single" w:color="auto" w:sz="4" w:space="0"/>
            </w:tcBorders>
            <w:noWrap w:val="0"/>
            <w:vAlign w:val="center"/>
          </w:tcPr>
          <w:p w14:paraId="751AF1F2">
            <w:pPr>
              <w:jc w:val="center"/>
              <w:rPr>
                <w:color w:val="auto"/>
                <w:szCs w:val="21"/>
                <w:highlight w:val="none"/>
              </w:rPr>
            </w:pPr>
          </w:p>
        </w:tc>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14:paraId="6433F3BF">
            <w:pPr>
              <w:jc w:val="center"/>
              <w:rPr>
                <w:color w:val="auto"/>
                <w:szCs w:val="21"/>
                <w:highlight w:val="none"/>
              </w:rPr>
            </w:pPr>
          </w:p>
        </w:tc>
        <w:tc>
          <w:tcPr>
            <w:tcW w:w="6920" w:type="dxa"/>
            <w:vMerge w:val="continue"/>
            <w:tcBorders>
              <w:top w:val="single" w:color="auto" w:sz="4" w:space="0"/>
              <w:left w:val="single" w:color="auto" w:sz="4" w:space="0"/>
              <w:bottom w:val="single" w:color="auto" w:sz="4" w:space="0"/>
              <w:right w:val="single" w:color="auto" w:sz="4" w:space="0"/>
            </w:tcBorders>
            <w:noWrap w:val="0"/>
            <w:vAlign w:val="center"/>
          </w:tcPr>
          <w:p w14:paraId="46876DBC">
            <w:pPr>
              <w:jc w:val="left"/>
              <w:rPr>
                <w:color w:val="auto"/>
                <w:szCs w:val="21"/>
                <w:highlight w:val="none"/>
              </w:rPr>
            </w:pPr>
          </w:p>
        </w:tc>
      </w:tr>
      <w:tr w14:paraId="591B84DD">
        <w:tblPrEx>
          <w:tblCellMar>
            <w:top w:w="0" w:type="dxa"/>
            <w:left w:w="108" w:type="dxa"/>
            <w:bottom w:w="0" w:type="dxa"/>
            <w:right w:w="108" w:type="dxa"/>
          </w:tblCellMar>
        </w:tblPrEx>
        <w:trPr>
          <w:trHeight w:val="667" w:hRule="atLeast"/>
        </w:trPr>
        <w:tc>
          <w:tcPr>
            <w:tcW w:w="782" w:type="dxa"/>
            <w:vMerge w:val="continue"/>
            <w:tcBorders>
              <w:top w:val="single" w:color="auto" w:sz="4" w:space="0"/>
              <w:left w:val="single" w:color="auto" w:sz="4" w:space="0"/>
              <w:bottom w:val="single" w:color="auto" w:sz="4" w:space="0"/>
              <w:right w:val="single" w:color="auto" w:sz="4" w:space="0"/>
            </w:tcBorders>
            <w:noWrap w:val="0"/>
            <w:vAlign w:val="center"/>
          </w:tcPr>
          <w:p w14:paraId="11D90F60">
            <w:pPr>
              <w:jc w:val="center"/>
              <w:rPr>
                <w:color w:val="auto"/>
                <w:szCs w:val="21"/>
                <w:highlight w:val="none"/>
              </w:rPr>
            </w:pPr>
          </w:p>
        </w:tc>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14:paraId="49900949">
            <w:pPr>
              <w:jc w:val="center"/>
              <w:rPr>
                <w:color w:val="auto"/>
                <w:szCs w:val="21"/>
                <w:highlight w:val="none"/>
              </w:rPr>
            </w:pPr>
          </w:p>
        </w:tc>
        <w:tc>
          <w:tcPr>
            <w:tcW w:w="6920" w:type="dxa"/>
            <w:vMerge w:val="continue"/>
            <w:tcBorders>
              <w:top w:val="single" w:color="auto" w:sz="4" w:space="0"/>
              <w:left w:val="single" w:color="auto" w:sz="4" w:space="0"/>
              <w:bottom w:val="single" w:color="auto" w:sz="4" w:space="0"/>
              <w:right w:val="single" w:color="auto" w:sz="4" w:space="0"/>
            </w:tcBorders>
            <w:noWrap w:val="0"/>
            <w:vAlign w:val="center"/>
          </w:tcPr>
          <w:p w14:paraId="6053EC6C">
            <w:pPr>
              <w:jc w:val="left"/>
              <w:rPr>
                <w:color w:val="auto"/>
                <w:szCs w:val="21"/>
                <w:highlight w:val="none"/>
              </w:rPr>
            </w:pPr>
          </w:p>
        </w:tc>
      </w:tr>
      <w:tr w14:paraId="2CDEA0FB">
        <w:trPr>
          <w:trHeight w:val="270" w:hRule="atLeast"/>
        </w:trPr>
        <w:tc>
          <w:tcPr>
            <w:tcW w:w="782" w:type="dxa"/>
            <w:vMerge w:val="restart"/>
            <w:tcBorders>
              <w:top w:val="single" w:color="auto" w:sz="4" w:space="0"/>
              <w:left w:val="single" w:color="auto" w:sz="4" w:space="0"/>
              <w:bottom w:val="single" w:color="auto" w:sz="4" w:space="0"/>
              <w:right w:val="single" w:color="auto" w:sz="4" w:space="0"/>
            </w:tcBorders>
            <w:noWrap w:val="0"/>
            <w:vAlign w:val="center"/>
          </w:tcPr>
          <w:p w14:paraId="1C39A558">
            <w:pPr>
              <w:widowControl/>
              <w:jc w:val="center"/>
              <w:textAlignment w:val="center"/>
              <w:rPr>
                <w:color w:val="auto"/>
                <w:szCs w:val="21"/>
                <w:highlight w:val="none"/>
              </w:rPr>
            </w:pPr>
            <w:r>
              <w:rPr>
                <w:color w:val="auto"/>
                <w:kern w:val="0"/>
                <w:szCs w:val="21"/>
                <w:highlight w:val="none"/>
                <w:lang w:bidi="ar"/>
              </w:rPr>
              <w:t>4</w:t>
            </w:r>
          </w:p>
        </w:tc>
        <w:tc>
          <w:tcPr>
            <w:tcW w:w="1584" w:type="dxa"/>
            <w:vMerge w:val="restart"/>
            <w:tcBorders>
              <w:top w:val="single" w:color="auto" w:sz="4" w:space="0"/>
              <w:left w:val="single" w:color="auto" w:sz="4" w:space="0"/>
              <w:bottom w:val="single" w:color="auto" w:sz="4" w:space="0"/>
              <w:right w:val="single" w:color="auto" w:sz="4" w:space="0"/>
            </w:tcBorders>
            <w:noWrap w:val="0"/>
            <w:vAlign w:val="center"/>
          </w:tcPr>
          <w:p w14:paraId="176D8EF6">
            <w:pPr>
              <w:widowControl/>
              <w:jc w:val="center"/>
              <w:textAlignment w:val="center"/>
              <w:rPr>
                <w:color w:val="auto"/>
                <w:szCs w:val="21"/>
                <w:highlight w:val="none"/>
              </w:rPr>
            </w:pPr>
            <w:r>
              <w:rPr>
                <w:color w:val="auto"/>
                <w:kern w:val="0"/>
                <w:szCs w:val="21"/>
                <w:highlight w:val="none"/>
                <w:lang w:bidi="ar"/>
              </w:rPr>
              <w:t>违规项目管理</w:t>
            </w:r>
          </w:p>
        </w:tc>
        <w:tc>
          <w:tcPr>
            <w:tcW w:w="6920" w:type="dxa"/>
            <w:vMerge w:val="restart"/>
            <w:tcBorders>
              <w:top w:val="single" w:color="auto" w:sz="4" w:space="0"/>
              <w:left w:val="single" w:color="auto" w:sz="4" w:space="0"/>
              <w:bottom w:val="single" w:color="auto" w:sz="4" w:space="0"/>
              <w:right w:val="single" w:color="auto" w:sz="4" w:space="0"/>
            </w:tcBorders>
            <w:noWrap w:val="0"/>
            <w:vAlign w:val="center"/>
          </w:tcPr>
          <w:p w14:paraId="283DD041">
            <w:pPr>
              <w:widowControl/>
              <w:jc w:val="left"/>
              <w:textAlignment w:val="center"/>
              <w:rPr>
                <w:color w:val="auto"/>
                <w:szCs w:val="21"/>
                <w:highlight w:val="none"/>
              </w:rPr>
            </w:pPr>
            <w:r>
              <w:rPr>
                <w:color w:val="auto"/>
                <w:kern w:val="0"/>
                <w:szCs w:val="21"/>
                <w:highlight w:val="none"/>
                <w:lang w:bidi="ar"/>
              </w:rPr>
              <w:t>1.对巡查人员提交的违规项目进行跟踪管理，违规项目是在保护区范围内没有按正常手续到地铁公司报审的外部施工项目。</w:t>
            </w:r>
            <w:r>
              <w:rPr>
                <w:color w:val="auto"/>
                <w:kern w:val="0"/>
                <w:szCs w:val="21"/>
                <w:highlight w:val="none"/>
                <w:lang w:bidi="ar"/>
              </w:rPr>
              <w:br w:type="textWrapping"/>
            </w:r>
            <w:r>
              <w:rPr>
                <w:color w:val="auto"/>
                <w:kern w:val="0"/>
                <w:szCs w:val="21"/>
                <w:highlight w:val="none"/>
                <w:lang w:bidi="ar"/>
              </w:rPr>
              <w:t>2.当巡查人员上报的违规项目通过</w:t>
            </w:r>
            <w:r>
              <w:rPr>
                <w:rStyle w:val="30"/>
                <w:rFonts w:hint="default" w:ascii="Times New Roman" w:hAnsi="Times New Roman" w:cs="Times New Roman"/>
                <w:color w:val="auto"/>
                <w:sz w:val="21"/>
                <w:szCs w:val="21"/>
                <w:highlight w:val="none"/>
                <w:lang w:bidi="ar"/>
              </w:rPr>
              <w:t>管理人员确认</w:t>
            </w:r>
            <w:r>
              <w:rPr>
                <w:rStyle w:val="31"/>
                <w:rFonts w:hint="default" w:ascii="Times New Roman" w:hAnsi="Times New Roman" w:cs="Times New Roman"/>
                <w:color w:val="auto"/>
                <w:sz w:val="21"/>
                <w:szCs w:val="21"/>
                <w:highlight w:val="none"/>
                <w:lang w:bidi="ar"/>
              </w:rPr>
              <w:t>后，系统将自动创建一个违规项目，可对违规项目进行巡查报告、协调记录的上传。</w:t>
            </w:r>
            <w:r>
              <w:rPr>
                <w:rStyle w:val="31"/>
                <w:rFonts w:hint="default" w:ascii="Times New Roman" w:hAnsi="Times New Roman" w:cs="Times New Roman"/>
                <w:color w:val="auto"/>
                <w:sz w:val="21"/>
                <w:szCs w:val="21"/>
                <w:highlight w:val="none"/>
                <w:lang w:bidi="ar"/>
              </w:rPr>
              <w:br w:type="textWrapping"/>
            </w:r>
            <w:r>
              <w:rPr>
                <w:rStyle w:val="31"/>
                <w:rFonts w:hint="default" w:ascii="Times New Roman" w:hAnsi="Times New Roman" w:cs="Times New Roman"/>
                <w:color w:val="auto"/>
                <w:sz w:val="21"/>
                <w:szCs w:val="21"/>
                <w:highlight w:val="none"/>
                <w:lang w:bidi="ar"/>
              </w:rPr>
              <w:t>3.系统提供违规项目结束功能，当一个违规项目</w:t>
            </w:r>
            <w:r>
              <w:rPr>
                <w:rStyle w:val="30"/>
                <w:rFonts w:hint="default" w:ascii="Times New Roman" w:hAnsi="Times New Roman" w:cs="Times New Roman"/>
                <w:color w:val="auto"/>
                <w:sz w:val="21"/>
                <w:szCs w:val="21"/>
                <w:highlight w:val="none"/>
                <w:lang w:bidi="ar"/>
              </w:rPr>
              <w:t>通过审批</w:t>
            </w:r>
            <w:r>
              <w:rPr>
                <w:rStyle w:val="31"/>
                <w:rFonts w:hint="default" w:ascii="Times New Roman" w:hAnsi="Times New Roman" w:cs="Times New Roman"/>
                <w:color w:val="auto"/>
                <w:sz w:val="21"/>
                <w:szCs w:val="21"/>
                <w:highlight w:val="none"/>
                <w:lang w:bidi="ar"/>
              </w:rPr>
              <w:t>后，</w:t>
            </w:r>
            <w:r>
              <w:rPr>
                <w:rStyle w:val="30"/>
                <w:rFonts w:hint="default" w:ascii="Times New Roman" w:hAnsi="Times New Roman" w:cs="Times New Roman"/>
                <w:color w:val="auto"/>
                <w:sz w:val="21"/>
                <w:szCs w:val="21"/>
                <w:highlight w:val="none"/>
                <w:lang w:bidi="ar"/>
              </w:rPr>
              <w:t>转为监护项目进行</w:t>
            </w:r>
            <w:r>
              <w:rPr>
                <w:rStyle w:val="31"/>
                <w:rFonts w:hint="default" w:ascii="Times New Roman" w:hAnsi="Times New Roman" w:cs="Times New Roman"/>
                <w:color w:val="auto"/>
                <w:sz w:val="21"/>
                <w:szCs w:val="21"/>
                <w:highlight w:val="none"/>
                <w:lang w:bidi="ar"/>
              </w:rPr>
              <w:t>跟进</w:t>
            </w:r>
            <w:r>
              <w:rPr>
                <w:rStyle w:val="30"/>
                <w:rFonts w:hint="default" w:ascii="Times New Roman" w:hAnsi="Times New Roman" w:cs="Times New Roman"/>
                <w:color w:val="auto"/>
                <w:sz w:val="21"/>
                <w:szCs w:val="21"/>
                <w:highlight w:val="none"/>
                <w:lang w:bidi="ar"/>
              </w:rPr>
              <w:t>。</w:t>
            </w:r>
            <w:r>
              <w:rPr>
                <w:rStyle w:val="30"/>
                <w:rFonts w:hint="default" w:ascii="Times New Roman" w:hAnsi="Times New Roman" w:cs="Times New Roman"/>
                <w:color w:val="auto"/>
                <w:sz w:val="21"/>
                <w:szCs w:val="21"/>
                <w:highlight w:val="none"/>
                <w:lang w:bidi="ar"/>
              </w:rPr>
              <w:br w:type="textWrapping"/>
            </w:r>
            <w:r>
              <w:rPr>
                <w:rStyle w:val="30"/>
                <w:rFonts w:hint="default" w:ascii="Times New Roman" w:hAnsi="Times New Roman" w:cs="Times New Roman"/>
                <w:color w:val="auto"/>
                <w:sz w:val="21"/>
                <w:szCs w:val="21"/>
                <w:highlight w:val="none"/>
                <w:lang w:bidi="ar"/>
              </w:rPr>
              <w:t>4.可自动统计违规施工的建设单位在期限内出现频次，以短信息方式提醒相关负责人对其单位进行约谈。</w:t>
            </w:r>
          </w:p>
        </w:tc>
      </w:tr>
      <w:tr w14:paraId="3FC08027">
        <w:tblPrEx>
          <w:tblCellMar>
            <w:top w:w="0" w:type="dxa"/>
            <w:left w:w="108" w:type="dxa"/>
            <w:bottom w:w="0" w:type="dxa"/>
            <w:right w:w="108" w:type="dxa"/>
          </w:tblCellMar>
        </w:tblPrEx>
        <w:trPr>
          <w:trHeight w:val="270" w:hRule="atLeast"/>
        </w:trPr>
        <w:tc>
          <w:tcPr>
            <w:tcW w:w="782" w:type="dxa"/>
            <w:vMerge w:val="continue"/>
            <w:tcBorders>
              <w:top w:val="single" w:color="auto" w:sz="4" w:space="0"/>
              <w:left w:val="single" w:color="auto" w:sz="4" w:space="0"/>
              <w:bottom w:val="single" w:color="auto" w:sz="4" w:space="0"/>
              <w:right w:val="single" w:color="auto" w:sz="4" w:space="0"/>
            </w:tcBorders>
            <w:noWrap w:val="0"/>
            <w:vAlign w:val="center"/>
          </w:tcPr>
          <w:p w14:paraId="7298479B">
            <w:pPr>
              <w:jc w:val="center"/>
              <w:rPr>
                <w:color w:val="auto"/>
                <w:szCs w:val="21"/>
                <w:highlight w:val="none"/>
              </w:rPr>
            </w:pPr>
          </w:p>
        </w:tc>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14:paraId="0E1BCE4B">
            <w:pPr>
              <w:jc w:val="center"/>
              <w:rPr>
                <w:color w:val="auto"/>
                <w:szCs w:val="21"/>
                <w:highlight w:val="none"/>
              </w:rPr>
            </w:pPr>
          </w:p>
        </w:tc>
        <w:tc>
          <w:tcPr>
            <w:tcW w:w="6920" w:type="dxa"/>
            <w:vMerge w:val="continue"/>
            <w:tcBorders>
              <w:top w:val="single" w:color="auto" w:sz="4" w:space="0"/>
              <w:left w:val="single" w:color="auto" w:sz="4" w:space="0"/>
              <w:bottom w:val="single" w:color="auto" w:sz="4" w:space="0"/>
              <w:right w:val="single" w:color="auto" w:sz="4" w:space="0"/>
            </w:tcBorders>
            <w:noWrap w:val="0"/>
            <w:vAlign w:val="center"/>
          </w:tcPr>
          <w:p w14:paraId="2A2166E6">
            <w:pPr>
              <w:jc w:val="left"/>
              <w:rPr>
                <w:color w:val="auto"/>
                <w:szCs w:val="21"/>
                <w:highlight w:val="none"/>
              </w:rPr>
            </w:pPr>
          </w:p>
        </w:tc>
      </w:tr>
      <w:tr w14:paraId="520BD1D4">
        <w:tblPrEx>
          <w:tblCellMar>
            <w:top w:w="0" w:type="dxa"/>
            <w:left w:w="108" w:type="dxa"/>
            <w:bottom w:w="0" w:type="dxa"/>
            <w:right w:w="108" w:type="dxa"/>
          </w:tblCellMar>
        </w:tblPrEx>
        <w:trPr>
          <w:trHeight w:val="270" w:hRule="atLeast"/>
        </w:trPr>
        <w:tc>
          <w:tcPr>
            <w:tcW w:w="782" w:type="dxa"/>
            <w:vMerge w:val="continue"/>
            <w:tcBorders>
              <w:top w:val="single" w:color="auto" w:sz="4" w:space="0"/>
              <w:left w:val="single" w:color="auto" w:sz="4" w:space="0"/>
              <w:bottom w:val="single" w:color="auto" w:sz="4" w:space="0"/>
              <w:right w:val="single" w:color="auto" w:sz="4" w:space="0"/>
            </w:tcBorders>
            <w:noWrap w:val="0"/>
            <w:vAlign w:val="center"/>
          </w:tcPr>
          <w:p w14:paraId="16D7C156">
            <w:pPr>
              <w:jc w:val="center"/>
              <w:rPr>
                <w:color w:val="auto"/>
                <w:szCs w:val="21"/>
                <w:highlight w:val="none"/>
              </w:rPr>
            </w:pPr>
          </w:p>
        </w:tc>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14:paraId="517F90C7">
            <w:pPr>
              <w:jc w:val="center"/>
              <w:rPr>
                <w:color w:val="auto"/>
                <w:szCs w:val="21"/>
                <w:highlight w:val="none"/>
              </w:rPr>
            </w:pPr>
          </w:p>
        </w:tc>
        <w:tc>
          <w:tcPr>
            <w:tcW w:w="6920" w:type="dxa"/>
            <w:vMerge w:val="continue"/>
            <w:tcBorders>
              <w:top w:val="single" w:color="auto" w:sz="4" w:space="0"/>
              <w:left w:val="single" w:color="auto" w:sz="4" w:space="0"/>
              <w:bottom w:val="single" w:color="auto" w:sz="4" w:space="0"/>
              <w:right w:val="single" w:color="auto" w:sz="4" w:space="0"/>
            </w:tcBorders>
            <w:noWrap w:val="0"/>
            <w:vAlign w:val="center"/>
          </w:tcPr>
          <w:p w14:paraId="466CD718">
            <w:pPr>
              <w:jc w:val="left"/>
              <w:rPr>
                <w:color w:val="auto"/>
                <w:szCs w:val="21"/>
                <w:highlight w:val="none"/>
              </w:rPr>
            </w:pPr>
          </w:p>
        </w:tc>
      </w:tr>
      <w:tr w14:paraId="5022B711">
        <w:tblPrEx>
          <w:tblCellMar>
            <w:top w:w="0" w:type="dxa"/>
            <w:left w:w="108" w:type="dxa"/>
            <w:bottom w:w="0" w:type="dxa"/>
            <w:right w:w="108" w:type="dxa"/>
          </w:tblCellMar>
        </w:tblPrEx>
        <w:trPr>
          <w:trHeight w:val="270" w:hRule="atLeast"/>
        </w:trPr>
        <w:tc>
          <w:tcPr>
            <w:tcW w:w="782" w:type="dxa"/>
            <w:vMerge w:val="continue"/>
            <w:tcBorders>
              <w:top w:val="single" w:color="auto" w:sz="4" w:space="0"/>
              <w:left w:val="single" w:color="auto" w:sz="4" w:space="0"/>
              <w:bottom w:val="single" w:color="auto" w:sz="4" w:space="0"/>
              <w:right w:val="single" w:color="auto" w:sz="4" w:space="0"/>
            </w:tcBorders>
            <w:noWrap w:val="0"/>
            <w:vAlign w:val="center"/>
          </w:tcPr>
          <w:p w14:paraId="5E48F46F">
            <w:pPr>
              <w:jc w:val="center"/>
              <w:rPr>
                <w:color w:val="auto"/>
                <w:szCs w:val="21"/>
                <w:highlight w:val="none"/>
              </w:rPr>
            </w:pPr>
          </w:p>
        </w:tc>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14:paraId="00D1D862">
            <w:pPr>
              <w:jc w:val="center"/>
              <w:rPr>
                <w:color w:val="auto"/>
                <w:szCs w:val="21"/>
                <w:highlight w:val="none"/>
              </w:rPr>
            </w:pPr>
          </w:p>
        </w:tc>
        <w:tc>
          <w:tcPr>
            <w:tcW w:w="6920" w:type="dxa"/>
            <w:vMerge w:val="continue"/>
            <w:tcBorders>
              <w:top w:val="single" w:color="auto" w:sz="4" w:space="0"/>
              <w:left w:val="single" w:color="auto" w:sz="4" w:space="0"/>
              <w:bottom w:val="single" w:color="auto" w:sz="4" w:space="0"/>
              <w:right w:val="single" w:color="auto" w:sz="4" w:space="0"/>
            </w:tcBorders>
            <w:noWrap w:val="0"/>
            <w:vAlign w:val="center"/>
          </w:tcPr>
          <w:p w14:paraId="0428459B">
            <w:pPr>
              <w:jc w:val="left"/>
              <w:rPr>
                <w:color w:val="auto"/>
                <w:szCs w:val="21"/>
                <w:highlight w:val="none"/>
              </w:rPr>
            </w:pPr>
          </w:p>
        </w:tc>
      </w:tr>
      <w:tr w14:paraId="273C7D2C">
        <w:tblPrEx>
          <w:tblCellMar>
            <w:top w:w="0" w:type="dxa"/>
            <w:left w:w="108" w:type="dxa"/>
            <w:bottom w:w="0" w:type="dxa"/>
            <w:right w:w="108" w:type="dxa"/>
          </w:tblCellMar>
        </w:tblPrEx>
        <w:trPr>
          <w:trHeight w:val="1350" w:hRule="atLeast"/>
        </w:trPr>
        <w:tc>
          <w:tcPr>
            <w:tcW w:w="782" w:type="dxa"/>
            <w:vMerge w:val="continue"/>
            <w:tcBorders>
              <w:top w:val="single" w:color="auto" w:sz="4" w:space="0"/>
              <w:left w:val="single" w:color="auto" w:sz="4" w:space="0"/>
              <w:bottom w:val="single" w:color="auto" w:sz="4" w:space="0"/>
              <w:right w:val="single" w:color="auto" w:sz="4" w:space="0"/>
            </w:tcBorders>
            <w:noWrap w:val="0"/>
            <w:vAlign w:val="center"/>
          </w:tcPr>
          <w:p w14:paraId="08F5EEC0">
            <w:pPr>
              <w:jc w:val="center"/>
              <w:rPr>
                <w:color w:val="auto"/>
                <w:szCs w:val="21"/>
                <w:highlight w:val="none"/>
              </w:rPr>
            </w:pPr>
          </w:p>
        </w:tc>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14:paraId="5E7D4E15">
            <w:pPr>
              <w:jc w:val="center"/>
              <w:rPr>
                <w:color w:val="auto"/>
                <w:szCs w:val="21"/>
                <w:highlight w:val="none"/>
              </w:rPr>
            </w:pPr>
          </w:p>
        </w:tc>
        <w:tc>
          <w:tcPr>
            <w:tcW w:w="6920" w:type="dxa"/>
            <w:vMerge w:val="continue"/>
            <w:tcBorders>
              <w:top w:val="single" w:color="auto" w:sz="4" w:space="0"/>
              <w:left w:val="single" w:color="auto" w:sz="4" w:space="0"/>
              <w:bottom w:val="single" w:color="auto" w:sz="4" w:space="0"/>
              <w:right w:val="single" w:color="auto" w:sz="4" w:space="0"/>
            </w:tcBorders>
            <w:noWrap w:val="0"/>
            <w:vAlign w:val="center"/>
          </w:tcPr>
          <w:p w14:paraId="66D79213">
            <w:pPr>
              <w:jc w:val="left"/>
              <w:rPr>
                <w:color w:val="auto"/>
                <w:szCs w:val="21"/>
                <w:highlight w:val="none"/>
              </w:rPr>
            </w:pPr>
          </w:p>
        </w:tc>
      </w:tr>
      <w:tr w14:paraId="005A9231">
        <w:trPr>
          <w:trHeight w:val="1606"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64789E68">
            <w:pPr>
              <w:widowControl/>
              <w:jc w:val="center"/>
              <w:textAlignment w:val="center"/>
              <w:rPr>
                <w:color w:val="auto"/>
                <w:szCs w:val="21"/>
                <w:highlight w:val="none"/>
              </w:rPr>
            </w:pPr>
            <w:r>
              <w:rPr>
                <w:color w:val="auto"/>
                <w:kern w:val="0"/>
                <w:szCs w:val="21"/>
                <w:highlight w:val="none"/>
                <w:lang w:bidi="ar"/>
              </w:rPr>
              <w:t>5</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1AD1FDC">
            <w:pPr>
              <w:widowControl/>
              <w:jc w:val="center"/>
              <w:textAlignment w:val="center"/>
              <w:rPr>
                <w:color w:val="auto"/>
                <w:szCs w:val="21"/>
                <w:highlight w:val="none"/>
              </w:rPr>
            </w:pPr>
            <w:r>
              <w:rPr>
                <w:color w:val="auto"/>
                <w:kern w:val="0"/>
                <w:szCs w:val="21"/>
                <w:highlight w:val="none"/>
                <w:lang w:bidi="ar"/>
              </w:rPr>
              <w:t>巡查统计管理</w:t>
            </w:r>
          </w:p>
        </w:tc>
        <w:tc>
          <w:tcPr>
            <w:tcW w:w="6920" w:type="dxa"/>
            <w:tcBorders>
              <w:top w:val="single" w:color="auto" w:sz="4" w:space="0"/>
              <w:left w:val="single" w:color="auto" w:sz="4" w:space="0"/>
              <w:bottom w:val="single" w:color="auto" w:sz="4" w:space="0"/>
              <w:right w:val="single" w:color="auto" w:sz="4" w:space="0"/>
            </w:tcBorders>
            <w:noWrap w:val="0"/>
            <w:vAlign w:val="center"/>
          </w:tcPr>
          <w:p w14:paraId="294E59EF">
            <w:pPr>
              <w:widowControl/>
              <w:jc w:val="left"/>
              <w:textAlignment w:val="center"/>
              <w:rPr>
                <w:color w:val="auto"/>
                <w:szCs w:val="21"/>
                <w:highlight w:val="none"/>
              </w:rPr>
            </w:pPr>
            <w:r>
              <w:rPr>
                <w:color w:val="auto"/>
                <w:kern w:val="0"/>
                <w:szCs w:val="21"/>
                <w:highlight w:val="none"/>
                <w:lang w:bidi="ar"/>
              </w:rPr>
              <w:t>1.可按路线或者月份对巡查工作情况进行统计分析，包括巡查次数、巡查出勤率、新建异常数、巡查公里数等；</w:t>
            </w:r>
            <w:r>
              <w:rPr>
                <w:color w:val="auto"/>
                <w:kern w:val="0"/>
                <w:szCs w:val="21"/>
                <w:highlight w:val="none"/>
                <w:lang w:bidi="ar"/>
              </w:rPr>
              <w:br w:type="textWrapping"/>
            </w:r>
            <w:r>
              <w:rPr>
                <w:color w:val="auto"/>
                <w:kern w:val="0"/>
                <w:szCs w:val="21"/>
                <w:highlight w:val="none"/>
                <w:lang w:bidi="ar"/>
              </w:rPr>
              <w:t>2.实现对巡查记录信息、巡查报告、现场图片的检索查阅；</w:t>
            </w:r>
            <w:r>
              <w:rPr>
                <w:color w:val="auto"/>
                <w:kern w:val="0"/>
                <w:szCs w:val="21"/>
                <w:highlight w:val="none"/>
                <w:lang w:bidi="ar"/>
              </w:rPr>
              <w:br w:type="textWrapping"/>
            </w:r>
            <w:r>
              <w:rPr>
                <w:color w:val="auto"/>
                <w:kern w:val="0"/>
                <w:szCs w:val="21"/>
                <w:highlight w:val="none"/>
                <w:lang w:bidi="ar"/>
              </w:rPr>
              <w:t>3.支持自定义统计巡查情况，巡查管理员可根据需要，将数据按日、周、月、年进行比对，并可将统计的数据及图标以.XLS格式文件的形式导出。</w:t>
            </w:r>
          </w:p>
        </w:tc>
      </w:tr>
    </w:tbl>
    <w:p w14:paraId="3AEDC584">
      <w:pPr>
        <w:tabs>
          <w:tab w:val="left" w:pos="851"/>
        </w:tabs>
        <w:spacing w:line="360" w:lineRule="auto"/>
        <w:ind w:firstLine="560" w:firstLineChars="200"/>
        <w:jc w:val="left"/>
        <w:rPr>
          <w:color w:val="auto"/>
          <w:kern w:val="0"/>
          <w:sz w:val="28"/>
          <w:szCs w:val="28"/>
          <w:highlight w:val="none"/>
        </w:rPr>
      </w:pPr>
      <w:r>
        <w:rPr>
          <w:color w:val="auto"/>
          <w:kern w:val="0"/>
          <w:sz w:val="28"/>
          <w:szCs w:val="28"/>
          <w:highlight w:val="none"/>
        </w:rPr>
        <w:t>4.2.2.4自动无人机巡查管理系统</w:t>
      </w:r>
    </w:p>
    <w:p w14:paraId="2967341E">
      <w:pPr>
        <w:tabs>
          <w:tab w:val="left" w:pos="851"/>
        </w:tabs>
        <w:spacing w:line="360" w:lineRule="auto"/>
        <w:ind w:firstLine="560" w:firstLineChars="200"/>
        <w:jc w:val="left"/>
        <w:rPr>
          <w:b/>
          <w:bCs/>
          <w:color w:val="auto"/>
          <w:sz w:val="28"/>
          <w:szCs w:val="28"/>
          <w:highlight w:val="none"/>
        </w:rPr>
      </w:pPr>
      <w:r>
        <w:rPr>
          <w:color w:val="auto"/>
          <w:kern w:val="0"/>
          <w:sz w:val="28"/>
          <w:szCs w:val="28"/>
          <w:highlight w:val="none"/>
        </w:rPr>
        <w:t>具备自动无人机设备状态管理、巡查任务管理、巡查监控管理和视频回传处理等功能。要求对采集图像的识别准确率达到85%以上，同时将视频材料进行处理、分析、告警，将告警信息及时推送至PC端及巡查人员的手机APP端，使巡查人员能够快速判断及核实；系统视频储存不低于</w:t>
      </w:r>
      <w:r>
        <w:rPr>
          <w:rFonts w:hint="eastAsia"/>
          <w:color w:val="auto"/>
          <w:kern w:val="0"/>
          <w:sz w:val="28"/>
          <w:szCs w:val="28"/>
          <w:highlight w:val="none"/>
          <w:lang w:val="en-US" w:eastAsia="zh-CN"/>
        </w:rPr>
        <w:t>1</w:t>
      </w:r>
      <w:r>
        <w:rPr>
          <w:color w:val="auto"/>
          <w:kern w:val="0"/>
          <w:sz w:val="28"/>
          <w:szCs w:val="28"/>
          <w:highlight w:val="none"/>
        </w:rPr>
        <w:t>个月。</w:t>
      </w:r>
      <w:r>
        <w:rPr>
          <w:color w:val="auto"/>
          <w:sz w:val="28"/>
          <w:szCs w:val="28"/>
          <w:highlight w:val="none"/>
        </w:rPr>
        <w:t>功能说明及需求要点：</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810"/>
        <w:gridCol w:w="6840"/>
      </w:tblGrid>
      <w:tr w14:paraId="6545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top"/>
          </w:tcPr>
          <w:p w14:paraId="475248AD">
            <w:pPr>
              <w:tabs>
                <w:tab w:val="left" w:pos="851"/>
              </w:tabs>
              <w:spacing w:line="360" w:lineRule="auto"/>
              <w:jc w:val="center"/>
              <w:rPr>
                <w:b/>
                <w:bCs/>
                <w:color w:val="auto"/>
                <w:szCs w:val="21"/>
                <w:highlight w:val="none"/>
              </w:rPr>
            </w:pPr>
            <w:r>
              <w:rPr>
                <w:b/>
                <w:bCs/>
                <w:color w:val="auto"/>
                <w:szCs w:val="21"/>
                <w:highlight w:val="none"/>
              </w:rPr>
              <w:t>序号</w:t>
            </w:r>
          </w:p>
        </w:tc>
        <w:tc>
          <w:tcPr>
            <w:tcW w:w="1706" w:type="dxa"/>
            <w:noWrap w:val="0"/>
            <w:vAlign w:val="top"/>
          </w:tcPr>
          <w:p w14:paraId="74927EDC">
            <w:pPr>
              <w:tabs>
                <w:tab w:val="left" w:pos="851"/>
              </w:tabs>
              <w:spacing w:line="360" w:lineRule="auto"/>
              <w:jc w:val="center"/>
              <w:rPr>
                <w:b/>
                <w:bCs/>
                <w:color w:val="auto"/>
                <w:szCs w:val="21"/>
                <w:highlight w:val="none"/>
              </w:rPr>
            </w:pPr>
            <w:r>
              <w:rPr>
                <w:b/>
                <w:bCs/>
                <w:color w:val="auto"/>
                <w:szCs w:val="21"/>
                <w:highlight w:val="none"/>
              </w:rPr>
              <w:t>名称</w:t>
            </w:r>
          </w:p>
        </w:tc>
        <w:tc>
          <w:tcPr>
            <w:tcW w:w="6446" w:type="dxa"/>
            <w:noWrap w:val="0"/>
            <w:vAlign w:val="top"/>
          </w:tcPr>
          <w:p w14:paraId="66D66494">
            <w:pPr>
              <w:tabs>
                <w:tab w:val="left" w:pos="851"/>
              </w:tabs>
              <w:spacing w:line="360" w:lineRule="auto"/>
              <w:jc w:val="center"/>
              <w:rPr>
                <w:b/>
                <w:bCs/>
                <w:color w:val="auto"/>
                <w:szCs w:val="21"/>
                <w:highlight w:val="none"/>
              </w:rPr>
            </w:pPr>
            <w:r>
              <w:rPr>
                <w:b/>
                <w:bCs/>
                <w:color w:val="auto"/>
                <w:szCs w:val="21"/>
                <w:highlight w:val="none"/>
              </w:rPr>
              <w:t>功能说明</w:t>
            </w:r>
          </w:p>
        </w:tc>
      </w:tr>
      <w:tr w14:paraId="2060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top"/>
          </w:tcPr>
          <w:p w14:paraId="1F4855DB">
            <w:pPr>
              <w:tabs>
                <w:tab w:val="left" w:pos="851"/>
              </w:tabs>
              <w:spacing w:line="360" w:lineRule="auto"/>
              <w:jc w:val="center"/>
              <w:rPr>
                <w:color w:val="auto"/>
                <w:szCs w:val="21"/>
                <w:highlight w:val="none"/>
              </w:rPr>
            </w:pPr>
          </w:p>
          <w:p w14:paraId="6A73B1EC">
            <w:pPr>
              <w:tabs>
                <w:tab w:val="left" w:pos="851"/>
              </w:tabs>
              <w:spacing w:line="360" w:lineRule="auto"/>
              <w:jc w:val="center"/>
              <w:rPr>
                <w:color w:val="auto"/>
                <w:szCs w:val="21"/>
                <w:highlight w:val="none"/>
              </w:rPr>
            </w:pPr>
          </w:p>
          <w:p w14:paraId="21755D53">
            <w:pPr>
              <w:tabs>
                <w:tab w:val="left" w:pos="851"/>
              </w:tabs>
              <w:spacing w:line="360" w:lineRule="auto"/>
              <w:jc w:val="center"/>
              <w:rPr>
                <w:color w:val="auto"/>
                <w:szCs w:val="21"/>
                <w:highlight w:val="none"/>
              </w:rPr>
            </w:pPr>
            <w:r>
              <w:rPr>
                <w:color w:val="auto"/>
                <w:szCs w:val="21"/>
                <w:highlight w:val="none"/>
              </w:rPr>
              <w:t>1</w:t>
            </w:r>
          </w:p>
        </w:tc>
        <w:tc>
          <w:tcPr>
            <w:tcW w:w="1706" w:type="dxa"/>
            <w:noWrap w:val="0"/>
            <w:vAlign w:val="top"/>
          </w:tcPr>
          <w:p w14:paraId="667D574B">
            <w:pPr>
              <w:tabs>
                <w:tab w:val="left" w:pos="851"/>
              </w:tabs>
              <w:spacing w:line="360" w:lineRule="auto"/>
              <w:jc w:val="center"/>
              <w:rPr>
                <w:color w:val="auto"/>
                <w:szCs w:val="21"/>
                <w:highlight w:val="none"/>
              </w:rPr>
            </w:pPr>
          </w:p>
          <w:p w14:paraId="28755839">
            <w:pPr>
              <w:tabs>
                <w:tab w:val="left" w:pos="851"/>
              </w:tabs>
              <w:spacing w:line="360" w:lineRule="auto"/>
              <w:jc w:val="center"/>
              <w:rPr>
                <w:color w:val="auto"/>
                <w:szCs w:val="21"/>
                <w:highlight w:val="none"/>
              </w:rPr>
            </w:pPr>
          </w:p>
          <w:p w14:paraId="3F662ED7">
            <w:pPr>
              <w:tabs>
                <w:tab w:val="left" w:pos="851"/>
              </w:tabs>
              <w:spacing w:line="360" w:lineRule="auto"/>
              <w:jc w:val="center"/>
              <w:rPr>
                <w:color w:val="auto"/>
                <w:szCs w:val="21"/>
                <w:highlight w:val="none"/>
              </w:rPr>
            </w:pPr>
            <w:r>
              <w:rPr>
                <w:color w:val="auto"/>
                <w:szCs w:val="21"/>
                <w:highlight w:val="none"/>
              </w:rPr>
              <w:t>无人机巡查监控</w:t>
            </w:r>
          </w:p>
        </w:tc>
        <w:tc>
          <w:tcPr>
            <w:tcW w:w="6446" w:type="dxa"/>
            <w:noWrap w:val="0"/>
            <w:vAlign w:val="top"/>
          </w:tcPr>
          <w:p w14:paraId="3A2B3000">
            <w:pPr>
              <w:tabs>
                <w:tab w:val="left" w:pos="851"/>
              </w:tabs>
              <w:spacing w:line="360" w:lineRule="auto"/>
              <w:jc w:val="left"/>
              <w:rPr>
                <w:color w:val="auto"/>
                <w:szCs w:val="21"/>
                <w:highlight w:val="none"/>
              </w:rPr>
            </w:pPr>
            <w:r>
              <w:rPr>
                <w:color w:val="auto"/>
                <w:szCs w:val="21"/>
                <w:highlight w:val="none"/>
              </w:rPr>
              <w:t>1.实现网页端对于无人机拍摄画面的实时查看和历史回看功能；</w:t>
            </w:r>
          </w:p>
          <w:p w14:paraId="6B62AF1A">
            <w:pPr>
              <w:tabs>
                <w:tab w:val="left" w:pos="851"/>
              </w:tabs>
              <w:spacing w:line="360" w:lineRule="auto"/>
              <w:jc w:val="left"/>
              <w:rPr>
                <w:color w:val="auto"/>
                <w:szCs w:val="21"/>
                <w:highlight w:val="none"/>
              </w:rPr>
            </w:pPr>
            <w:r>
              <w:rPr>
                <w:color w:val="auto"/>
                <w:szCs w:val="21"/>
                <w:highlight w:val="none"/>
              </w:rPr>
              <w:t>2.实现无人机回传视频画面显示控制保护区红线范围、地铁结构轮廓等信息；</w:t>
            </w:r>
          </w:p>
          <w:p w14:paraId="2B8DF7B5">
            <w:pPr>
              <w:tabs>
                <w:tab w:val="left" w:pos="851"/>
              </w:tabs>
              <w:spacing w:line="360" w:lineRule="auto"/>
              <w:jc w:val="left"/>
              <w:rPr>
                <w:color w:val="auto"/>
                <w:szCs w:val="21"/>
                <w:highlight w:val="none"/>
              </w:rPr>
            </w:pPr>
            <w:r>
              <w:rPr>
                <w:color w:val="auto"/>
                <w:szCs w:val="21"/>
                <w:highlight w:val="none"/>
              </w:rPr>
              <w:t>3.记录无人机飞行任务的基本任务信息。</w:t>
            </w:r>
          </w:p>
          <w:p w14:paraId="22DA1EAC">
            <w:pPr>
              <w:tabs>
                <w:tab w:val="left" w:pos="851"/>
              </w:tabs>
              <w:spacing w:line="360" w:lineRule="auto"/>
              <w:jc w:val="left"/>
              <w:rPr>
                <w:color w:val="auto"/>
                <w:szCs w:val="21"/>
                <w:highlight w:val="none"/>
              </w:rPr>
            </w:pPr>
            <w:r>
              <w:rPr>
                <w:color w:val="auto"/>
                <w:szCs w:val="21"/>
                <w:highlight w:val="none"/>
              </w:rPr>
              <w:t>4.实现对与拍摄视频的筛选查看，通过线路、区间等位置信息对拍摄的影像资料进行筛选查看。</w:t>
            </w:r>
          </w:p>
        </w:tc>
      </w:tr>
      <w:tr w14:paraId="4A13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top"/>
          </w:tcPr>
          <w:p w14:paraId="2E28FB8E">
            <w:pPr>
              <w:tabs>
                <w:tab w:val="left" w:pos="851"/>
              </w:tabs>
              <w:spacing w:line="360" w:lineRule="auto"/>
              <w:jc w:val="center"/>
              <w:rPr>
                <w:color w:val="auto"/>
                <w:szCs w:val="21"/>
                <w:highlight w:val="none"/>
              </w:rPr>
            </w:pPr>
          </w:p>
          <w:p w14:paraId="74DA49A2">
            <w:pPr>
              <w:tabs>
                <w:tab w:val="left" w:pos="851"/>
              </w:tabs>
              <w:spacing w:line="360" w:lineRule="auto"/>
              <w:jc w:val="center"/>
              <w:rPr>
                <w:color w:val="auto"/>
                <w:szCs w:val="21"/>
                <w:highlight w:val="none"/>
              </w:rPr>
            </w:pPr>
          </w:p>
          <w:p w14:paraId="624B2FD2">
            <w:pPr>
              <w:tabs>
                <w:tab w:val="left" w:pos="851"/>
              </w:tabs>
              <w:spacing w:line="360" w:lineRule="auto"/>
              <w:jc w:val="center"/>
              <w:rPr>
                <w:color w:val="auto"/>
                <w:szCs w:val="21"/>
                <w:highlight w:val="none"/>
              </w:rPr>
            </w:pPr>
          </w:p>
          <w:p w14:paraId="72D64A67">
            <w:pPr>
              <w:tabs>
                <w:tab w:val="left" w:pos="851"/>
              </w:tabs>
              <w:spacing w:line="360" w:lineRule="auto"/>
              <w:jc w:val="center"/>
              <w:rPr>
                <w:color w:val="auto"/>
                <w:szCs w:val="21"/>
                <w:highlight w:val="none"/>
              </w:rPr>
            </w:pPr>
            <w:r>
              <w:rPr>
                <w:color w:val="auto"/>
                <w:szCs w:val="21"/>
                <w:highlight w:val="none"/>
              </w:rPr>
              <w:t>2</w:t>
            </w:r>
          </w:p>
        </w:tc>
        <w:tc>
          <w:tcPr>
            <w:tcW w:w="1706" w:type="dxa"/>
            <w:noWrap w:val="0"/>
            <w:vAlign w:val="top"/>
          </w:tcPr>
          <w:p w14:paraId="18E37379">
            <w:pPr>
              <w:tabs>
                <w:tab w:val="left" w:pos="851"/>
              </w:tabs>
              <w:spacing w:line="360" w:lineRule="auto"/>
              <w:jc w:val="center"/>
              <w:rPr>
                <w:color w:val="auto"/>
                <w:szCs w:val="21"/>
                <w:highlight w:val="none"/>
              </w:rPr>
            </w:pPr>
          </w:p>
          <w:p w14:paraId="7FD4BB26">
            <w:pPr>
              <w:tabs>
                <w:tab w:val="left" w:pos="851"/>
              </w:tabs>
              <w:spacing w:line="360" w:lineRule="auto"/>
              <w:jc w:val="center"/>
              <w:rPr>
                <w:color w:val="auto"/>
                <w:szCs w:val="21"/>
                <w:highlight w:val="none"/>
              </w:rPr>
            </w:pPr>
          </w:p>
          <w:p w14:paraId="61A47F5B">
            <w:pPr>
              <w:tabs>
                <w:tab w:val="left" w:pos="851"/>
              </w:tabs>
              <w:spacing w:line="360" w:lineRule="auto"/>
              <w:jc w:val="center"/>
              <w:rPr>
                <w:color w:val="auto"/>
                <w:szCs w:val="21"/>
                <w:highlight w:val="none"/>
              </w:rPr>
            </w:pPr>
          </w:p>
          <w:p w14:paraId="48FCFA68">
            <w:pPr>
              <w:tabs>
                <w:tab w:val="left" w:pos="851"/>
              </w:tabs>
              <w:spacing w:line="360" w:lineRule="auto"/>
              <w:jc w:val="center"/>
              <w:rPr>
                <w:color w:val="auto"/>
                <w:szCs w:val="21"/>
                <w:highlight w:val="none"/>
              </w:rPr>
            </w:pPr>
            <w:r>
              <w:rPr>
                <w:color w:val="auto"/>
                <w:szCs w:val="21"/>
                <w:highlight w:val="none"/>
              </w:rPr>
              <w:t>巡查任务管理</w:t>
            </w:r>
          </w:p>
        </w:tc>
        <w:tc>
          <w:tcPr>
            <w:tcW w:w="6446" w:type="dxa"/>
            <w:noWrap w:val="0"/>
            <w:vAlign w:val="top"/>
          </w:tcPr>
          <w:p w14:paraId="0FA35BEB">
            <w:pPr>
              <w:tabs>
                <w:tab w:val="left" w:pos="851"/>
              </w:tabs>
              <w:spacing w:line="360" w:lineRule="auto"/>
              <w:jc w:val="left"/>
              <w:rPr>
                <w:color w:val="auto"/>
                <w:szCs w:val="21"/>
                <w:highlight w:val="none"/>
              </w:rPr>
            </w:pPr>
            <w:r>
              <w:rPr>
                <w:color w:val="auto"/>
                <w:szCs w:val="21"/>
                <w:highlight w:val="none"/>
              </w:rPr>
              <w:t>1.记录无人机飞行任务轨迹、实时位置、各类飞控参数、异常情况、任务基本信息及其所拍摄的资料。</w:t>
            </w:r>
          </w:p>
          <w:p w14:paraId="6B2F433C">
            <w:pPr>
              <w:tabs>
                <w:tab w:val="left" w:pos="851"/>
              </w:tabs>
              <w:spacing w:line="360" w:lineRule="auto"/>
              <w:jc w:val="left"/>
              <w:rPr>
                <w:color w:val="auto"/>
                <w:szCs w:val="21"/>
                <w:highlight w:val="none"/>
              </w:rPr>
            </w:pPr>
            <w:r>
              <w:rPr>
                <w:color w:val="auto"/>
                <w:szCs w:val="21"/>
                <w:highlight w:val="none"/>
              </w:rPr>
              <w:t>2.实现对于无人机保护区巡检任务的下发、报批及审批等功能。</w:t>
            </w:r>
          </w:p>
          <w:p w14:paraId="45F85513">
            <w:pPr>
              <w:tabs>
                <w:tab w:val="left" w:pos="851"/>
              </w:tabs>
              <w:spacing w:line="360" w:lineRule="auto"/>
              <w:jc w:val="left"/>
              <w:rPr>
                <w:color w:val="auto"/>
                <w:szCs w:val="21"/>
                <w:highlight w:val="none"/>
              </w:rPr>
            </w:pPr>
            <w:r>
              <w:rPr>
                <w:color w:val="auto"/>
                <w:szCs w:val="21"/>
                <w:highlight w:val="none"/>
              </w:rPr>
              <w:t>3.结合保护区巡查盲点范围，制定巡查飞行计划，确保巡查区域全覆盖。</w:t>
            </w:r>
          </w:p>
          <w:p w14:paraId="167EEB8E">
            <w:pPr>
              <w:tabs>
                <w:tab w:val="left" w:pos="851"/>
              </w:tabs>
              <w:spacing w:line="360" w:lineRule="auto"/>
              <w:jc w:val="left"/>
              <w:rPr>
                <w:color w:val="auto"/>
                <w:szCs w:val="21"/>
                <w:highlight w:val="none"/>
              </w:rPr>
            </w:pPr>
            <w:r>
              <w:rPr>
                <w:color w:val="auto"/>
                <w:szCs w:val="21"/>
                <w:highlight w:val="none"/>
              </w:rPr>
              <w:t>4.结合实际巡查范围，实现无人机常规巡查任务的自动派发和临时调度。</w:t>
            </w:r>
          </w:p>
        </w:tc>
      </w:tr>
      <w:tr w14:paraId="0C45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top"/>
          </w:tcPr>
          <w:p w14:paraId="4C5C34CB">
            <w:pPr>
              <w:tabs>
                <w:tab w:val="left" w:pos="851"/>
              </w:tabs>
              <w:spacing w:line="360" w:lineRule="auto"/>
              <w:jc w:val="center"/>
              <w:rPr>
                <w:color w:val="auto"/>
                <w:szCs w:val="21"/>
                <w:highlight w:val="none"/>
              </w:rPr>
            </w:pPr>
            <w:r>
              <w:rPr>
                <w:color w:val="auto"/>
                <w:szCs w:val="21"/>
                <w:highlight w:val="none"/>
              </w:rPr>
              <w:t>3</w:t>
            </w:r>
          </w:p>
        </w:tc>
        <w:tc>
          <w:tcPr>
            <w:tcW w:w="1706" w:type="dxa"/>
            <w:noWrap w:val="0"/>
            <w:vAlign w:val="top"/>
          </w:tcPr>
          <w:p w14:paraId="64D4E20B">
            <w:pPr>
              <w:tabs>
                <w:tab w:val="left" w:pos="851"/>
              </w:tabs>
              <w:spacing w:line="360" w:lineRule="auto"/>
              <w:jc w:val="center"/>
              <w:rPr>
                <w:color w:val="auto"/>
                <w:szCs w:val="21"/>
                <w:highlight w:val="none"/>
              </w:rPr>
            </w:pPr>
            <w:r>
              <w:rPr>
                <w:color w:val="auto"/>
                <w:szCs w:val="21"/>
                <w:highlight w:val="none"/>
              </w:rPr>
              <w:t>设备管理</w:t>
            </w:r>
          </w:p>
        </w:tc>
        <w:tc>
          <w:tcPr>
            <w:tcW w:w="6446" w:type="dxa"/>
            <w:noWrap w:val="0"/>
            <w:vAlign w:val="top"/>
          </w:tcPr>
          <w:p w14:paraId="42D30FB8">
            <w:pPr>
              <w:tabs>
                <w:tab w:val="left" w:pos="851"/>
              </w:tabs>
              <w:spacing w:line="360" w:lineRule="auto"/>
              <w:jc w:val="left"/>
              <w:rPr>
                <w:color w:val="auto"/>
                <w:szCs w:val="21"/>
                <w:highlight w:val="none"/>
              </w:rPr>
            </w:pPr>
            <w:r>
              <w:rPr>
                <w:color w:val="auto"/>
                <w:szCs w:val="21"/>
                <w:highlight w:val="none"/>
              </w:rPr>
              <w:t>1.实现对于无人机设备基本信息、使用状况、历史异常情况的记录；</w:t>
            </w:r>
          </w:p>
          <w:p w14:paraId="5E59F779">
            <w:pPr>
              <w:tabs>
                <w:tab w:val="left" w:pos="851"/>
              </w:tabs>
              <w:spacing w:line="360" w:lineRule="auto"/>
              <w:jc w:val="left"/>
              <w:rPr>
                <w:color w:val="auto"/>
                <w:szCs w:val="21"/>
                <w:highlight w:val="none"/>
              </w:rPr>
            </w:pPr>
            <w:r>
              <w:rPr>
                <w:color w:val="auto"/>
                <w:szCs w:val="21"/>
                <w:highlight w:val="none"/>
              </w:rPr>
              <w:t>2.实现对于无人机的实时定位及设备状态查看。</w:t>
            </w:r>
          </w:p>
        </w:tc>
      </w:tr>
      <w:tr w14:paraId="13B6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top"/>
          </w:tcPr>
          <w:p w14:paraId="627846EE">
            <w:pPr>
              <w:tabs>
                <w:tab w:val="left" w:pos="851"/>
              </w:tabs>
              <w:spacing w:line="360" w:lineRule="auto"/>
              <w:jc w:val="center"/>
              <w:rPr>
                <w:color w:val="auto"/>
                <w:szCs w:val="21"/>
                <w:highlight w:val="none"/>
              </w:rPr>
            </w:pPr>
            <w:r>
              <w:rPr>
                <w:color w:val="auto"/>
                <w:szCs w:val="21"/>
                <w:highlight w:val="none"/>
              </w:rPr>
              <w:t>4</w:t>
            </w:r>
          </w:p>
        </w:tc>
        <w:tc>
          <w:tcPr>
            <w:tcW w:w="1706" w:type="dxa"/>
            <w:noWrap w:val="0"/>
            <w:vAlign w:val="center"/>
          </w:tcPr>
          <w:p w14:paraId="20E3A762">
            <w:pPr>
              <w:tabs>
                <w:tab w:val="left" w:pos="851"/>
              </w:tabs>
              <w:spacing w:line="360" w:lineRule="auto"/>
              <w:jc w:val="center"/>
              <w:rPr>
                <w:color w:val="auto"/>
                <w:szCs w:val="21"/>
                <w:highlight w:val="none"/>
              </w:rPr>
            </w:pPr>
            <w:r>
              <w:rPr>
                <w:color w:val="auto"/>
                <w:szCs w:val="21"/>
                <w:highlight w:val="none"/>
              </w:rPr>
              <w:t>风险识别</w:t>
            </w:r>
          </w:p>
        </w:tc>
        <w:tc>
          <w:tcPr>
            <w:tcW w:w="6446" w:type="dxa"/>
            <w:noWrap w:val="0"/>
            <w:vAlign w:val="center"/>
          </w:tcPr>
          <w:p w14:paraId="403E5ABF">
            <w:pPr>
              <w:tabs>
                <w:tab w:val="left" w:pos="851"/>
              </w:tabs>
              <w:spacing w:line="360" w:lineRule="auto"/>
              <w:jc w:val="left"/>
              <w:rPr>
                <w:color w:val="auto"/>
                <w:szCs w:val="21"/>
                <w:highlight w:val="none"/>
              </w:rPr>
            </w:pPr>
            <w:r>
              <w:rPr>
                <w:color w:val="auto"/>
                <w:szCs w:val="21"/>
                <w:highlight w:val="none"/>
              </w:rPr>
              <w:t>根据无人机巡查拍摄内容，快速识别施工器械和施工工地，并按照线路、区间上报风险内容。</w:t>
            </w:r>
          </w:p>
        </w:tc>
      </w:tr>
      <w:tr w14:paraId="49F0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top"/>
          </w:tcPr>
          <w:p w14:paraId="6EB6C40D">
            <w:pPr>
              <w:tabs>
                <w:tab w:val="left" w:pos="851"/>
              </w:tabs>
              <w:spacing w:line="360" w:lineRule="auto"/>
              <w:jc w:val="center"/>
              <w:rPr>
                <w:color w:val="auto"/>
                <w:szCs w:val="21"/>
                <w:highlight w:val="none"/>
              </w:rPr>
            </w:pPr>
            <w:r>
              <w:rPr>
                <w:color w:val="auto"/>
                <w:szCs w:val="21"/>
                <w:highlight w:val="none"/>
              </w:rPr>
              <w:t>5</w:t>
            </w:r>
          </w:p>
        </w:tc>
        <w:tc>
          <w:tcPr>
            <w:tcW w:w="1706" w:type="dxa"/>
            <w:noWrap w:val="0"/>
            <w:vAlign w:val="center"/>
          </w:tcPr>
          <w:p w14:paraId="1099266B">
            <w:pPr>
              <w:tabs>
                <w:tab w:val="left" w:pos="851"/>
              </w:tabs>
              <w:spacing w:line="360" w:lineRule="auto"/>
              <w:jc w:val="center"/>
              <w:rPr>
                <w:color w:val="auto"/>
                <w:szCs w:val="21"/>
                <w:highlight w:val="none"/>
              </w:rPr>
            </w:pPr>
            <w:r>
              <w:rPr>
                <w:color w:val="auto"/>
                <w:szCs w:val="21"/>
                <w:highlight w:val="none"/>
              </w:rPr>
              <w:t>风险管理</w:t>
            </w:r>
          </w:p>
        </w:tc>
        <w:tc>
          <w:tcPr>
            <w:tcW w:w="6446" w:type="dxa"/>
            <w:noWrap w:val="0"/>
            <w:vAlign w:val="center"/>
          </w:tcPr>
          <w:p w14:paraId="254CF01E">
            <w:pPr>
              <w:tabs>
                <w:tab w:val="left" w:pos="851"/>
              </w:tabs>
              <w:spacing w:line="360" w:lineRule="auto"/>
              <w:jc w:val="left"/>
              <w:rPr>
                <w:color w:val="auto"/>
                <w:szCs w:val="21"/>
                <w:highlight w:val="none"/>
              </w:rPr>
            </w:pPr>
            <w:r>
              <w:rPr>
                <w:color w:val="auto"/>
                <w:szCs w:val="21"/>
                <w:highlight w:val="none"/>
              </w:rPr>
              <w:t>支持无人机风险项目管理和审批，可以直接根据风险类型完成人工巡查任务派发，也可以直接关联既有违规项目，实现无人机巡查和人工巡查的关联。</w:t>
            </w:r>
          </w:p>
        </w:tc>
      </w:tr>
    </w:tbl>
    <w:p w14:paraId="6A031779">
      <w:pPr>
        <w:tabs>
          <w:tab w:val="left" w:pos="851"/>
        </w:tabs>
        <w:spacing w:line="360" w:lineRule="auto"/>
        <w:ind w:firstLine="560" w:firstLineChars="200"/>
        <w:jc w:val="left"/>
        <w:rPr>
          <w:color w:val="auto"/>
          <w:kern w:val="0"/>
          <w:sz w:val="28"/>
          <w:szCs w:val="28"/>
          <w:highlight w:val="none"/>
        </w:rPr>
      </w:pPr>
      <w:r>
        <w:rPr>
          <w:color w:val="auto"/>
          <w:kern w:val="0"/>
          <w:sz w:val="28"/>
          <w:szCs w:val="28"/>
          <w:highlight w:val="none"/>
        </w:rPr>
        <w:t>4.2.2.5视频巡查（预留）</w:t>
      </w:r>
    </w:p>
    <w:p w14:paraId="4B5A39B2">
      <w:pPr>
        <w:tabs>
          <w:tab w:val="left" w:pos="851"/>
        </w:tabs>
        <w:spacing w:line="360" w:lineRule="auto"/>
        <w:ind w:firstLine="560" w:firstLineChars="200"/>
        <w:jc w:val="left"/>
        <w:rPr>
          <w:color w:val="auto"/>
          <w:kern w:val="0"/>
          <w:sz w:val="28"/>
          <w:szCs w:val="28"/>
          <w:highlight w:val="none"/>
        </w:rPr>
      </w:pPr>
      <w:r>
        <w:rPr>
          <w:color w:val="auto"/>
          <w:kern w:val="0"/>
          <w:sz w:val="28"/>
          <w:szCs w:val="28"/>
          <w:highlight w:val="none"/>
        </w:rPr>
        <w:t>预留第三方视频监控接入功能，具备远程查看及回放功能，视频监控中电子围栏预留实时接收定位装置位置信息，可在地图上显示定位，可显示和编辑定位装置的施工机械和施工项目信息，可对处于不同围栏范围的定位装置进行归类标记，系统视频储存不低于</w:t>
      </w:r>
      <w:r>
        <w:rPr>
          <w:rFonts w:hint="eastAsia" w:ascii="Times New Roman" w:eastAsia="宋体"/>
          <w:color w:val="auto"/>
          <w:kern w:val="0"/>
          <w:sz w:val="28"/>
          <w:szCs w:val="28"/>
          <w:highlight w:val="none"/>
          <w:lang w:val="en-US" w:eastAsia="zh-CN"/>
        </w:rPr>
        <w:t>1</w:t>
      </w:r>
      <w:r>
        <w:rPr>
          <w:color w:val="auto"/>
          <w:kern w:val="0"/>
          <w:sz w:val="28"/>
          <w:szCs w:val="28"/>
          <w:highlight w:val="none"/>
        </w:rPr>
        <w:t>个月。</w:t>
      </w:r>
    </w:p>
    <w:p w14:paraId="298E6597">
      <w:pPr>
        <w:tabs>
          <w:tab w:val="left" w:pos="851"/>
        </w:tabs>
        <w:spacing w:line="360" w:lineRule="auto"/>
        <w:ind w:firstLine="562" w:firstLineChars="200"/>
        <w:jc w:val="left"/>
        <w:rPr>
          <w:b/>
          <w:bCs/>
          <w:color w:val="auto"/>
          <w:sz w:val="28"/>
          <w:szCs w:val="28"/>
          <w:highlight w:val="none"/>
        </w:rPr>
      </w:pPr>
      <w:r>
        <w:rPr>
          <w:b/>
          <w:bCs/>
          <w:color w:val="auto"/>
          <w:sz w:val="28"/>
          <w:szCs w:val="28"/>
          <w:highlight w:val="none"/>
        </w:rPr>
        <w:t>4.2.2.6风险辨识及隐患排查</w:t>
      </w:r>
    </w:p>
    <w:p w14:paraId="155F2073">
      <w:pPr>
        <w:tabs>
          <w:tab w:val="left" w:pos="851"/>
        </w:tabs>
        <w:spacing w:line="360" w:lineRule="auto"/>
        <w:ind w:firstLine="560" w:firstLineChars="200"/>
        <w:jc w:val="left"/>
        <w:rPr>
          <w:color w:val="auto"/>
          <w:sz w:val="28"/>
          <w:szCs w:val="28"/>
          <w:highlight w:val="none"/>
        </w:rPr>
      </w:pPr>
      <w:r>
        <w:rPr>
          <w:color w:val="auto"/>
          <w:sz w:val="28"/>
          <w:szCs w:val="28"/>
          <w:highlight w:val="none"/>
        </w:rPr>
        <w:t>建立涉铁施工风险识别及隐患排查治理管理模块，其功能在于对地保项目进行风险识别并形成清单，同时实现隐患的排查、登记、跟踪及闭环管理。</w:t>
      </w:r>
    </w:p>
    <w:p w14:paraId="6DD590E0">
      <w:pPr>
        <w:tabs>
          <w:tab w:val="left" w:pos="851"/>
        </w:tabs>
        <w:spacing w:line="360" w:lineRule="auto"/>
        <w:ind w:firstLine="560" w:firstLineChars="200"/>
        <w:jc w:val="left"/>
        <w:rPr>
          <w:color w:val="auto"/>
          <w:sz w:val="28"/>
          <w:szCs w:val="28"/>
          <w:highlight w:val="none"/>
        </w:rPr>
      </w:pPr>
      <w:r>
        <w:rPr>
          <w:color w:val="auto"/>
          <w:sz w:val="28"/>
          <w:szCs w:val="28"/>
          <w:highlight w:val="none"/>
        </w:rPr>
        <w:t>1）建立地保项目风险辨识清单。一是地保巡查员可以通过终端手机客户端APP对风险源信息进行上报，上报内容包括风险源位置、所属线路、面积范围、照片、距离地铁主体结构距离、风险点详情等信息。二是风险源记录模块主要是对风险点信息进行汇总、查看并记录风险点主要信息。</w:t>
      </w:r>
    </w:p>
    <w:p w14:paraId="693D7C4A">
      <w:pPr>
        <w:tabs>
          <w:tab w:val="left" w:pos="851"/>
        </w:tabs>
        <w:spacing w:line="360" w:lineRule="auto"/>
        <w:ind w:firstLine="560" w:firstLineChars="200"/>
        <w:jc w:val="left"/>
        <w:rPr>
          <w:color w:val="auto"/>
          <w:sz w:val="28"/>
          <w:szCs w:val="28"/>
          <w:highlight w:val="none"/>
        </w:rPr>
      </w:pPr>
      <w:r>
        <w:rPr>
          <w:color w:val="auto"/>
          <w:sz w:val="28"/>
          <w:szCs w:val="28"/>
          <w:highlight w:val="none"/>
        </w:rPr>
        <w:t>2）建立隐患排查治理跟踪表。一是地保巡查员通过手机客户端APP可以将在巡查过程中发现的隐患点上传地保信息化管理系统中，上传的内容包括隐患点所属线路及区段、报案情况、上传人、图片、隐患点位置信息等。二是巡查管理员在后台系统中可以对每个隐患点进行状态监控和处理。</w:t>
      </w:r>
    </w:p>
    <w:p w14:paraId="12215932">
      <w:pPr>
        <w:tabs>
          <w:tab w:val="left" w:pos="851"/>
        </w:tabs>
        <w:spacing w:line="360" w:lineRule="auto"/>
        <w:ind w:firstLine="562" w:firstLineChars="200"/>
        <w:jc w:val="left"/>
        <w:rPr>
          <w:b/>
          <w:bCs/>
          <w:color w:val="auto"/>
          <w:sz w:val="28"/>
          <w:szCs w:val="28"/>
          <w:highlight w:val="none"/>
        </w:rPr>
      </w:pPr>
      <w:r>
        <w:rPr>
          <w:rFonts w:hint="eastAsia"/>
          <w:b/>
          <w:bCs/>
          <w:color w:val="auto"/>
          <w:sz w:val="28"/>
          <w:szCs w:val="28"/>
          <w:highlight w:val="none"/>
        </w:rPr>
        <w:t>4.2.2.7无人机AI智能诊断复核</w:t>
      </w:r>
    </w:p>
    <w:p w14:paraId="0F1C4E6B">
      <w:pPr>
        <w:tabs>
          <w:tab w:val="left" w:pos="851"/>
        </w:tabs>
        <w:spacing w:line="360" w:lineRule="auto"/>
        <w:ind w:firstLine="560" w:firstLineChars="200"/>
        <w:jc w:val="left"/>
        <w:rPr>
          <w:color w:val="auto"/>
          <w:sz w:val="28"/>
          <w:szCs w:val="28"/>
          <w:highlight w:val="none"/>
        </w:rPr>
      </w:pPr>
      <w:r>
        <w:rPr>
          <w:rFonts w:hint="eastAsia"/>
          <w:color w:val="auto"/>
          <w:sz w:val="28"/>
          <w:szCs w:val="28"/>
          <w:highlight w:val="none"/>
        </w:rPr>
        <w:t>具备接入无人机视频数据，实现数据管理与处理、模型开发与优化、模型部署与应用、系统运维与管理等各应用模块功能的协同，构建和维护算法生产和应用流水线，适用于不同使用习惯/场景及不同能力级别要求。</w:t>
      </w:r>
    </w:p>
    <w:p w14:paraId="2BD6707E">
      <w:pPr>
        <w:tabs>
          <w:tab w:val="left" w:pos="851"/>
        </w:tabs>
        <w:spacing w:line="360" w:lineRule="auto"/>
        <w:ind w:firstLine="560" w:firstLineChars="200"/>
        <w:jc w:val="left"/>
        <w:rPr>
          <w:color w:val="auto"/>
          <w:sz w:val="28"/>
          <w:szCs w:val="28"/>
          <w:highlight w:val="none"/>
        </w:rPr>
      </w:pPr>
      <w:r>
        <w:rPr>
          <w:rFonts w:hint="eastAsia"/>
          <w:color w:val="auto"/>
          <w:sz w:val="28"/>
          <w:szCs w:val="28"/>
          <w:highlight w:val="none"/>
        </w:rPr>
        <w:t>1）支持视觉检测能力，包括视觉特征提取、文本特征提取、视觉特征和文本特征进行融合、图像监测；</w:t>
      </w:r>
    </w:p>
    <w:p w14:paraId="3A5381CB">
      <w:pPr>
        <w:tabs>
          <w:tab w:val="left" w:pos="851"/>
        </w:tabs>
        <w:spacing w:line="360" w:lineRule="auto"/>
        <w:ind w:firstLine="560" w:firstLineChars="200"/>
        <w:jc w:val="left"/>
        <w:rPr>
          <w:color w:val="auto"/>
          <w:sz w:val="28"/>
          <w:szCs w:val="28"/>
          <w:highlight w:val="none"/>
        </w:rPr>
      </w:pPr>
      <w:r>
        <w:rPr>
          <w:rFonts w:hint="eastAsia"/>
          <w:color w:val="auto"/>
          <w:sz w:val="28"/>
          <w:szCs w:val="28"/>
          <w:highlight w:val="none"/>
        </w:rPr>
        <w:t>2）支持视觉分类能力，包括图像分类（自然场景、物体等）、样本微调、跨模态学习功能；</w:t>
      </w:r>
    </w:p>
    <w:p w14:paraId="2DB08BEB">
      <w:pPr>
        <w:tabs>
          <w:tab w:val="left" w:pos="851"/>
        </w:tabs>
        <w:spacing w:line="360" w:lineRule="auto"/>
        <w:ind w:firstLine="560" w:firstLineChars="200"/>
        <w:jc w:val="left"/>
        <w:rPr>
          <w:color w:val="auto"/>
          <w:sz w:val="28"/>
          <w:szCs w:val="28"/>
          <w:highlight w:val="none"/>
        </w:rPr>
      </w:pPr>
      <w:r>
        <w:rPr>
          <w:rFonts w:hint="eastAsia"/>
          <w:color w:val="auto"/>
          <w:sz w:val="28"/>
          <w:szCs w:val="28"/>
          <w:highlight w:val="none"/>
        </w:rPr>
        <w:t>3）语义检索能力，对用户搜索词或查询语句进行深度语义解析，能够精准理解用户的查询意图，从而提供更相关、更准确的检索结果。</w:t>
      </w:r>
    </w:p>
    <w:p w14:paraId="05762118">
      <w:pPr>
        <w:tabs>
          <w:tab w:val="left" w:pos="851"/>
        </w:tabs>
        <w:spacing w:line="360" w:lineRule="auto"/>
        <w:ind w:firstLine="560" w:firstLineChars="200"/>
        <w:jc w:val="left"/>
        <w:rPr>
          <w:color w:val="auto"/>
          <w:sz w:val="28"/>
          <w:szCs w:val="28"/>
          <w:highlight w:val="none"/>
        </w:rPr>
      </w:pPr>
      <w:r>
        <w:rPr>
          <w:rFonts w:hint="eastAsia"/>
          <w:color w:val="auto"/>
          <w:sz w:val="28"/>
          <w:szCs w:val="28"/>
          <w:highlight w:val="none"/>
        </w:rPr>
        <w:t>4）提供数据管理、模式训练、模型推理以及运维管理模块，实现无人机视频监测数据实时接入、识别以及预警；</w:t>
      </w:r>
    </w:p>
    <w:p w14:paraId="3CCAD441">
      <w:pPr>
        <w:tabs>
          <w:tab w:val="left" w:pos="851"/>
        </w:tabs>
        <w:spacing w:line="360" w:lineRule="auto"/>
        <w:ind w:firstLine="562" w:firstLineChars="200"/>
        <w:jc w:val="left"/>
        <w:rPr>
          <w:b/>
          <w:bCs/>
          <w:color w:val="auto"/>
          <w:sz w:val="28"/>
          <w:szCs w:val="28"/>
          <w:highlight w:val="none"/>
        </w:rPr>
      </w:pPr>
      <w:r>
        <w:rPr>
          <w:b/>
          <w:bCs/>
          <w:color w:val="auto"/>
          <w:sz w:val="28"/>
          <w:szCs w:val="28"/>
          <w:highlight w:val="none"/>
        </w:rPr>
        <w:t>4.2.2.</w:t>
      </w:r>
      <w:r>
        <w:rPr>
          <w:rFonts w:hint="eastAsia"/>
          <w:b/>
          <w:bCs/>
          <w:color w:val="auto"/>
          <w:sz w:val="28"/>
          <w:szCs w:val="28"/>
          <w:highlight w:val="none"/>
        </w:rPr>
        <w:t>8</w:t>
      </w:r>
      <w:r>
        <w:rPr>
          <w:b/>
          <w:bCs/>
          <w:color w:val="auto"/>
          <w:sz w:val="28"/>
          <w:szCs w:val="28"/>
          <w:highlight w:val="none"/>
        </w:rPr>
        <w:t>系统管理</w:t>
      </w:r>
    </w:p>
    <w:p w14:paraId="71F1ED34">
      <w:pPr>
        <w:tabs>
          <w:tab w:val="left" w:pos="851"/>
        </w:tabs>
        <w:spacing w:line="360" w:lineRule="auto"/>
        <w:ind w:firstLine="560" w:firstLineChars="200"/>
        <w:jc w:val="left"/>
        <w:rPr>
          <w:color w:val="auto"/>
          <w:sz w:val="28"/>
          <w:szCs w:val="28"/>
          <w:highlight w:val="none"/>
        </w:rPr>
      </w:pPr>
      <w:r>
        <w:rPr>
          <w:color w:val="auto"/>
          <w:sz w:val="28"/>
          <w:szCs w:val="28"/>
          <w:highlight w:val="none"/>
        </w:rPr>
        <w:t>系统管理实现对系统基础信息的维护，包括用户公司、部门、岗位、角色、账号等信息；项目基本信息等信息，功能包括：</w:t>
      </w:r>
    </w:p>
    <w:p w14:paraId="79716593">
      <w:pPr>
        <w:tabs>
          <w:tab w:val="left" w:pos="851"/>
        </w:tabs>
        <w:spacing w:line="360" w:lineRule="auto"/>
        <w:ind w:firstLine="560" w:firstLineChars="200"/>
        <w:jc w:val="left"/>
        <w:rPr>
          <w:color w:val="auto"/>
          <w:sz w:val="28"/>
          <w:szCs w:val="28"/>
          <w:highlight w:val="none"/>
        </w:rPr>
      </w:pPr>
      <w:r>
        <w:rPr>
          <w:color w:val="auto"/>
          <w:sz w:val="28"/>
          <w:szCs w:val="28"/>
          <w:highlight w:val="none"/>
        </w:rPr>
        <w:t>1)实现线路、标段、施工项目信息管理；</w:t>
      </w:r>
    </w:p>
    <w:p w14:paraId="7E776B95">
      <w:pPr>
        <w:tabs>
          <w:tab w:val="left" w:pos="851"/>
        </w:tabs>
        <w:spacing w:line="360" w:lineRule="auto"/>
        <w:ind w:firstLine="560" w:firstLineChars="200"/>
        <w:jc w:val="left"/>
        <w:rPr>
          <w:color w:val="auto"/>
          <w:sz w:val="28"/>
          <w:szCs w:val="28"/>
          <w:highlight w:val="none"/>
        </w:rPr>
      </w:pPr>
      <w:r>
        <w:rPr>
          <w:color w:val="auto"/>
          <w:sz w:val="28"/>
          <w:szCs w:val="28"/>
          <w:highlight w:val="none"/>
        </w:rPr>
        <w:t>2)实现公司、部门、角色、人员信息权限管理；</w:t>
      </w:r>
    </w:p>
    <w:p w14:paraId="5165C3B4">
      <w:pPr>
        <w:tabs>
          <w:tab w:val="left" w:pos="851"/>
        </w:tabs>
        <w:spacing w:line="360" w:lineRule="auto"/>
        <w:ind w:firstLine="560" w:firstLineChars="200"/>
        <w:jc w:val="left"/>
        <w:rPr>
          <w:color w:val="auto"/>
          <w:sz w:val="28"/>
          <w:szCs w:val="28"/>
          <w:highlight w:val="none"/>
        </w:rPr>
      </w:pPr>
      <w:r>
        <w:rPr>
          <w:color w:val="auto"/>
          <w:sz w:val="28"/>
          <w:szCs w:val="28"/>
          <w:highlight w:val="none"/>
        </w:rPr>
        <w:t>3)实现系统其它基础资料维护管理。</w:t>
      </w:r>
    </w:p>
    <w:p w14:paraId="2B6589DE">
      <w:pPr>
        <w:tabs>
          <w:tab w:val="left" w:pos="851"/>
        </w:tabs>
        <w:spacing w:line="360" w:lineRule="auto"/>
        <w:ind w:firstLine="562" w:firstLineChars="200"/>
        <w:jc w:val="left"/>
        <w:outlineLvl w:val="2"/>
        <w:rPr>
          <w:b/>
          <w:bCs/>
          <w:color w:val="auto"/>
          <w:sz w:val="28"/>
          <w:szCs w:val="28"/>
          <w:highlight w:val="none"/>
        </w:rPr>
      </w:pPr>
      <w:bookmarkStart w:id="1083" w:name="_Toc32729"/>
      <w:bookmarkStart w:id="1084" w:name="_Toc15103"/>
      <w:bookmarkStart w:id="1085" w:name="_Toc8552"/>
      <w:bookmarkStart w:id="1086" w:name="_Toc15476"/>
      <w:bookmarkStart w:id="1087" w:name="_Toc17629"/>
      <w:r>
        <w:rPr>
          <w:b/>
          <w:bCs/>
          <w:color w:val="auto"/>
          <w:sz w:val="28"/>
          <w:szCs w:val="28"/>
          <w:highlight w:val="none"/>
        </w:rPr>
        <w:t>4.2.3移动端APP</w:t>
      </w:r>
      <w:bookmarkEnd w:id="1083"/>
      <w:bookmarkEnd w:id="1084"/>
      <w:bookmarkEnd w:id="1085"/>
      <w:bookmarkEnd w:id="1086"/>
      <w:bookmarkEnd w:id="1087"/>
    </w:p>
    <w:p w14:paraId="40FF0F7B">
      <w:pPr>
        <w:tabs>
          <w:tab w:val="left" w:pos="851"/>
        </w:tabs>
        <w:spacing w:line="360" w:lineRule="auto"/>
        <w:ind w:firstLine="560" w:firstLineChars="200"/>
        <w:jc w:val="left"/>
        <w:rPr>
          <w:color w:val="auto"/>
          <w:sz w:val="28"/>
          <w:szCs w:val="28"/>
          <w:highlight w:val="none"/>
        </w:rPr>
      </w:pPr>
      <w:r>
        <w:rPr>
          <w:color w:val="auto"/>
          <w:kern w:val="0"/>
          <w:sz w:val="28"/>
          <w:szCs w:val="28"/>
          <w:highlight w:val="none"/>
        </w:rPr>
        <w:t>移动端APP支持IOS、Android和鸿蒙等操作系统，具备GIS地图服务、巡查管理、违规项目管理、监测信息查看和风险及隐患查看等功能。</w:t>
      </w:r>
      <w:r>
        <w:rPr>
          <w:color w:val="auto"/>
          <w:sz w:val="28"/>
          <w:szCs w:val="28"/>
          <w:highlight w:val="none"/>
        </w:rPr>
        <w:t>功能说明如下：</w:t>
      </w:r>
    </w:p>
    <w:tbl>
      <w:tblPr>
        <w:tblStyle w:val="21"/>
        <w:tblW w:w="5000" w:type="pct"/>
        <w:tblInd w:w="91" w:type="dxa"/>
        <w:tblLayout w:type="autofit"/>
        <w:tblCellMar>
          <w:top w:w="0" w:type="dxa"/>
          <w:left w:w="108" w:type="dxa"/>
          <w:bottom w:w="0" w:type="dxa"/>
          <w:right w:w="108" w:type="dxa"/>
        </w:tblCellMar>
      </w:tblPr>
      <w:tblGrid>
        <w:gridCol w:w="883"/>
        <w:gridCol w:w="1676"/>
        <w:gridCol w:w="7294"/>
      </w:tblGrid>
      <w:tr w14:paraId="477DB76F">
        <w:tblPrEx>
          <w:tblCellMar>
            <w:top w:w="0" w:type="dxa"/>
            <w:left w:w="108" w:type="dxa"/>
            <w:bottom w:w="0" w:type="dxa"/>
            <w:right w:w="108" w:type="dxa"/>
          </w:tblCellMar>
        </w:tblPrEx>
        <w:trPr>
          <w:trHeight w:val="276" w:hRule="atLeast"/>
        </w:trPr>
        <w:tc>
          <w:tcPr>
            <w:tcW w:w="832" w:type="dxa"/>
            <w:tcBorders>
              <w:top w:val="single" w:color="auto" w:sz="4" w:space="0"/>
              <w:left w:val="single" w:color="auto" w:sz="4" w:space="0"/>
              <w:bottom w:val="single" w:color="auto" w:sz="4" w:space="0"/>
              <w:right w:val="single" w:color="auto" w:sz="4" w:space="0"/>
            </w:tcBorders>
            <w:noWrap w:val="0"/>
            <w:vAlign w:val="top"/>
          </w:tcPr>
          <w:p w14:paraId="106035EA">
            <w:pPr>
              <w:widowControl/>
              <w:jc w:val="center"/>
              <w:textAlignment w:val="top"/>
              <w:rPr>
                <w:b/>
                <w:bCs/>
                <w:color w:val="auto"/>
                <w:szCs w:val="21"/>
                <w:highlight w:val="none"/>
              </w:rPr>
            </w:pPr>
            <w:r>
              <w:rPr>
                <w:b/>
                <w:bCs/>
                <w:color w:val="auto"/>
                <w:kern w:val="0"/>
                <w:szCs w:val="21"/>
                <w:highlight w:val="none"/>
                <w:lang w:bidi="ar"/>
              </w:rPr>
              <w:t>序号</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2C8860EE">
            <w:pPr>
              <w:widowControl/>
              <w:jc w:val="center"/>
              <w:textAlignment w:val="top"/>
              <w:rPr>
                <w:b/>
                <w:bCs/>
                <w:color w:val="auto"/>
                <w:szCs w:val="21"/>
                <w:highlight w:val="none"/>
              </w:rPr>
            </w:pPr>
            <w:r>
              <w:rPr>
                <w:b/>
                <w:bCs/>
                <w:color w:val="auto"/>
                <w:kern w:val="0"/>
                <w:szCs w:val="21"/>
                <w:highlight w:val="none"/>
                <w:lang w:bidi="ar"/>
              </w:rPr>
              <w:t>功能需求</w:t>
            </w:r>
          </w:p>
        </w:tc>
        <w:tc>
          <w:tcPr>
            <w:tcW w:w="6874" w:type="dxa"/>
            <w:tcBorders>
              <w:top w:val="single" w:color="auto" w:sz="4" w:space="0"/>
              <w:left w:val="single" w:color="auto" w:sz="4" w:space="0"/>
              <w:bottom w:val="single" w:color="auto" w:sz="4" w:space="0"/>
              <w:right w:val="single" w:color="auto" w:sz="4" w:space="0"/>
            </w:tcBorders>
            <w:noWrap w:val="0"/>
            <w:vAlign w:val="top"/>
          </w:tcPr>
          <w:p w14:paraId="26B756FD">
            <w:pPr>
              <w:widowControl/>
              <w:jc w:val="center"/>
              <w:textAlignment w:val="top"/>
              <w:rPr>
                <w:b/>
                <w:bCs/>
                <w:color w:val="auto"/>
                <w:szCs w:val="21"/>
                <w:highlight w:val="none"/>
              </w:rPr>
            </w:pPr>
            <w:r>
              <w:rPr>
                <w:b/>
                <w:bCs/>
                <w:color w:val="auto"/>
                <w:kern w:val="0"/>
                <w:szCs w:val="21"/>
                <w:highlight w:val="none"/>
                <w:lang w:bidi="ar"/>
              </w:rPr>
              <w:t>功能说明</w:t>
            </w:r>
          </w:p>
        </w:tc>
      </w:tr>
      <w:tr w14:paraId="094DFBC0">
        <w:tblPrEx>
          <w:tblCellMar>
            <w:top w:w="0" w:type="dxa"/>
            <w:left w:w="108" w:type="dxa"/>
            <w:bottom w:w="0" w:type="dxa"/>
            <w:right w:w="108" w:type="dxa"/>
          </w:tblCellMar>
        </w:tblPrEx>
        <w:trPr>
          <w:trHeight w:val="285" w:hRule="atLeast"/>
        </w:trPr>
        <w:tc>
          <w:tcPr>
            <w:tcW w:w="832" w:type="dxa"/>
            <w:vMerge w:val="restart"/>
            <w:tcBorders>
              <w:top w:val="single" w:color="auto" w:sz="4" w:space="0"/>
              <w:left w:val="single" w:color="auto" w:sz="4" w:space="0"/>
              <w:bottom w:val="single" w:color="auto" w:sz="4" w:space="0"/>
              <w:right w:val="single" w:color="auto" w:sz="4" w:space="0"/>
            </w:tcBorders>
            <w:noWrap w:val="0"/>
            <w:vAlign w:val="top"/>
          </w:tcPr>
          <w:p w14:paraId="1DBBE436">
            <w:pPr>
              <w:widowControl/>
              <w:jc w:val="center"/>
              <w:textAlignment w:val="top"/>
              <w:rPr>
                <w:color w:val="auto"/>
                <w:kern w:val="0"/>
                <w:szCs w:val="21"/>
                <w:highlight w:val="none"/>
                <w:lang w:bidi="ar"/>
              </w:rPr>
            </w:pPr>
          </w:p>
          <w:p w14:paraId="360C201C">
            <w:pPr>
              <w:widowControl/>
              <w:jc w:val="center"/>
              <w:textAlignment w:val="top"/>
              <w:rPr>
                <w:color w:val="auto"/>
                <w:kern w:val="0"/>
                <w:szCs w:val="21"/>
                <w:highlight w:val="none"/>
                <w:lang w:bidi="ar"/>
              </w:rPr>
            </w:pPr>
          </w:p>
          <w:p w14:paraId="64B36F9E">
            <w:pPr>
              <w:widowControl/>
              <w:jc w:val="center"/>
              <w:textAlignment w:val="top"/>
              <w:rPr>
                <w:color w:val="auto"/>
                <w:szCs w:val="21"/>
                <w:highlight w:val="none"/>
              </w:rPr>
            </w:pPr>
            <w:r>
              <w:rPr>
                <w:color w:val="auto"/>
                <w:kern w:val="0"/>
                <w:szCs w:val="21"/>
                <w:highlight w:val="none"/>
                <w:lang w:bidi="ar"/>
              </w:rPr>
              <w:t>1</w:t>
            </w:r>
          </w:p>
        </w:tc>
        <w:tc>
          <w:tcPr>
            <w:tcW w:w="1580" w:type="dxa"/>
            <w:vMerge w:val="restart"/>
            <w:tcBorders>
              <w:top w:val="single" w:color="auto" w:sz="4" w:space="0"/>
              <w:left w:val="single" w:color="auto" w:sz="4" w:space="0"/>
              <w:bottom w:val="single" w:color="auto" w:sz="4" w:space="0"/>
              <w:right w:val="single" w:color="auto" w:sz="4" w:space="0"/>
            </w:tcBorders>
            <w:noWrap w:val="0"/>
            <w:vAlign w:val="top"/>
          </w:tcPr>
          <w:p w14:paraId="78486ACF">
            <w:pPr>
              <w:widowControl/>
              <w:jc w:val="center"/>
              <w:textAlignment w:val="top"/>
              <w:rPr>
                <w:color w:val="auto"/>
                <w:kern w:val="0"/>
                <w:szCs w:val="21"/>
                <w:highlight w:val="none"/>
                <w:lang w:bidi="ar"/>
              </w:rPr>
            </w:pPr>
          </w:p>
          <w:p w14:paraId="1F365B23">
            <w:pPr>
              <w:widowControl/>
              <w:jc w:val="center"/>
              <w:textAlignment w:val="top"/>
              <w:rPr>
                <w:color w:val="auto"/>
                <w:kern w:val="0"/>
                <w:szCs w:val="21"/>
                <w:highlight w:val="none"/>
                <w:lang w:bidi="ar"/>
              </w:rPr>
            </w:pPr>
          </w:p>
          <w:p w14:paraId="6CE5DA69">
            <w:pPr>
              <w:widowControl/>
              <w:jc w:val="center"/>
              <w:textAlignment w:val="top"/>
              <w:rPr>
                <w:color w:val="auto"/>
                <w:szCs w:val="21"/>
                <w:highlight w:val="none"/>
              </w:rPr>
            </w:pPr>
            <w:r>
              <w:rPr>
                <w:color w:val="auto"/>
                <w:kern w:val="0"/>
                <w:szCs w:val="21"/>
                <w:highlight w:val="none"/>
                <w:lang w:bidi="ar"/>
              </w:rPr>
              <w:t>GIS地图服务</w:t>
            </w:r>
          </w:p>
        </w:tc>
        <w:tc>
          <w:tcPr>
            <w:tcW w:w="6874" w:type="dxa"/>
            <w:vMerge w:val="restart"/>
            <w:tcBorders>
              <w:top w:val="single" w:color="auto" w:sz="4" w:space="0"/>
              <w:left w:val="single" w:color="auto" w:sz="4" w:space="0"/>
              <w:bottom w:val="single" w:color="auto" w:sz="4" w:space="0"/>
              <w:right w:val="single" w:color="auto" w:sz="4" w:space="0"/>
            </w:tcBorders>
            <w:noWrap w:val="0"/>
            <w:vAlign w:val="top"/>
          </w:tcPr>
          <w:p w14:paraId="54416B44">
            <w:pPr>
              <w:keepNext w:val="0"/>
              <w:keepLines w:val="0"/>
              <w:pageBreakBefore w:val="0"/>
              <w:widowControl/>
              <w:kinsoku/>
              <w:wordWrap/>
              <w:overflowPunct/>
              <w:topLinePunct w:val="0"/>
              <w:autoSpaceDE/>
              <w:autoSpaceDN/>
              <w:bidi w:val="0"/>
              <w:adjustRightInd/>
              <w:snapToGrid/>
              <w:spacing w:line="320" w:lineRule="exact"/>
              <w:jc w:val="left"/>
              <w:textAlignment w:val="top"/>
              <w:rPr>
                <w:color w:val="auto"/>
                <w:szCs w:val="21"/>
                <w:highlight w:val="none"/>
              </w:rPr>
            </w:pPr>
            <w:r>
              <w:rPr>
                <w:color w:val="auto"/>
                <w:kern w:val="0"/>
                <w:szCs w:val="21"/>
                <w:highlight w:val="none"/>
                <w:lang w:bidi="ar"/>
              </w:rPr>
              <w:t>1.支持GIS地图上查看地铁线路、车站、保护区范围、外部施工项目地理信息。</w:t>
            </w:r>
            <w:r>
              <w:rPr>
                <w:color w:val="auto"/>
                <w:kern w:val="0"/>
                <w:szCs w:val="21"/>
                <w:highlight w:val="none"/>
                <w:lang w:bidi="ar"/>
              </w:rPr>
              <w:br w:type="textWrapping"/>
            </w:r>
            <w:r>
              <w:rPr>
                <w:color w:val="auto"/>
                <w:kern w:val="0"/>
                <w:szCs w:val="21"/>
                <w:highlight w:val="none"/>
                <w:lang w:bidi="ar"/>
              </w:rPr>
              <w:t>2.支持GIS地图上查看监测预警、停工、违规项目三种状态信息；清晰突出呈现高低风险项目。</w:t>
            </w:r>
            <w:r>
              <w:rPr>
                <w:color w:val="auto"/>
                <w:kern w:val="0"/>
                <w:szCs w:val="21"/>
                <w:highlight w:val="none"/>
                <w:lang w:bidi="ar"/>
              </w:rPr>
              <w:br w:type="textWrapping"/>
            </w:r>
            <w:r>
              <w:rPr>
                <w:color w:val="auto"/>
                <w:kern w:val="0"/>
                <w:szCs w:val="21"/>
                <w:highlight w:val="none"/>
                <w:lang w:bidi="ar"/>
              </w:rPr>
              <w:t>3.支持线路埋深情况查看和线路百米标查看。</w:t>
            </w:r>
            <w:r>
              <w:rPr>
                <w:color w:val="auto"/>
                <w:kern w:val="0"/>
                <w:szCs w:val="21"/>
                <w:highlight w:val="none"/>
                <w:lang w:bidi="ar"/>
              </w:rPr>
              <w:br w:type="textWrapping"/>
            </w:r>
            <w:r>
              <w:rPr>
                <w:color w:val="auto"/>
                <w:kern w:val="0"/>
                <w:szCs w:val="21"/>
                <w:highlight w:val="none"/>
                <w:lang w:bidi="ar"/>
              </w:rPr>
              <w:t>4.项目查询，通过项目名称快速定位外部施工项目。</w:t>
            </w:r>
          </w:p>
        </w:tc>
      </w:tr>
      <w:tr w14:paraId="74C181B6">
        <w:tblPrEx>
          <w:tblCellMar>
            <w:top w:w="0" w:type="dxa"/>
            <w:left w:w="108" w:type="dxa"/>
            <w:bottom w:w="0" w:type="dxa"/>
            <w:right w:w="108" w:type="dxa"/>
          </w:tblCellMar>
        </w:tblPrEx>
        <w:trPr>
          <w:trHeight w:val="285"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top"/>
          </w:tcPr>
          <w:p w14:paraId="61D81772">
            <w:pPr>
              <w:jc w:val="center"/>
              <w:rPr>
                <w:color w:val="auto"/>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noWrap w:val="0"/>
            <w:vAlign w:val="top"/>
          </w:tcPr>
          <w:p w14:paraId="12E0F746">
            <w:pPr>
              <w:jc w:val="center"/>
              <w:rPr>
                <w:color w:val="auto"/>
                <w:szCs w:val="21"/>
                <w:highlight w:val="none"/>
              </w:rPr>
            </w:pPr>
          </w:p>
        </w:tc>
        <w:tc>
          <w:tcPr>
            <w:tcW w:w="6874" w:type="dxa"/>
            <w:vMerge w:val="continue"/>
            <w:tcBorders>
              <w:top w:val="single" w:color="auto" w:sz="4" w:space="0"/>
              <w:left w:val="single" w:color="auto" w:sz="4" w:space="0"/>
              <w:bottom w:val="single" w:color="auto" w:sz="4" w:space="0"/>
              <w:right w:val="single" w:color="auto" w:sz="4" w:space="0"/>
            </w:tcBorders>
            <w:noWrap w:val="0"/>
            <w:vAlign w:val="top"/>
          </w:tcPr>
          <w:p w14:paraId="1B38B1B6">
            <w:pPr>
              <w:keepNext w:val="0"/>
              <w:keepLines w:val="0"/>
              <w:pageBreakBefore w:val="0"/>
              <w:kinsoku/>
              <w:wordWrap/>
              <w:overflowPunct/>
              <w:topLinePunct w:val="0"/>
              <w:autoSpaceDE/>
              <w:autoSpaceDN/>
              <w:bidi w:val="0"/>
              <w:adjustRightInd/>
              <w:snapToGrid/>
              <w:spacing w:line="320" w:lineRule="exact"/>
              <w:jc w:val="left"/>
              <w:rPr>
                <w:color w:val="auto"/>
                <w:szCs w:val="21"/>
                <w:highlight w:val="none"/>
              </w:rPr>
            </w:pPr>
          </w:p>
        </w:tc>
      </w:tr>
      <w:tr w14:paraId="4CC952B7">
        <w:tblPrEx>
          <w:tblCellMar>
            <w:top w:w="0" w:type="dxa"/>
            <w:left w:w="108" w:type="dxa"/>
            <w:bottom w:w="0" w:type="dxa"/>
            <w:right w:w="108" w:type="dxa"/>
          </w:tblCellMar>
        </w:tblPrEx>
        <w:trPr>
          <w:trHeight w:val="285"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top"/>
          </w:tcPr>
          <w:p w14:paraId="6AFF4901">
            <w:pPr>
              <w:jc w:val="center"/>
              <w:rPr>
                <w:color w:val="auto"/>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noWrap w:val="0"/>
            <w:vAlign w:val="top"/>
          </w:tcPr>
          <w:p w14:paraId="5E17F32B">
            <w:pPr>
              <w:jc w:val="center"/>
              <w:rPr>
                <w:color w:val="auto"/>
                <w:szCs w:val="21"/>
                <w:highlight w:val="none"/>
              </w:rPr>
            </w:pPr>
          </w:p>
        </w:tc>
        <w:tc>
          <w:tcPr>
            <w:tcW w:w="6874" w:type="dxa"/>
            <w:vMerge w:val="continue"/>
            <w:tcBorders>
              <w:top w:val="single" w:color="auto" w:sz="4" w:space="0"/>
              <w:left w:val="single" w:color="auto" w:sz="4" w:space="0"/>
              <w:bottom w:val="single" w:color="auto" w:sz="4" w:space="0"/>
              <w:right w:val="single" w:color="auto" w:sz="4" w:space="0"/>
            </w:tcBorders>
            <w:noWrap w:val="0"/>
            <w:vAlign w:val="top"/>
          </w:tcPr>
          <w:p w14:paraId="3C2A6BE4">
            <w:pPr>
              <w:keepNext w:val="0"/>
              <w:keepLines w:val="0"/>
              <w:pageBreakBefore w:val="0"/>
              <w:kinsoku/>
              <w:wordWrap/>
              <w:overflowPunct/>
              <w:topLinePunct w:val="0"/>
              <w:autoSpaceDE/>
              <w:autoSpaceDN/>
              <w:bidi w:val="0"/>
              <w:adjustRightInd/>
              <w:snapToGrid/>
              <w:spacing w:line="320" w:lineRule="exact"/>
              <w:jc w:val="left"/>
              <w:rPr>
                <w:color w:val="auto"/>
                <w:szCs w:val="21"/>
                <w:highlight w:val="none"/>
              </w:rPr>
            </w:pPr>
          </w:p>
        </w:tc>
      </w:tr>
      <w:tr w14:paraId="26D63D97">
        <w:tblPrEx>
          <w:tblCellMar>
            <w:top w:w="0" w:type="dxa"/>
            <w:left w:w="108" w:type="dxa"/>
            <w:bottom w:w="0" w:type="dxa"/>
            <w:right w:w="108" w:type="dxa"/>
          </w:tblCellMar>
        </w:tblPrEx>
        <w:trPr>
          <w:trHeight w:val="285"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top"/>
          </w:tcPr>
          <w:p w14:paraId="4B5E9072">
            <w:pPr>
              <w:jc w:val="center"/>
              <w:rPr>
                <w:color w:val="auto"/>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noWrap w:val="0"/>
            <w:vAlign w:val="top"/>
          </w:tcPr>
          <w:p w14:paraId="2667F001">
            <w:pPr>
              <w:jc w:val="center"/>
              <w:rPr>
                <w:color w:val="auto"/>
                <w:szCs w:val="21"/>
                <w:highlight w:val="none"/>
              </w:rPr>
            </w:pPr>
          </w:p>
        </w:tc>
        <w:tc>
          <w:tcPr>
            <w:tcW w:w="6874" w:type="dxa"/>
            <w:vMerge w:val="continue"/>
            <w:tcBorders>
              <w:top w:val="single" w:color="auto" w:sz="4" w:space="0"/>
              <w:left w:val="single" w:color="auto" w:sz="4" w:space="0"/>
              <w:bottom w:val="single" w:color="auto" w:sz="4" w:space="0"/>
              <w:right w:val="single" w:color="auto" w:sz="4" w:space="0"/>
            </w:tcBorders>
            <w:noWrap w:val="0"/>
            <w:vAlign w:val="top"/>
          </w:tcPr>
          <w:p w14:paraId="336ED49A">
            <w:pPr>
              <w:keepNext w:val="0"/>
              <w:keepLines w:val="0"/>
              <w:pageBreakBefore w:val="0"/>
              <w:kinsoku/>
              <w:wordWrap/>
              <w:overflowPunct/>
              <w:topLinePunct w:val="0"/>
              <w:autoSpaceDE/>
              <w:autoSpaceDN/>
              <w:bidi w:val="0"/>
              <w:adjustRightInd/>
              <w:snapToGrid/>
              <w:spacing w:line="320" w:lineRule="exact"/>
              <w:jc w:val="left"/>
              <w:rPr>
                <w:color w:val="auto"/>
                <w:szCs w:val="21"/>
                <w:highlight w:val="none"/>
              </w:rPr>
            </w:pPr>
          </w:p>
        </w:tc>
      </w:tr>
      <w:tr w14:paraId="5C73A280">
        <w:tblPrEx>
          <w:tblCellMar>
            <w:top w:w="0" w:type="dxa"/>
            <w:left w:w="108" w:type="dxa"/>
            <w:bottom w:w="0" w:type="dxa"/>
            <w:right w:w="108" w:type="dxa"/>
          </w:tblCellMar>
        </w:tblPrEx>
        <w:trPr>
          <w:trHeight w:val="270" w:hRule="atLeast"/>
        </w:trPr>
        <w:tc>
          <w:tcPr>
            <w:tcW w:w="832" w:type="dxa"/>
            <w:vMerge w:val="restart"/>
            <w:tcBorders>
              <w:top w:val="single" w:color="auto" w:sz="4" w:space="0"/>
              <w:left w:val="single" w:color="auto" w:sz="4" w:space="0"/>
              <w:bottom w:val="single" w:color="auto" w:sz="4" w:space="0"/>
              <w:right w:val="single" w:color="auto" w:sz="4" w:space="0"/>
            </w:tcBorders>
            <w:noWrap w:val="0"/>
            <w:vAlign w:val="top"/>
          </w:tcPr>
          <w:p w14:paraId="0C7AB99A">
            <w:pPr>
              <w:widowControl/>
              <w:jc w:val="center"/>
              <w:textAlignment w:val="top"/>
              <w:rPr>
                <w:color w:val="auto"/>
                <w:kern w:val="0"/>
                <w:szCs w:val="21"/>
                <w:highlight w:val="none"/>
                <w:lang w:bidi="ar"/>
              </w:rPr>
            </w:pPr>
          </w:p>
          <w:p w14:paraId="3F06CE1F">
            <w:pPr>
              <w:widowControl/>
              <w:jc w:val="center"/>
              <w:textAlignment w:val="top"/>
              <w:rPr>
                <w:color w:val="auto"/>
                <w:kern w:val="0"/>
                <w:szCs w:val="21"/>
                <w:highlight w:val="none"/>
                <w:lang w:bidi="ar"/>
              </w:rPr>
            </w:pPr>
          </w:p>
          <w:p w14:paraId="46DC5735">
            <w:pPr>
              <w:widowControl/>
              <w:jc w:val="center"/>
              <w:textAlignment w:val="top"/>
              <w:rPr>
                <w:color w:val="auto"/>
                <w:kern w:val="0"/>
                <w:szCs w:val="21"/>
                <w:highlight w:val="none"/>
                <w:lang w:bidi="ar"/>
              </w:rPr>
            </w:pPr>
          </w:p>
          <w:p w14:paraId="76DF0A2C">
            <w:pPr>
              <w:widowControl/>
              <w:jc w:val="center"/>
              <w:textAlignment w:val="top"/>
              <w:rPr>
                <w:color w:val="auto"/>
                <w:kern w:val="0"/>
                <w:szCs w:val="21"/>
                <w:highlight w:val="none"/>
                <w:lang w:bidi="ar"/>
              </w:rPr>
            </w:pPr>
          </w:p>
          <w:p w14:paraId="7B64AFE5">
            <w:pPr>
              <w:widowControl/>
              <w:jc w:val="center"/>
              <w:textAlignment w:val="top"/>
              <w:rPr>
                <w:color w:val="auto"/>
                <w:kern w:val="0"/>
                <w:szCs w:val="21"/>
                <w:highlight w:val="none"/>
                <w:lang w:bidi="ar"/>
              </w:rPr>
            </w:pPr>
          </w:p>
          <w:p w14:paraId="0C85E541">
            <w:pPr>
              <w:widowControl/>
              <w:jc w:val="center"/>
              <w:textAlignment w:val="top"/>
              <w:rPr>
                <w:color w:val="auto"/>
                <w:kern w:val="0"/>
                <w:szCs w:val="21"/>
                <w:highlight w:val="none"/>
                <w:lang w:bidi="ar"/>
              </w:rPr>
            </w:pPr>
          </w:p>
          <w:p w14:paraId="07467866">
            <w:pPr>
              <w:widowControl/>
              <w:jc w:val="center"/>
              <w:textAlignment w:val="top"/>
              <w:rPr>
                <w:color w:val="auto"/>
                <w:szCs w:val="21"/>
                <w:highlight w:val="none"/>
              </w:rPr>
            </w:pPr>
            <w:r>
              <w:rPr>
                <w:color w:val="auto"/>
                <w:kern w:val="0"/>
                <w:szCs w:val="21"/>
                <w:highlight w:val="none"/>
                <w:lang w:bidi="ar"/>
              </w:rPr>
              <w:t>2</w:t>
            </w:r>
          </w:p>
        </w:tc>
        <w:tc>
          <w:tcPr>
            <w:tcW w:w="1580" w:type="dxa"/>
            <w:vMerge w:val="restart"/>
            <w:tcBorders>
              <w:top w:val="single" w:color="auto" w:sz="4" w:space="0"/>
              <w:left w:val="single" w:color="auto" w:sz="4" w:space="0"/>
              <w:bottom w:val="single" w:color="auto" w:sz="4" w:space="0"/>
              <w:right w:val="single" w:color="auto" w:sz="4" w:space="0"/>
            </w:tcBorders>
            <w:noWrap w:val="0"/>
            <w:vAlign w:val="top"/>
          </w:tcPr>
          <w:p w14:paraId="2C58D27D">
            <w:pPr>
              <w:widowControl/>
              <w:jc w:val="center"/>
              <w:textAlignment w:val="top"/>
              <w:rPr>
                <w:color w:val="auto"/>
                <w:kern w:val="0"/>
                <w:szCs w:val="21"/>
                <w:highlight w:val="none"/>
                <w:lang w:bidi="ar"/>
              </w:rPr>
            </w:pPr>
          </w:p>
          <w:p w14:paraId="0FA1C69A">
            <w:pPr>
              <w:widowControl/>
              <w:jc w:val="center"/>
              <w:textAlignment w:val="top"/>
              <w:rPr>
                <w:color w:val="auto"/>
                <w:kern w:val="0"/>
                <w:szCs w:val="21"/>
                <w:highlight w:val="none"/>
                <w:lang w:bidi="ar"/>
              </w:rPr>
            </w:pPr>
          </w:p>
          <w:p w14:paraId="6185599D">
            <w:pPr>
              <w:widowControl/>
              <w:jc w:val="center"/>
              <w:textAlignment w:val="top"/>
              <w:rPr>
                <w:color w:val="auto"/>
                <w:kern w:val="0"/>
                <w:szCs w:val="21"/>
                <w:highlight w:val="none"/>
                <w:lang w:bidi="ar"/>
              </w:rPr>
            </w:pPr>
          </w:p>
          <w:p w14:paraId="76B168D1">
            <w:pPr>
              <w:widowControl/>
              <w:jc w:val="center"/>
              <w:textAlignment w:val="top"/>
              <w:rPr>
                <w:color w:val="auto"/>
                <w:kern w:val="0"/>
                <w:szCs w:val="21"/>
                <w:highlight w:val="none"/>
                <w:lang w:bidi="ar"/>
              </w:rPr>
            </w:pPr>
          </w:p>
          <w:p w14:paraId="1B8DAFF4">
            <w:pPr>
              <w:widowControl/>
              <w:jc w:val="center"/>
              <w:textAlignment w:val="top"/>
              <w:rPr>
                <w:color w:val="auto"/>
                <w:kern w:val="0"/>
                <w:szCs w:val="21"/>
                <w:highlight w:val="none"/>
                <w:lang w:bidi="ar"/>
              </w:rPr>
            </w:pPr>
          </w:p>
          <w:p w14:paraId="3AADD785">
            <w:pPr>
              <w:widowControl/>
              <w:jc w:val="center"/>
              <w:textAlignment w:val="top"/>
              <w:rPr>
                <w:color w:val="auto"/>
                <w:kern w:val="0"/>
                <w:szCs w:val="21"/>
                <w:highlight w:val="none"/>
                <w:lang w:bidi="ar"/>
              </w:rPr>
            </w:pPr>
          </w:p>
          <w:p w14:paraId="01A99F6B">
            <w:pPr>
              <w:widowControl/>
              <w:jc w:val="center"/>
              <w:textAlignment w:val="top"/>
              <w:rPr>
                <w:color w:val="auto"/>
                <w:szCs w:val="21"/>
                <w:highlight w:val="none"/>
              </w:rPr>
            </w:pPr>
            <w:r>
              <w:rPr>
                <w:color w:val="auto"/>
                <w:kern w:val="0"/>
                <w:szCs w:val="21"/>
                <w:highlight w:val="none"/>
                <w:lang w:bidi="ar"/>
              </w:rPr>
              <w:t>巡查管理</w:t>
            </w:r>
          </w:p>
        </w:tc>
        <w:tc>
          <w:tcPr>
            <w:tcW w:w="6874" w:type="dxa"/>
            <w:vMerge w:val="restart"/>
            <w:tcBorders>
              <w:top w:val="single" w:color="auto" w:sz="4" w:space="0"/>
              <w:left w:val="single" w:color="auto" w:sz="4" w:space="0"/>
              <w:bottom w:val="single" w:color="auto" w:sz="4" w:space="0"/>
              <w:right w:val="single" w:color="auto" w:sz="4" w:space="0"/>
            </w:tcBorders>
            <w:noWrap w:val="0"/>
            <w:vAlign w:val="top"/>
          </w:tcPr>
          <w:p w14:paraId="6D326E45">
            <w:pPr>
              <w:keepNext w:val="0"/>
              <w:keepLines w:val="0"/>
              <w:pageBreakBefore w:val="0"/>
              <w:widowControl/>
              <w:kinsoku/>
              <w:wordWrap/>
              <w:overflowPunct/>
              <w:topLinePunct w:val="0"/>
              <w:autoSpaceDE/>
              <w:autoSpaceDN/>
              <w:bidi w:val="0"/>
              <w:adjustRightInd/>
              <w:snapToGrid/>
              <w:spacing w:line="320" w:lineRule="exact"/>
              <w:jc w:val="left"/>
              <w:textAlignment w:val="top"/>
              <w:rPr>
                <w:color w:val="auto"/>
                <w:kern w:val="0"/>
                <w:szCs w:val="21"/>
                <w:highlight w:val="none"/>
                <w:lang w:bidi="ar"/>
              </w:rPr>
            </w:pPr>
            <w:r>
              <w:rPr>
                <w:color w:val="auto"/>
                <w:kern w:val="0"/>
                <w:szCs w:val="21"/>
                <w:highlight w:val="none"/>
                <w:lang w:bidi="ar"/>
              </w:rPr>
              <w:t>1.实现监护任务的接收和提醒功能，提供开始巡查、暂停巡查、结束巡查的功能按钮。</w:t>
            </w:r>
            <w:r>
              <w:rPr>
                <w:color w:val="auto"/>
                <w:kern w:val="0"/>
                <w:szCs w:val="21"/>
                <w:highlight w:val="none"/>
                <w:lang w:bidi="ar"/>
              </w:rPr>
              <w:br w:type="textWrapping"/>
            </w:r>
            <w:r>
              <w:rPr>
                <w:color w:val="auto"/>
                <w:kern w:val="0"/>
                <w:szCs w:val="21"/>
                <w:highlight w:val="none"/>
                <w:lang w:bidi="ar"/>
              </w:rPr>
              <w:t>2.实现巡查签到功能：巡查过程中，以巡查人员为中心10M以内的施工项目或车站，自动提示用户进行签到操作，支持自定义指定签到点；</w:t>
            </w:r>
            <w:r>
              <w:rPr>
                <w:color w:val="auto"/>
                <w:kern w:val="0"/>
                <w:szCs w:val="21"/>
                <w:highlight w:val="none"/>
                <w:lang w:bidi="ar"/>
              </w:rPr>
              <w:br w:type="textWrapping"/>
            </w:r>
            <w:r>
              <w:rPr>
                <w:color w:val="auto"/>
                <w:kern w:val="0"/>
                <w:szCs w:val="21"/>
                <w:highlight w:val="none"/>
                <w:lang w:bidi="ar"/>
              </w:rPr>
              <w:t>3.支持查看施工项目明细，包括：项目基本资料，项目名称、项目状态、项目巡查任务开启。</w:t>
            </w:r>
            <w:r>
              <w:rPr>
                <w:color w:val="auto"/>
                <w:kern w:val="0"/>
                <w:szCs w:val="21"/>
                <w:highlight w:val="none"/>
                <w:lang w:bidi="ar"/>
              </w:rPr>
              <w:br w:type="textWrapping"/>
            </w:r>
            <w:r>
              <w:rPr>
                <w:color w:val="auto"/>
                <w:kern w:val="0"/>
                <w:szCs w:val="21"/>
                <w:highlight w:val="none"/>
                <w:lang w:bidi="ar"/>
              </w:rPr>
              <w:t>4.支持系统记录巡查轨迹；设置打卡范围，在范围内进行签到打卡；自动提示签到，系统自动识别进出打卡区域。</w:t>
            </w:r>
            <w:r>
              <w:rPr>
                <w:color w:val="auto"/>
                <w:kern w:val="0"/>
                <w:szCs w:val="21"/>
                <w:highlight w:val="none"/>
                <w:lang w:bidi="ar"/>
              </w:rPr>
              <w:br w:type="textWrapping"/>
            </w:r>
            <w:r>
              <w:rPr>
                <w:color w:val="auto"/>
                <w:kern w:val="0"/>
                <w:szCs w:val="21"/>
                <w:highlight w:val="none"/>
                <w:lang w:bidi="ar"/>
              </w:rPr>
              <w:t>5.支持现场登记项目监护记录、上传现场照片；实现调阅历史现场监护记录、监测信息等相关信息。</w:t>
            </w:r>
          </w:p>
          <w:p w14:paraId="70752224">
            <w:pPr>
              <w:keepNext w:val="0"/>
              <w:keepLines w:val="0"/>
              <w:pageBreakBefore w:val="0"/>
              <w:widowControl/>
              <w:kinsoku/>
              <w:wordWrap/>
              <w:overflowPunct/>
              <w:topLinePunct w:val="0"/>
              <w:autoSpaceDE/>
              <w:autoSpaceDN/>
              <w:bidi w:val="0"/>
              <w:adjustRightInd/>
              <w:snapToGrid/>
              <w:spacing w:line="320" w:lineRule="exact"/>
              <w:jc w:val="left"/>
              <w:textAlignment w:val="top"/>
              <w:rPr>
                <w:color w:val="auto"/>
                <w:szCs w:val="21"/>
                <w:highlight w:val="none"/>
              </w:rPr>
            </w:pPr>
            <w:r>
              <w:rPr>
                <w:color w:val="auto"/>
                <w:kern w:val="0"/>
                <w:szCs w:val="21"/>
                <w:highlight w:val="none"/>
                <w:lang w:bidi="ar"/>
              </w:rPr>
              <w:t>6.支持异常项目定位及测量功能。</w:t>
            </w:r>
          </w:p>
        </w:tc>
      </w:tr>
      <w:tr w14:paraId="508F3172">
        <w:tblPrEx>
          <w:tblCellMar>
            <w:top w:w="0" w:type="dxa"/>
            <w:left w:w="108" w:type="dxa"/>
            <w:bottom w:w="0" w:type="dxa"/>
            <w:right w:w="108" w:type="dxa"/>
          </w:tblCellMar>
        </w:tblPrEx>
        <w:trPr>
          <w:trHeight w:val="285"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top"/>
          </w:tcPr>
          <w:p w14:paraId="7522F6FB">
            <w:pPr>
              <w:jc w:val="center"/>
              <w:rPr>
                <w:color w:val="auto"/>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noWrap w:val="0"/>
            <w:vAlign w:val="top"/>
          </w:tcPr>
          <w:p w14:paraId="71AC5732">
            <w:pPr>
              <w:jc w:val="center"/>
              <w:rPr>
                <w:color w:val="auto"/>
                <w:szCs w:val="21"/>
                <w:highlight w:val="none"/>
              </w:rPr>
            </w:pPr>
          </w:p>
        </w:tc>
        <w:tc>
          <w:tcPr>
            <w:tcW w:w="6874" w:type="dxa"/>
            <w:vMerge w:val="continue"/>
            <w:tcBorders>
              <w:top w:val="single" w:color="auto" w:sz="4" w:space="0"/>
              <w:left w:val="single" w:color="auto" w:sz="4" w:space="0"/>
              <w:bottom w:val="single" w:color="auto" w:sz="4" w:space="0"/>
              <w:right w:val="single" w:color="auto" w:sz="4" w:space="0"/>
            </w:tcBorders>
            <w:noWrap w:val="0"/>
            <w:vAlign w:val="top"/>
          </w:tcPr>
          <w:p w14:paraId="0EC6EF67">
            <w:pPr>
              <w:jc w:val="left"/>
              <w:rPr>
                <w:color w:val="auto"/>
                <w:szCs w:val="21"/>
                <w:highlight w:val="none"/>
              </w:rPr>
            </w:pPr>
          </w:p>
        </w:tc>
      </w:tr>
      <w:tr w14:paraId="6812AF13">
        <w:tblPrEx>
          <w:tblCellMar>
            <w:top w:w="0" w:type="dxa"/>
            <w:left w:w="108" w:type="dxa"/>
            <w:bottom w:w="0" w:type="dxa"/>
            <w:right w:w="108" w:type="dxa"/>
          </w:tblCellMar>
        </w:tblPrEx>
        <w:trPr>
          <w:trHeight w:val="285"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top"/>
          </w:tcPr>
          <w:p w14:paraId="477AA8D2">
            <w:pPr>
              <w:jc w:val="center"/>
              <w:rPr>
                <w:color w:val="auto"/>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noWrap w:val="0"/>
            <w:vAlign w:val="top"/>
          </w:tcPr>
          <w:p w14:paraId="6245FF4D">
            <w:pPr>
              <w:jc w:val="center"/>
              <w:rPr>
                <w:color w:val="auto"/>
                <w:szCs w:val="21"/>
                <w:highlight w:val="none"/>
              </w:rPr>
            </w:pPr>
          </w:p>
        </w:tc>
        <w:tc>
          <w:tcPr>
            <w:tcW w:w="6874" w:type="dxa"/>
            <w:vMerge w:val="continue"/>
            <w:tcBorders>
              <w:top w:val="single" w:color="auto" w:sz="4" w:space="0"/>
              <w:left w:val="single" w:color="auto" w:sz="4" w:space="0"/>
              <w:bottom w:val="single" w:color="auto" w:sz="4" w:space="0"/>
              <w:right w:val="single" w:color="auto" w:sz="4" w:space="0"/>
            </w:tcBorders>
            <w:noWrap w:val="0"/>
            <w:vAlign w:val="top"/>
          </w:tcPr>
          <w:p w14:paraId="71757483">
            <w:pPr>
              <w:jc w:val="left"/>
              <w:rPr>
                <w:color w:val="auto"/>
                <w:szCs w:val="21"/>
                <w:highlight w:val="none"/>
              </w:rPr>
            </w:pPr>
          </w:p>
        </w:tc>
      </w:tr>
      <w:tr w14:paraId="5344CA57">
        <w:tblPrEx>
          <w:tblCellMar>
            <w:top w:w="0" w:type="dxa"/>
            <w:left w:w="108" w:type="dxa"/>
            <w:bottom w:w="0" w:type="dxa"/>
            <w:right w:w="108" w:type="dxa"/>
          </w:tblCellMar>
        </w:tblPrEx>
        <w:trPr>
          <w:trHeight w:val="285"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top"/>
          </w:tcPr>
          <w:p w14:paraId="5518FDE1">
            <w:pPr>
              <w:jc w:val="center"/>
              <w:rPr>
                <w:color w:val="auto"/>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noWrap w:val="0"/>
            <w:vAlign w:val="top"/>
          </w:tcPr>
          <w:p w14:paraId="3677BDA7">
            <w:pPr>
              <w:jc w:val="center"/>
              <w:rPr>
                <w:color w:val="auto"/>
                <w:szCs w:val="21"/>
                <w:highlight w:val="none"/>
              </w:rPr>
            </w:pPr>
          </w:p>
        </w:tc>
        <w:tc>
          <w:tcPr>
            <w:tcW w:w="6874" w:type="dxa"/>
            <w:vMerge w:val="continue"/>
            <w:tcBorders>
              <w:top w:val="single" w:color="auto" w:sz="4" w:space="0"/>
              <w:left w:val="single" w:color="auto" w:sz="4" w:space="0"/>
              <w:bottom w:val="single" w:color="auto" w:sz="4" w:space="0"/>
              <w:right w:val="single" w:color="auto" w:sz="4" w:space="0"/>
            </w:tcBorders>
            <w:noWrap w:val="0"/>
            <w:vAlign w:val="top"/>
          </w:tcPr>
          <w:p w14:paraId="43FFD100">
            <w:pPr>
              <w:jc w:val="left"/>
              <w:rPr>
                <w:color w:val="auto"/>
                <w:szCs w:val="21"/>
                <w:highlight w:val="none"/>
              </w:rPr>
            </w:pPr>
          </w:p>
        </w:tc>
      </w:tr>
      <w:tr w14:paraId="31563C7E">
        <w:tblPrEx>
          <w:tblCellMar>
            <w:top w:w="0" w:type="dxa"/>
            <w:left w:w="108" w:type="dxa"/>
            <w:bottom w:w="0" w:type="dxa"/>
            <w:right w:w="108" w:type="dxa"/>
          </w:tblCellMar>
        </w:tblPrEx>
        <w:trPr>
          <w:trHeight w:val="285"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top"/>
          </w:tcPr>
          <w:p w14:paraId="61D8B521">
            <w:pPr>
              <w:jc w:val="center"/>
              <w:rPr>
                <w:color w:val="auto"/>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noWrap w:val="0"/>
            <w:vAlign w:val="top"/>
          </w:tcPr>
          <w:p w14:paraId="5A4D1DAB">
            <w:pPr>
              <w:jc w:val="center"/>
              <w:rPr>
                <w:color w:val="auto"/>
                <w:szCs w:val="21"/>
                <w:highlight w:val="none"/>
              </w:rPr>
            </w:pPr>
          </w:p>
        </w:tc>
        <w:tc>
          <w:tcPr>
            <w:tcW w:w="6874" w:type="dxa"/>
            <w:vMerge w:val="continue"/>
            <w:tcBorders>
              <w:top w:val="single" w:color="auto" w:sz="4" w:space="0"/>
              <w:left w:val="single" w:color="auto" w:sz="4" w:space="0"/>
              <w:bottom w:val="single" w:color="auto" w:sz="4" w:space="0"/>
              <w:right w:val="single" w:color="auto" w:sz="4" w:space="0"/>
            </w:tcBorders>
            <w:noWrap w:val="0"/>
            <w:vAlign w:val="top"/>
          </w:tcPr>
          <w:p w14:paraId="18C5D5FA">
            <w:pPr>
              <w:jc w:val="left"/>
              <w:rPr>
                <w:color w:val="auto"/>
                <w:szCs w:val="21"/>
                <w:highlight w:val="none"/>
              </w:rPr>
            </w:pPr>
          </w:p>
        </w:tc>
      </w:tr>
      <w:tr w14:paraId="19BA8411">
        <w:tblPrEx>
          <w:tblCellMar>
            <w:top w:w="0" w:type="dxa"/>
            <w:left w:w="108" w:type="dxa"/>
            <w:bottom w:w="0" w:type="dxa"/>
            <w:right w:w="108" w:type="dxa"/>
          </w:tblCellMar>
        </w:tblPrEx>
        <w:trPr>
          <w:trHeight w:val="285"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top"/>
          </w:tcPr>
          <w:p w14:paraId="64785E62">
            <w:pPr>
              <w:jc w:val="center"/>
              <w:rPr>
                <w:color w:val="auto"/>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noWrap w:val="0"/>
            <w:vAlign w:val="top"/>
          </w:tcPr>
          <w:p w14:paraId="1BD1024A">
            <w:pPr>
              <w:jc w:val="center"/>
              <w:rPr>
                <w:color w:val="auto"/>
                <w:szCs w:val="21"/>
                <w:highlight w:val="none"/>
              </w:rPr>
            </w:pPr>
          </w:p>
        </w:tc>
        <w:tc>
          <w:tcPr>
            <w:tcW w:w="6874" w:type="dxa"/>
            <w:vMerge w:val="continue"/>
            <w:tcBorders>
              <w:top w:val="single" w:color="auto" w:sz="4" w:space="0"/>
              <w:left w:val="single" w:color="auto" w:sz="4" w:space="0"/>
              <w:bottom w:val="single" w:color="auto" w:sz="4" w:space="0"/>
              <w:right w:val="single" w:color="auto" w:sz="4" w:space="0"/>
            </w:tcBorders>
            <w:noWrap w:val="0"/>
            <w:vAlign w:val="top"/>
          </w:tcPr>
          <w:p w14:paraId="05ED0DD7">
            <w:pPr>
              <w:jc w:val="left"/>
              <w:rPr>
                <w:color w:val="auto"/>
                <w:szCs w:val="21"/>
                <w:highlight w:val="none"/>
              </w:rPr>
            </w:pPr>
          </w:p>
        </w:tc>
      </w:tr>
      <w:tr w14:paraId="6E4C40C6">
        <w:tblPrEx>
          <w:tblCellMar>
            <w:top w:w="0" w:type="dxa"/>
            <w:left w:w="108" w:type="dxa"/>
            <w:bottom w:w="0" w:type="dxa"/>
            <w:right w:w="108" w:type="dxa"/>
          </w:tblCellMar>
        </w:tblPrEx>
        <w:trPr>
          <w:trHeight w:val="285"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top"/>
          </w:tcPr>
          <w:p w14:paraId="4F32B684">
            <w:pPr>
              <w:jc w:val="center"/>
              <w:rPr>
                <w:color w:val="auto"/>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noWrap w:val="0"/>
            <w:vAlign w:val="top"/>
          </w:tcPr>
          <w:p w14:paraId="6E57BBF1">
            <w:pPr>
              <w:jc w:val="center"/>
              <w:rPr>
                <w:color w:val="auto"/>
                <w:szCs w:val="21"/>
                <w:highlight w:val="none"/>
              </w:rPr>
            </w:pPr>
          </w:p>
        </w:tc>
        <w:tc>
          <w:tcPr>
            <w:tcW w:w="6874" w:type="dxa"/>
            <w:vMerge w:val="continue"/>
            <w:tcBorders>
              <w:top w:val="single" w:color="auto" w:sz="4" w:space="0"/>
              <w:left w:val="single" w:color="auto" w:sz="4" w:space="0"/>
              <w:bottom w:val="single" w:color="auto" w:sz="4" w:space="0"/>
              <w:right w:val="single" w:color="auto" w:sz="4" w:space="0"/>
            </w:tcBorders>
            <w:noWrap w:val="0"/>
            <w:vAlign w:val="top"/>
          </w:tcPr>
          <w:p w14:paraId="798C6039">
            <w:pPr>
              <w:jc w:val="left"/>
              <w:rPr>
                <w:color w:val="auto"/>
                <w:szCs w:val="21"/>
                <w:highlight w:val="none"/>
              </w:rPr>
            </w:pPr>
          </w:p>
        </w:tc>
      </w:tr>
      <w:tr w14:paraId="648E2A11">
        <w:tblPrEx>
          <w:tblCellMar>
            <w:top w:w="0" w:type="dxa"/>
            <w:left w:w="108" w:type="dxa"/>
            <w:bottom w:w="0" w:type="dxa"/>
            <w:right w:w="108" w:type="dxa"/>
          </w:tblCellMar>
        </w:tblPrEx>
        <w:trPr>
          <w:trHeight w:val="285"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top"/>
          </w:tcPr>
          <w:p w14:paraId="1B1D804B">
            <w:pPr>
              <w:jc w:val="center"/>
              <w:rPr>
                <w:color w:val="auto"/>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noWrap w:val="0"/>
            <w:vAlign w:val="top"/>
          </w:tcPr>
          <w:p w14:paraId="01647F67">
            <w:pPr>
              <w:jc w:val="center"/>
              <w:rPr>
                <w:color w:val="auto"/>
                <w:szCs w:val="21"/>
                <w:highlight w:val="none"/>
              </w:rPr>
            </w:pPr>
          </w:p>
        </w:tc>
        <w:tc>
          <w:tcPr>
            <w:tcW w:w="6874" w:type="dxa"/>
            <w:vMerge w:val="continue"/>
            <w:tcBorders>
              <w:top w:val="single" w:color="auto" w:sz="4" w:space="0"/>
              <w:left w:val="single" w:color="auto" w:sz="4" w:space="0"/>
              <w:bottom w:val="single" w:color="auto" w:sz="4" w:space="0"/>
              <w:right w:val="single" w:color="auto" w:sz="4" w:space="0"/>
            </w:tcBorders>
            <w:noWrap w:val="0"/>
            <w:vAlign w:val="top"/>
          </w:tcPr>
          <w:p w14:paraId="113ABC09">
            <w:pPr>
              <w:jc w:val="left"/>
              <w:rPr>
                <w:color w:val="auto"/>
                <w:szCs w:val="21"/>
                <w:highlight w:val="none"/>
              </w:rPr>
            </w:pPr>
          </w:p>
        </w:tc>
      </w:tr>
      <w:tr w14:paraId="334EC265">
        <w:tblPrEx>
          <w:tblCellMar>
            <w:top w:w="0" w:type="dxa"/>
            <w:left w:w="108" w:type="dxa"/>
            <w:bottom w:w="0" w:type="dxa"/>
            <w:right w:w="108" w:type="dxa"/>
          </w:tblCellMar>
        </w:tblPrEx>
        <w:trPr>
          <w:trHeight w:val="285"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top"/>
          </w:tcPr>
          <w:p w14:paraId="4BBC2586">
            <w:pPr>
              <w:jc w:val="center"/>
              <w:rPr>
                <w:color w:val="auto"/>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noWrap w:val="0"/>
            <w:vAlign w:val="top"/>
          </w:tcPr>
          <w:p w14:paraId="0067912C">
            <w:pPr>
              <w:jc w:val="center"/>
              <w:rPr>
                <w:color w:val="auto"/>
                <w:szCs w:val="21"/>
                <w:highlight w:val="none"/>
              </w:rPr>
            </w:pPr>
          </w:p>
        </w:tc>
        <w:tc>
          <w:tcPr>
            <w:tcW w:w="6874" w:type="dxa"/>
            <w:vMerge w:val="continue"/>
            <w:tcBorders>
              <w:top w:val="single" w:color="auto" w:sz="4" w:space="0"/>
              <w:left w:val="single" w:color="auto" w:sz="4" w:space="0"/>
              <w:bottom w:val="single" w:color="auto" w:sz="4" w:space="0"/>
              <w:right w:val="single" w:color="auto" w:sz="4" w:space="0"/>
            </w:tcBorders>
            <w:noWrap w:val="0"/>
            <w:vAlign w:val="top"/>
          </w:tcPr>
          <w:p w14:paraId="3EAC3C91">
            <w:pPr>
              <w:jc w:val="left"/>
              <w:rPr>
                <w:color w:val="auto"/>
                <w:szCs w:val="21"/>
                <w:highlight w:val="none"/>
              </w:rPr>
            </w:pPr>
          </w:p>
        </w:tc>
      </w:tr>
      <w:tr w14:paraId="7D96448A">
        <w:tblPrEx>
          <w:tblCellMar>
            <w:top w:w="0" w:type="dxa"/>
            <w:left w:w="108" w:type="dxa"/>
            <w:bottom w:w="0" w:type="dxa"/>
            <w:right w:w="108" w:type="dxa"/>
          </w:tblCellMar>
        </w:tblPrEx>
        <w:trPr>
          <w:trHeight w:val="270"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top"/>
          </w:tcPr>
          <w:p w14:paraId="22FC3F05">
            <w:pPr>
              <w:jc w:val="center"/>
              <w:rPr>
                <w:color w:val="auto"/>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noWrap w:val="0"/>
            <w:vAlign w:val="top"/>
          </w:tcPr>
          <w:p w14:paraId="358597A6">
            <w:pPr>
              <w:jc w:val="center"/>
              <w:rPr>
                <w:color w:val="auto"/>
                <w:szCs w:val="21"/>
                <w:highlight w:val="none"/>
              </w:rPr>
            </w:pPr>
          </w:p>
        </w:tc>
        <w:tc>
          <w:tcPr>
            <w:tcW w:w="6874" w:type="dxa"/>
            <w:vMerge w:val="continue"/>
            <w:tcBorders>
              <w:top w:val="single" w:color="auto" w:sz="4" w:space="0"/>
              <w:left w:val="single" w:color="auto" w:sz="4" w:space="0"/>
              <w:bottom w:val="single" w:color="auto" w:sz="4" w:space="0"/>
              <w:right w:val="single" w:color="auto" w:sz="4" w:space="0"/>
            </w:tcBorders>
            <w:noWrap w:val="0"/>
            <w:vAlign w:val="top"/>
          </w:tcPr>
          <w:p w14:paraId="5CD4DA58">
            <w:pPr>
              <w:jc w:val="left"/>
              <w:rPr>
                <w:color w:val="auto"/>
                <w:szCs w:val="21"/>
                <w:highlight w:val="none"/>
              </w:rPr>
            </w:pPr>
          </w:p>
        </w:tc>
      </w:tr>
      <w:tr w14:paraId="7D2C9C38">
        <w:tblPrEx>
          <w:tblCellMar>
            <w:top w:w="0" w:type="dxa"/>
            <w:left w:w="108" w:type="dxa"/>
            <w:bottom w:w="0" w:type="dxa"/>
            <w:right w:w="108" w:type="dxa"/>
          </w:tblCellMar>
        </w:tblPrEx>
        <w:trPr>
          <w:trHeight w:val="697"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top"/>
          </w:tcPr>
          <w:p w14:paraId="6DBC5F06">
            <w:pPr>
              <w:jc w:val="center"/>
              <w:rPr>
                <w:color w:val="auto"/>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noWrap w:val="0"/>
            <w:vAlign w:val="top"/>
          </w:tcPr>
          <w:p w14:paraId="190673EB">
            <w:pPr>
              <w:jc w:val="center"/>
              <w:rPr>
                <w:color w:val="auto"/>
                <w:szCs w:val="21"/>
                <w:highlight w:val="none"/>
              </w:rPr>
            </w:pPr>
          </w:p>
        </w:tc>
        <w:tc>
          <w:tcPr>
            <w:tcW w:w="6874" w:type="dxa"/>
            <w:vMerge w:val="continue"/>
            <w:tcBorders>
              <w:top w:val="single" w:color="auto" w:sz="4" w:space="0"/>
              <w:left w:val="single" w:color="auto" w:sz="4" w:space="0"/>
              <w:bottom w:val="single" w:color="auto" w:sz="4" w:space="0"/>
              <w:right w:val="single" w:color="auto" w:sz="4" w:space="0"/>
            </w:tcBorders>
            <w:noWrap w:val="0"/>
            <w:vAlign w:val="top"/>
          </w:tcPr>
          <w:p w14:paraId="5AD8F4E6">
            <w:pPr>
              <w:jc w:val="left"/>
              <w:rPr>
                <w:color w:val="auto"/>
                <w:szCs w:val="21"/>
                <w:highlight w:val="none"/>
              </w:rPr>
            </w:pPr>
          </w:p>
        </w:tc>
      </w:tr>
      <w:tr w14:paraId="5F59440D">
        <w:tblPrEx>
          <w:tblCellMar>
            <w:top w:w="0" w:type="dxa"/>
            <w:left w:w="108" w:type="dxa"/>
            <w:bottom w:w="0" w:type="dxa"/>
            <w:right w:w="108" w:type="dxa"/>
          </w:tblCellMar>
        </w:tblPrEx>
        <w:trPr>
          <w:trHeight w:val="270" w:hRule="atLeast"/>
        </w:trPr>
        <w:tc>
          <w:tcPr>
            <w:tcW w:w="832" w:type="dxa"/>
            <w:vMerge w:val="restart"/>
            <w:tcBorders>
              <w:top w:val="single" w:color="auto" w:sz="4" w:space="0"/>
              <w:left w:val="single" w:color="auto" w:sz="4" w:space="0"/>
              <w:bottom w:val="single" w:color="auto" w:sz="4" w:space="0"/>
              <w:right w:val="single" w:color="auto" w:sz="4" w:space="0"/>
            </w:tcBorders>
            <w:noWrap w:val="0"/>
            <w:vAlign w:val="top"/>
          </w:tcPr>
          <w:p w14:paraId="33BE1EAD">
            <w:pPr>
              <w:widowControl/>
              <w:jc w:val="center"/>
              <w:textAlignment w:val="top"/>
              <w:rPr>
                <w:color w:val="auto"/>
                <w:kern w:val="0"/>
                <w:szCs w:val="21"/>
                <w:highlight w:val="none"/>
                <w:lang w:bidi="ar"/>
              </w:rPr>
            </w:pPr>
          </w:p>
          <w:p w14:paraId="6BEA45F0">
            <w:pPr>
              <w:widowControl/>
              <w:textAlignment w:val="top"/>
              <w:rPr>
                <w:color w:val="auto"/>
                <w:kern w:val="0"/>
                <w:szCs w:val="21"/>
                <w:highlight w:val="none"/>
                <w:lang w:bidi="ar"/>
              </w:rPr>
            </w:pPr>
          </w:p>
          <w:p w14:paraId="433264E1">
            <w:pPr>
              <w:widowControl/>
              <w:jc w:val="center"/>
              <w:textAlignment w:val="top"/>
              <w:rPr>
                <w:color w:val="auto"/>
                <w:szCs w:val="21"/>
                <w:highlight w:val="none"/>
              </w:rPr>
            </w:pPr>
            <w:r>
              <w:rPr>
                <w:color w:val="auto"/>
                <w:kern w:val="0"/>
                <w:szCs w:val="21"/>
                <w:highlight w:val="none"/>
                <w:lang w:bidi="ar"/>
              </w:rPr>
              <w:t>3</w:t>
            </w:r>
          </w:p>
        </w:tc>
        <w:tc>
          <w:tcPr>
            <w:tcW w:w="1580" w:type="dxa"/>
            <w:vMerge w:val="restart"/>
            <w:tcBorders>
              <w:top w:val="single" w:color="auto" w:sz="4" w:space="0"/>
              <w:left w:val="single" w:color="auto" w:sz="4" w:space="0"/>
              <w:bottom w:val="single" w:color="auto" w:sz="4" w:space="0"/>
              <w:right w:val="single" w:color="auto" w:sz="4" w:space="0"/>
            </w:tcBorders>
            <w:noWrap w:val="0"/>
            <w:vAlign w:val="top"/>
          </w:tcPr>
          <w:p w14:paraId="133CCC2A">
            <w:pPr>
              <w:widowControl/>
              <w:jc w:val="center"/>
              <w:textAlignment w:val="top"/>
              <w:rPr>
                <w:color w:val="auto"/>
                <w:kern w:val="0"/>
                <w:szCs w:val="21"/>
                <w:highlight w:val="none"/>
                <w:lang w:bidi="ar"/>
              </w:rPr>
            </w:pPr>
          </w:p>
          <w:p w14:paraId="54DF441D">
            <w:pPr>
              <w:widowControl/>
              <w:jc w:val="center"/>
              <w:textAlignment w:val="top"/>
              <w:rPr>
                <w:color w:val="auto"/>
                <w:kern w:val="0"/>
                <w:szCs w:val="21"/>
                <w:highlight w:val="none"/>
                <w:lang w:bidi="ar"/>
              </w:rPr>
            </w:pPr>
          </w:p>
          <w:p w14:paraId="2915F128">
            <w:pPr>
              <w:widowControl/>
              <w:jc w:val="center"/>
              <w:textAlignment w:val="top"/>
              <w:rPr>
                <w:color w:val="auto"/>
                <w:szCs w:val="21"/>
                <w:highlight w:val="none"/>
              </w:rPr>
            </w:pPr>
            <w:r>
              <w:rPr>
                <w:color w:val="auto"/>
                <w:kern w:val="0"/>
                <w:szCs w:val="21"/>
                <w:highlight w:val="none"/>
                <w:lang w:bidi="ar"/>
              </w:rPr>
              <w:t>违规项目管理</w:t>
            </w:r>
          </w:p>
        </w:tc>
        <w:tc>
          <w:tcPr>
            <w:tcW w:w="6874" w:type="dxa"/>
            <w:vMerge w:val="restart"/>
            <w:tcBorders>
              <w:top w:val="single" w:color="auto" w:sz="4" w:space="0"/>
              <w:left w:val="single" w:color="auto" w:sz="4" w:space="0"/>
              <w:bottom w:val="single" w:color="auto" w:sz="4" w:space="0"/>
              <w:right w:val="single" w:color="auto" w:sz="4" w:space="0"/>
            </w:tcBorders>
            <w:noWrap w:val="0"/>
            <w:vAlign w:val="top"/>
          </w:tcPr>
          <w:p w14:paraId="68860176">
            <w:pPr>
              <w:widowControl/>
              <w:jc w:val="left"/>
              <w:textAlignment w:val="top"/>
              <w:rPr>
                <w:color w:val="auto"/>
                <w:szCs w:val="21"/>
                <w:highlight w:val="none"/>
              </w:rPr>
            </w:pPr>
            <w:r>
              <w:rPr>
                <w:color w:val="auto"/>
                <w:kern w:val="0"/>
                <w:szCs w:val="21"/>
                <w:highlight w:val="none"/>
                <w:lang w:bidi="ar"/>
              </w:rPr>
              <w:t>1.违规项目上报：内容包括不限于项目名称、建设单位、施工单位、联系人、联系电话、项目概况、项目位置、现场图片，上报后，在PC端和APP端可进行查看，支持对违规项目进行持续性跟进。</w:t>
            </w:r>
            <w:r>
              <w:rPr>
                <w:color w:val="auto"/>
                <w:kern w:val="0"/>
                <w:szCs w:val="21"/>
                <w:highlight w:val="none"/>
                <w:lang w:bidi="ar"/>
              </w:rPr>
              <w:br w:type="textWrapping"/>
            </w:r>
            <w:r>
              <w:rPr>
                <w:color w:val="auto"/>
                <w:kern w:val="0"/>
                <w:szCs w:val="21"/>
                <w:highlight w:val="none"/>
                <w:lang w:bidi="ar"/>
              </w:rPr>
              <w:t>2.对违规项目进行全过程管理。</w:t>
            </w:r>
            <w:r>
              <w:rPr>
                <w:color w:val="auto"/>
                <w:kern w:val="0"/>
                <w:szCs w:val="21"/>
                <w:highlight w:val="none"/>
                <w:lang w:bidi="ar"/>
              </w:rPr>
              <w:br w:type="textWrapping"/>
            </w:r>
            <w:r>
              <w:rPr>
                <w:color w:val="auto"/>
                <w:kern w:val="0"/>
                <w:szCs w:val="21"/>
                <w:highlight w:val="none"/>
                <w:lang w:bidi="ar"/>
              </w:rPr>
              <w:t>3.能够查阅、复核所有违规项目过程中的附件资料信息、显示每个阶段的所有信息，对违规项目全过程跟踪。</w:t>
            </w:r>
          </w:p>
        </w:tc>
      </w:tr>
      <w:tr w14:paraId="31AAE60F">
        <w:tblPrEx>
          <w:tblCellMar>
            <w:top w:w="0" w:type="dxa"/>
            <w:left w:w="108" w:type="dxa"/>
            <w:bottom w:w="0" w:type="dxa"/>
            <w:right w:w="108" w:type="dxa"/>
          </w:tblCellMar>
        </w:tblPrEx>
        <w:trPr>
          <w:trHeight w:val="1443"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top"/>
          </w:tcPr>
          <w:p w14:paraId="429170BD">
            <w:pPr>
              <w:jc w:val="center"/>
              <w:rPr>
                <w:color w:val="auto"/>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noWrap w:val="0"/>
            <w:vAlign w:val="top"/>
          </w:tcPr>
          <w:p w14:paraId="499A07B1">
            <w:pPr>
              <w:jc w:val="center"/>
              <w:rPr>
                <w:color w:val="auto"/>
                <w:szCs w:val="21"/>
                <w:highlight w:val="none"/>
              </w:rPr>
            </w:pPr>
          </w:p>
        </w:tc>
        <w:tc>
          <w:tcPr>
            <w:tcW w:w="6874" w:type="dxa"/>
            <w:vMerge w:val="continue"/>
            <w:tcBorders>
              <w:top w:val="single" w:color="auto" w:sz="4" w:space="0"/>
              <w:left w:val="single" w:color="auto" w:sz="4" w:space="0"/>
              <w:bottom w:val="single" w:color="auto" w:sz="4" w:space="0"/>
              <w:right w:val="single" w:color="auto" w:sz="4" w:space="0"/>
            </w:tcBorders>
            <w:noWrap w:val="0"/>
            <w:vAlign w:val="top"/>
          </w:tcPr>
          <w:p w14:paraId="6F242227">
            <w:pPr>
              <w:jc w:val="left"/>
              <w:rPr>
                <w:color w:val="auto"/>
                <w:szCs w:val="21"/>
                <w:highlight w:val="none"/>
              </w:rPr>
            </w:pPr>
          </w:p>
        </w:tc>
      </w:tr>
      <w:tr w14:paraId="33285A7A">
        <w:tblPrEx>
          <w:tblCellMar>
            <w:top w:w="0" w:type="dxa"/>
            <w:left w:w="108" w:type="dxa"/>
            <w:bottom w:w="0" w:type="dxa"/>
            <w:right w:w="108" w:type="dxa"/>
          </w:tblCellMar>
        </w:tblPrEx>
        <w:trPr>
          <w:trHeight w:val="525" w:hRule="atLeast"/>
        </w:trPr>
        <w:tc>
          <w:tcPr>
            <w:tcW w:w="832" w:type="dxa"/>
            <w:tcBorders>
              <w:top w:val="single" w:color="auto" w:sz="4" w:space="0"/>
              <w:left w:val="single" w:color="auto" w:sz="4" w:space="0"/>
              <w:bottom w:val="single" w:color="auto" w:sz="4" w:space="0"/>
              <w:right w:val="single" w:color="auto" w:sz="4" w:space="0"/>
            </w:tcBorders>
            <w:noWrap w:val="0"/>
            <w:vAlign w:val="top"/>
          </w:tcPr>
          <w:p w14:paraId="7DCCBFEE">
            <w:pPr>
              <w:widowControl/>
              <w:jc w:val="center"/>
              <w:textAlignment w:val="top"/>
              <w:rPr>
                <w:strike/>
                <w:color w:val="auto"/>
                <w:szCs w:val="21"/>
                <w:highlight w:val="none"/>
              </w:rPr>
            </w:pPr>
            <w:r>
              <w:rPr>
                <w:strike/>
                <w:color w:val="auto"/>
                <w:kern w:val="0"/>
                <w:szCs w:val="21"/>
                <w:highlight w:val="none"/>
                <w:lang w:bidi="ar"/>
              </w:rPr>
              <w:t>4</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71D258EC">
            <w:pPr>
              <w:widowControl/>
              <w:jc w:val="center"/>
              <w:textAlignment w:val="top"/>
              <w:rPr>
                <w:color w:val="auto"/>
                <w:szCs w:val="21"/>
                <w:highlight w:val="none"/>
              </w:rPr>
            </w:pPr>
            <w:r>
              <w:rPr>
                <w:color w:val="auto"/>
                <w:kern w:val="0"/>
                <w:szCs w:val="21"/>
                <w:highlight w:val="none"/>
                <w:lang w:bidi="ar"/>
              </w:rPr>
              <w:t>监测信息</w:t>
            </w:r>
          </w:p>
        </w:tc>
        <w:tc>
          <w:tcPr>
            <w:tcW w:w="6874" w:type="dxa"/>
            <w:tcBorders>
              <w:top w:val="single" w:color="auto" w:sz="4" w:space="0"/>
              <w:left w:val="single" w:color="auto" w:sz="4" w:space="0"/>
              <w:bottom w:val="single" w:color="auto" w:sz="4" w:space="0"/>
              <w:right w:val="single" w:color="auto" w:sz="4" w:space="0"/>
            </w:tcBorders>
            <w:noWrap w:val="0"/>
            <w:vAlign w:val="top"/>
          </w:tcPr>
          <w:p w14:paraId="39BF43D8">
            <w:pPr>
              <w:widowControl/>
              <w:jc w:val="left"/>
              <w:textAlignment w:val="top"/>
              <w:rPr>
                <w:color w:val="auto"/>
                <w:szCs w:val="21"/>
                <w:highlight w:val="none"/>
              </w:rPr>
            </w:pPr>
            <w:r>
              <w:rPr>
                <w:color w:val="auto"/>
                <w:kern w:val="0"/>
                <w:szCs w:val="21"/>
                <w:highlight w:val="none"/>
                <w:lang w:bidi="ar"/>
              </w:rPr>
              <w:t>实现查看及处置第三方监测预警信息，实现查看视频和回放录像。</w:t>
            </w:r>
          </w:p>
        </w:tc>
      </w:tr>
      <w:tr w14:paraId="792DDBF2">
        <w:tblPrEx>
          <w:tblCellMar>
            <w:top w:w="0" w:type="dxa"/>
            <w:left w:w="108" w:type="dxa"/>
            <w:bottom w:w="0" w:type="dxa"/>
            <w:right w:w="108" w:type="dxa"/>
          </w:tblCellMar>
        </w:tblPrEx>
        <w:trPr>
          <w:trHeight w:val="270" w:hRule="atLeast"/>
        </w:trPr>
        <w:tc>
          <w:tcPr>
            <w:tcW w:w="832" w:type="dxa"/>
            <w:vMerge w:val="restart"/>
            <w:tcBorders>
              <w:top w:val="single" w:color="auto" w:sz="4" w:space="0"/>
              <w:left w:val="single" w:color="auto" w:sz="4" w:space="0"/>
              <w:bottom w:val="single" w:color="auto" w:sz="4" w:space="0"/>
              <w:right w:val="single" w:color="auto" w:sz="4" w:space="0"/>
            </w:tcBorders>
            <w:noWrap w:val="0"/>
            <w:vAlign w:val="top"/>
          </w:tcPr>
          <w:p w14:paraId="5031A2D0">
            <w:pPr>
              <w:widowControl/>
              <w:jc w:val="center"/>
              <w:textAlignment w:val="top"/>
              <w:rPr>
                <w:strike/>
                <w:color w:val="auto"/>
                <w:szCs w:val="21"/>
                <w:highlight w:val="none"/>
              </w:rPr>
            </w:pPr>
            <w:r>
              <w:rPr>
                <w:color w:val="auto"/>
                <w:kern w:val="0"/>
                <w:szCs w:val="21"/>
                <w:highlight w:val="none"/>
                <w:lang w:bidi="ar"/>
              </w:rPr>
              <w:t>5</w:t>
            </w:r>
          </w:p>
        </w:tc>
        <w:tc>
          <w:tcPr>
            <w:tcW w:w="1580" w:type="dxa"/>
            <w:vMerge w:val="restart"/>
            <w:tcBorders>
              <w:top w:val="single" w:color="auto" w:sz="4" w:space="0"/>
              <w:left w:val="single" w:color="auto" w:sz="4" w:space="0"/>
              <w:bottom w:val="single" w:color="auto" w:sz="4" w:space="0"/>
              <w:right w:val="single" w:color="auto" w:sz="4" w:space="0"/>
            </w:tcBorders>
            <w:noWrap w:val="0"/>
            <w:vAlign w:val="top"/>
          </w:tcPr>
          <w:p w14:paraId="56D68579">
            <w:pPr>
              <w:widowControl/>
              <w:jc w:val="center"/>
              <w:textAlignment w:val="top"/>
              <w:rPr>
                <w:color w:val="auto"/>
                <w:kern w:val="0"/>
                <w:szCs w:val="21"/>
                <w:highlight w:val="none"/>
                <w:lang w:bidi="ar"/>
              </w:rPr>
            </w:pPr>
            <w:r>
              <w:rPr>
                <w:color w:val="auto"/>
                <w:kern w:val="0"/>
                <w:szCs w:val="21"/>
                <w:highlight w:val="none"/>
                <w:lang w:bidi="ar"/>
              </w:rPr>
              <w:t>风险辨识及隐患排查</w:t>
            </w:r>
          </w:p>
        </w:tc>
        <w:tc>
          <w:tcPr>
            <w:tcW w:w="6874" w:type="dxa"/>
            <w:vMerge w:val="restart"/>
            <w:tcBorders>
              <w:top w:val="single" w:color="auto" w:sz="4" w:space="0"/>
              <w:left w:val="single" w:color="auto" w:sz="4" w:space="0"/>
              <w:bottom w:val="single" w:color="auto" w:sz="4" w:space="0"/>
              <w:right w:val="single" w:color="auto" w:sz="4" w:space="0"/>
            </w:tcBorders>
            <w:noWrap w:val="0"/>
            <w:vAlign w:val="top"/>
          </w:tcPr>
          <w:p w14:paraId="6290BDE2">
            <w:pPr>
              <w:widowControl/>
              <w:jc w:val="left"/>
              <w:textAlignment w:val="top"/>
              <w:rPr>
                <w:color w:val="auto"/>
                <w:kern w:val="0"/>
                <w:szCs w:val="21"/>
                <w:highlight w:val="none"/>
                <w:lang w:bidi="ar"/>
              </w:rPr>
            </w:pPr>
            <w:r>
              <w:rPr>
                <w:color w:val="auto"/>
                <w:kern w:val="0"/>
                <w:szCs w:val="21"/>
                <w:highlight w:val="none"/>
                <w:lang w:bidi="ar"/>
              </w:rPr>
              <w:t>支持查看地保项目风险辨识清单和隐患排查治理跟踪表。</w:t>
            </w:r>
          </w:p>
        </w:tc>
      </w:tr>
      <w:tr w14:paraId="58BF59B9">
        <w:tblPrEx>
          <w:tblCellMar>
            <w:top w:w="0" w:type="dxa"/>
            <w:left w:w="108" w:type="dxa"/>
            <w:bottom w:w="0" w:type="dxa"/>
            <w:right w:w="108" w:type="dxa"/>
          </w:tblCellMar>
        </w:tblPrEx>
        <w:trPr>
          <w:trHeight w:val="312"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top"/>
          </w:tcPr>
          <w:p w14:paraId="06C569E8">
            <w:pPr>
              <w:jc w:val="center"/>
              <w:rPr>
                <w:strike/>
                <w:color w:val="auto"/>
                <w:szCs w:val="21"/>
                <w:highlight w:val="none"/>
              </w:rPr>
            </w:pPr>
          </w:p>
        </w:tc>
        <w:tc>
          <w:tcPr>
            <w:tcW w:w="1580" w:type="dxa"/>
            <w:vMerge w:val="continue"/>
            <w:tcBorders>
              <w:top w:val="single" w:color="auto" w:sz="4" w:space="0"/>
              <w:left w:val="single" w:color="auto" w:sz="4" w:space="0"/>
              <w:bottom w:val="single" w:color="auto" w:sz="4" w:space="0"/>
              <w:right w:val="single" w:color="auto" w:sz="4" w:space="0"/>
            </w:tcBorders>
            <w:noWrap w:val="0"/>
            <w:vAlign w:val="top"/>
          </w:tcPr>
          <w:p w14:paraId="619F0027">
            <w:pPr>
              <w:jc w:val="center"/>
              <w:rPr>
                <w:color w:val="auto"/>
                <w:szCs w:val="21"/>
                <w:highlight w:val="none"/>
              </w:rPr>
            </w:pPr>
          </w:p>
        </w:tc>
        <w:tc>
          <w:tcPr>
            <w:tcW w:w="6874" w:type="dxa"/>
            <w:vMerge w:val="continue"/>
            <w:tcBorders>
              <w:top w:val="single" w:color="auto" w:sz="4" w:space="0"/>
              <w:left w:val="single" w:color="auto" w:sz="4" w:space="0"/>
              <w:bottom w:val="single" w:color="auto" w:sz="4" w:space="0"/>
              <w:right w:val="single" w:color="auto" w:sz="4" w:space="0"/>
            </w:tcBorders>
            <w:noWrap w:val="0"/>
            <w:vAlign w:val="top"/>
          </w:tcPr>
          <w:p w14:paraId="43770DB6">
            <w:pPr>
              <w:rPr>
                <w:color w:val="auto"/>
                <w:szCs w:val="21"/>
                <w:highlight w:val="none"/>
              </w:rPr>
            </w:pPr>
          </w:p>
        </w:tc>
      </w:tr>
      <w:tr w14:paraId="1CCA72CD">
        <w:tblPrEx>
          <w:tblCellMar>
            <w:top w:w="0" w:type="dxa"/>
            <w:left w:w="108" w:type="dxa"/>
            <w:bottom w:w="0" w:type="dxa"/>
            <w:right w:w="108" w:type="dxa"/>
          </w:tblCellMar>
        </w:tblPrEx>
        <w:trPr>
          <w:trHeight w:val="312" w:hRule="atLeast"/>
        </w:trPr>
        <w:tc>
          <w:tcPr>
            <w:tcW w:w="832" w:type="dxa"/>
            <w:tcBorders>
              <w:top w:val="single" w:color="auto" w:sz="4" w:space="0"/>
              <w:left w:val="single" w:color="auto" w:sz="4" w:space="0"/>
              <w:bottom w:val="single" w:color="auto" w:sz="4" w:space="0"/>
              <w:right w:val="single" w:color="auto" w:sz="4" w:space="0"/>
            </w:tcBorders>
            <w:noWrap w:val="0"/>
            <w:vAlign w:val="top"/>
          </w:tcPr>
          <w:p w14:paraId="72469307">
            <w:pPr>
              <w:widowControl/>
              <w:jc w:val="center"/>
              <w:textAlignment w:val="top"/>
              <w:rPr>
                <w:strike/>
                <w:color w:val="auto"/>
                <w:szCs w:val="21"/>
                <w:highlight w:val="none"/>
              </w:rPr>
            </w:pPr>
            <w:r>
              <w:rPr>
                <w:color w:val="auto"/>
                <w:kern w:val="0"/>
                <w:szCs w:val="21"/>
                <w:highlight w:val="none"/>
                <w:lang w:bidi="ar"/>
              </w:rPr>
              <w:t>6</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5A724523">
            <w:pPr>
              <w:widowControl/>
              <w:jc w:val="center"/>
              <w:textAlignment w:val="top"/>
              <w:rPr>
                <w:color w:val="auto"/>
                <w:szCs w:val="21"/>
                <w:highlight w:val="none"/>
              </w:rPr>
            </w:pPr>
            <w:r>
              <w:rPr>
                <w:color w:val="auto"/>
                <w:kern w:val="0"/>
                <w:szCs w:val="21"/>
                <w:highlight w:val="none"/>
                <w:lang w:bidi="ar"/>
              </w:rPr>
              <w:t>技术支持</w:t>
            </w:r>
          </w:p>
        </w:tc>
        <w:tc>
          <w:tcPr>
            <w:tcW w:w="6874" w:type="dxa"/>
            <w:tcBorders>
              <w:top w:val="single" w:color="auto" w:sz="4" w:space="0"/>
              <w:left w:val="single" w:color="auto" w:sz="4" w:space="0"/>
              <w:bottom w:val="single" w:color="auto" w:sz="4" w:space="0"/>
              <w:right w:val="single" w:color="auto" w:sz="4" w:space="0"/>
            </w:tcBorders>
            <w:noWrap w:val="0"/>
            <w:vAlign w:val="top"/>
          </w:tcPr>
          <w:p w14:paraId="561288A2">
            <w:pPr>
              <w:widowControl/>
              <w:jc w:val="left"/>
              <w:textAlignment w:val="top"/>
              <w:rPr>
                <w:color w:val="auto"/>
                <w:szCs w:val="21"/>
                <w:highlight w:val="none"/>
              </w:rPr>
            </w:pPr>
            <w:r>
              <w:rPr>
                <w:color w:val="auto"/>
                <w:kern w:val="0"/>
                <w:szCs w:val="21"/>
                <w:highlight w:val="none"/>
                <w:lang w:bidi="ar"/>
              </w:rPr>
              <w:t>巡查人员可现场调阅技术标准、制度和常见问题，用户场外技术支持。</w:t>
            </w:r>
          </w:p>
        </w:tc>
      </w:tr>
    </w:tbl>
    <w:p w14:paraId="4C439728">
      <w:pPr>
        <w:tabs>
          <w:tab w:val="left" w:pos="851"/>
        </w:tabs>
        <w:spacing w:line="360" w:lineRule="auto"/>
        <w:ind w:firstLine="562" w:firstLineChars="200"/>
        <w:jc w:val="left"/>
        <w:outlineLvl w:val="2"/>
        <w:rPr>
          <w:b/>
          <w:bCs/>
          <w:color w:val="auto"/>
          <w:sz w:val="28"/>
          <w:szCs w:val="28"/>
          <w:highlight w:val="none"/>
        </w:rPr>
      </w:pPr>
      <w:bookmarkStart w:id="1088" w:name="_Toc19556"/>
      <w:bookmarkStart w:id="1089" w:name="_Toc1035"/>
      <w:bookmarkStart w:id="1090" w:name="_Toc15592"/>
      <w:bookmarkStart w:id="1091" w:name="_Toc7664"/>
      <w:bookmarkStart w:id="1092" w:name="_Toc9793"/>
      <w:r>
        <w:rPr>
          <w:b/>
          <w:bCs/>
          <w:color w:val="auto"/>
          <w:sz w:val="28"/>
          <w:szCs w:val="28"/>
          <w:highlight w:val="none"/>
        </w:rPr>
        <w:t>4.2.4系统集成需求</w:t>
      </w:r>
      <w:bookmarkEnd w:id="1088"/>
      <w:bookmarkEnd w:id="1089"/>
      <w:bookmarkEnd w:id="1090"/>
      <w:bookmarkEnd w:id="1091"/>
      <w:bookmarkEnd w:id="1092"/>
    </w:p>
    <w:p w14:paraId="38569DAB">
      <w:pPr>
        <w:spacing w:line="360" w:lineRule="auto"/>
        <w:ind w:firstLine="560" w:firstLineChars="200"/>
        <w:jc w:val="left"/>
        <w:rPr>
          <w:color w:val="auto"/>
          <w:kern w:val="0"/>
          <w:sz w:val="28"/>
          <w:szCs w:val="28"/>
          <w:highlight w:val="none"/>
        </w:rPr>
      </w:pPr>
      <w:r>
        <w:rPr>
          <w:color w:val="auto"/>
          <w:kern w:val="0"/>
          <w:sz w:val="28"/>
          <w:szCs w:val="28"/>
          <w:highlight w:val="none"/>
        </w:rPr>
        <w:t>系统集成的技术，必须采用成熟并有成功实施案例的接口工具，并遵循《东莞市轨道一号线建设发展有限公司企业服务总线服务开发规范》和东莞市轨道交通有限公司信息化方面的制度和规定，通过</w:t>
      </w:r>
      <w:r>
        <w:rPr>
          <w:rFonts w:hint="eastAsia" w:ascii="Times New Roman" w:eastAsia="宋体"/>
          <w:color w:val="auto"/>
          <w:kern w:val="0"/>
          <w:sz w:val="28"/>
          <w:szCs w:val="28"/>
          <w:highlight w:val="none"/>
          <w:lang w:val="en-US" w:eastAsia="zh-CN"/>
        </w:rPr>
        <w:t>招标人</w:t>
      </w:r>
      <w:r>
        <w:rPr>
          <w:color w:val="auto"/>
          <w:kern w:val="0"/>
          <w:sz w:val="28"/>
          <w:szCs w:val="28"/>
          <w:highlight w:val="none"/>
        </w:rPr>
        <w:t>已有的数据总线平台进行数据集中交换、避免系统间的两两交换</w:t>
      </w:r>
      <w:r>
        <w:rPr>
          <w:rFonts w:hint="eastAsia" w:eastAsia="宋体"/>
          <w:color w:val="auto"/>
          <w:kern w:val="0"/>
          <w:sz w:val="28"/>
          <w:szCs w:val="28"/>
          <w:highlight w:val="none"/>
          <w:lang w:eastAsia="zh-CN"/>
        </w:rPr>
        <w:t>，</w:t>
      </w:r>
      <w:r>
        <w:rPr>
          <w:color w:val="auto"/>
          <w:kern w:val="0"/>
          <w:sz w:val="28"/>
          <w:szCs w:val="28"/>
          <w:highlight w:val="none"/>
        </w:rPr>
        <w:t>投标</w:t>
      </w:r>
      <w:r>
        <w:rPr>
          <w:rFonts w:hint="eastAsia" w:ascii="Times New Roman" w:eastAsia="宋体"/>
          <w:color w:val="auto"/>
          <w:kern w:val="0"/>
          <w:sz w:val="28"/>
          <w:szCs w:val="28"/>
          <w:highlight w:val="none"/>
          <w:lang w:val="en-US" w:eastAsia="zh-CN"/>
        </w:rPr>
        <w:t>人</w:t>
      </w:r>
      <w:r>
        <w:rPr>
          <w:color w:val="auto"/>
          <w:kern w:val="0"/>
          <w:sz w:val="28"/>
          <w:szCs w:val="28"/>
          <w:highlight w:val="none"/>
        </w:rPr>
        <w:t>应提供接口工具的详细表述，并提供相应的技术方案和用户界面示例。</w:t>
      </w:r>
    </w:p>
    <w:p w14:paraId="745472E8">
      <w:pPr>
        <w:spacing w:line="360" w:lineRule="auto"/>
        <w:ind w:firstLine="562" w:firstLineChars="200"/>
        <w:jc w:val="left"/>
        <w:rPr>
          <w:b/>
          <w:bCs/>
          <w:color w:val="auto"/>
          <w:sz w:val="28"/>
          <w:szCs w:val="28"/>
          <w:highlight w:val="none"/>
        </w:rPr>
      </w:pPr>
      <w:r>
        <w:rPr>
          <w:b/>
          <w:bCs/>
          <w:color w:val="auto"/>
          <w:sz w:val="28"/>
          <w:szCs w:val="28"/>
          <w:highlight w:val="none"/>
        </w:rPr>
        <w:t>4.2.4.1与</w:t>
      </w:r>
      <w:r>
        <w:rPr>
          <w:rFonts w:hint="eastAsia" w:ascii="Times New Roman" w:eastAsia="宋体"/>
          <w:b/>
          <w:bCs/>
          <w:color w:val="auto"/>
          <w:sz w:val="28"/>
          <w:szCs w:val="28"/>
          <w:highlight w:val="none"/>
          <w:lang w:val="en-US" w:eastAsia="zh-CN"/>
        </w:rPr>
        <w:t>招标人</w:t>
      </w:r>
      <w:r>
        <w:rPr>
          <w:b/>
          <w:bCs/>
          <w:color w:val="auto"/>
          <w:sz w:val="28"/>
          <w:szCs w:val="28"/>
          <w:highlight w:val="none"/>
        </w:rPr>
        <w:t>统一用户管理平台（UUV）的集成</w:t>
      </w:r>
    </w:p>
    <w:p w14:paraId="01BB1CFC">
      <w:pPr>
        <w:spacing w:line="360" w:lineRule="auto"/>
        <w:ind w:firstLine="560" w:firstLineChars="200"/>
        <w:jc w:val="left"/>
        <w:rPr>
          <w:color w:val="auto"/>
          <w:kern w:val="0"/>
          <w:sz w:val="28"/>
          <w:szCs w:val="28"/>
          <w:highlight w:val="none"/>
        </w:rPr>
      </w:pPr>
      <w:r>
        <w:rPr>
          <w:color w:val="auto"/>
          <w:sz w:val="28"/>
          <w:szCs w:val="28"/>
          <w:highlight w:val="none"/>
        </w:rPr>
        <w:t>本项目需与UUV系统集成，共用一套企业组织架构和人员信息，所有的人员信息（员工姓名、所属部门、工号等信息）均从UUV系统中提取，实现人员信息同步</w:t>
      </w:r>
      <w:r>
        <w:rPr>
          <w:color w:val="auto"/>
          <w:kern w:val="0"/>
          <w:sz w:val="28"/>
          <w:szCs w:val="28"/>
          <w:highlight w:val="none"/>
        </w:rPr>
        <w:t>，并满足电子签名及信息关联功能。</w:t>
      </w:r>
    </w:p>
    <w:p w14:paraId="29262358">
      <w:pPr>
        <w:spacing w:line="360" w:lineRule="auto"/>
        <w:ind w:firstLine="562" w:firstLineChars="200"/>
        <w:jc w:val="left"/>
        <w:rPr>
          <w:b/>
          <w:bCs/>
          <w:color w:val="auto"/>
          <w:sz w:val="28"/>
          <w:szCs w:val="28"/>
          <w:highlight w:val="none"/>
        </w:rPr>
      </w:pPr>
      <w:r>
        <w:rPr>
          <w:b/>
          <w:bCs/>
          <w:color w:val="auto"/>
          <w:kern w:val="0"/>
          <w:sz w:val="28"/>
          <w:szCs w:val="28"/>
          <w:highlight w:val="none"/>
        </w:rPr>
        <w:t>4.2.4.2</w:t>
      </w:r>
      <w:r>
        <w:rPr>
          <w:b/>
          <w:bCs/>
          <w:color w:val="auto"/>
          <w:sz w:val="28"/>
          <w:szCs w:val="28"/>
          <w:highlight w:val="none"/>
        </w:rPr>
        <w:t>与</w:t>
      </w:r>
      <w:r>
        <w:rPr>
          <w:rFonts w:hint="eastAsia" w:ascii="Times New Roman" w:eastAsia="宋体"/>
          <w:b/>
          <w:bCs/>
          <w:color w:val="auto"/>
          <w:sz w:val="28"/>
          <w:szCs w:val="28"/>
          <w:highlight w:val="none"/>
          <w:lang w:val="en-US" w:eastAsia="zh-CN"/>
        </w:rPr>
        <w:t>招标人</w:t>
      </w:r>
      <w:r>
        <w:rPr>
          <w:b/>
          <w:bCs/>
          <w:color w:val="auto"/>
          <w:sz w:val="28"/>
          <w:szCs w:val="28"/>
          <w:highlight w:val="none"/>
        </w:rPr>
        <w:t>内部门户系统的集成</w:t>
      </w:r>
    </w:p>
    <w:p w14:paraId="6F179C06">
      <w:pPr>
        <w:spacing w:line="360" w:lineRule="auto"/>
        <w:ind w:firstLine="560" w:firstLineChars="200"/>
        <w:jc w:val="left"/>
        <w:rPr>
          <w:color w:val="auto"/>
          <w:sz w:val="28"/>
          <w:szCs w:val="28"/>
          <w:highlight w:val="none"/>
        </w:rPr>
      </w:pPr>
      <w:r>
        <w:rPr>
          <w:rFonts w:hint="eastAsia" w:ascii="Times New Roman" w:eastAsia="宋体"/>
          <w:color w:val="auto"/>
          <w:kern w:val="0"/>
          <w:sz w:val="28"/>
          <w:szCs w:val="28"/>
          <w:highlight w:val="none"/>
          <w:lang w:val="en-US" w:eastAsia="zh-CN"/>
        </w:rPr>
        <w:t>招标人</w:t>
      </w:r>
      <w:r>
        <w:rPr>
          <w:color w:val="auto"/>
          <w:kern w:val="0"/>
          <w:sz w:val="28"/>
          <w:szCs w:val="28"/>
          <w:highlight w:val="none"/>
        </w:rPr>
        <w:t>的内部门户系统是整个</w:t>
      </w:r>
      <w:r>
        <w:rPr>
          <w:rFonts w:hint="eastAsia" w:ascii="Times New Roman" w:eastAsia="宋体"/>
          <w:color w:val="auto"/>
          <w:kern w:val="0"/>
          <w:sz w:val="28"/>
          <w:szCs w:val="28"/>
          <w:highlight w:val="none"/>
          <w:lang w:val="en-US" w:eastAsia="zh-CN"/>
        </w:rPr>
        <w:t>招标人</w:t>
      </w:r>
      <w:r>
        <w:rPr>
          <w:color w:val="auto"/>
          <w:kern w:val="0"/>
          <w:sz w:val="28"/>
          <w:szCs w:val="28"/>
          <w:highlight w:val="none"/>
        </w:rPr>
        <w:t>信息化协作办公的统一入口和界面框架。本</w:t>
      </w:r>
      <w:r>
        <w:rPr>
          <w:color w:val="auto"/>
          <w:sz w:val="28"/>
          <w:szCs w:val="28"/>
          <w:highlight w:val="none"/>
        </w:rPr>
        <w:t>项目需与内部门户系统集成，实现单点登录和待办事项（将业务待办信息自动推送至内部门户系统待办入口）等信息的集成和更新。</w:t>
      </w:r>
    </w:p>
    <w:p w14:paraId="61DF19E9">
      <w:pPr>
        <w:spacing w:line="360" w:lineRule="auto"/>
        <w:ind w:firstLine="562" w:firstLineChars="200"/>
        <w:jc w:val="left"/>
        <w:rPr>
          <w:b/>
          <w:bCs/>
          <w:color w:val="auto"/>
          <w:sz w:val="28"/>
          <w:szCs w:val="28"/>
          <w:highlight w:val="none"/>
        </w:rPr>
      </w:pPr>
      <w:r>
        <w:rPr>
          <w:b/>
          <w:bCs/>
          <w:color w:val="auto"/>
          <w:sz w:val="28"/>
          <w:szCs w:val="28"/>
          <w:highlight w:val="none"/>
        </w:rPr>
        <w:t>4.2.4.3其他业务系统集成</w:t>
      </w:r>
    </w:p>
    <w:p w14:paraId="39D5E50B">
      <w:pPr>
        <w:spacing w:line="360" w:lineRule="auto"/>
        <w:ind w:firstLine="560" w:firstLineChars="200"/>
        <w:jc w:val="left"/>
        <w:rPr>
          <w:color w:val="auto"/>
          <w:sz w:val="28"/>
          <w:szCs w:val="28"/>
          <w:highlight w:val="none"/>
        </w:rPr>
      </w:pPr>
      <w:r>
        <w:rPr>
          <w:color w:val="auto"/>
          <w:sz w:val="28"/>
          <w:szCs w:val="28"/>
          <w:highlight w:val="none"/>
        </w:rPr>
        <w:t>1）招标人的其他系统需用到本项目的相关数据，</w:t>
      </w:r>
      <w:r>
        <w:rPr>
          <w:rFonts w:hint="eastAsia"/>
          <w:color w:val="auto"/>
          <w:sz w:val="28"/>
          <w:szCs w:val="28"/>
          <w:highlight w:val="none"/>
        </w:rPr>
        <w:t>如安全管理系统，</w:t>
      </w:r>
      <w:r>
        <w:rPr>
          <w:color w:val="auto"/>
          <w:sz w:val="28"/>
          <w:szCs w:val="28"/>
          <w:highlight w:val="none"/>
        </w:rPr>
        <w:t>由投标人提供本系统侧的接口集成服务（包括但不限于联合设计开发、接口测试、集成测试、联合调试、并网运行等），并承担本系统侧的接口集成</w:t>
      </w:r>
      <w:r>
        <w:rPr>
          <w:rFonts w:hint="eastAsia"/>
          <w:color w:val="auto"/>
          <w:sz w:val="28"/>
          <w:szCs w:val="28"/>
          <w:highlight w:val="none"/>
        </w:rPr>
        <w:t>涉及的所有</w:t>
      </w:r>
      <w:r>
        <w:rPr>
          <w:color w:val="auto"/>
          <w:sz w:val="28"/>
          <w:szCs w:val="28"/>
          <w:highlight w:val="none"/>
        </w:rPr>
        <w:t>费用</w:t>
      </w:r>
      <w:r>
        <w:rPr>
          <w:rFonts w:hint="eastAsia"/>
          <w:color w:val="auto"/>
          <w:sz w:val="28"/>
          <w:szCs w:val="28"/>
          <w:highlight w:val="none"/>
        </w:rPr>
        <w:t>，</w:t>
      </w:r>
      <w:r>
        <w:rPr>
          <w:color w:val="auto"/>
          <w:sz w:val="28"/>
          <w:szCs w:val="28"/>
          <w:highlight w:val="none"/>
        </w:rPr>
        <w:t>投标人还需配合完成接口联合调试</w:t>
      </w:r>
      <w:r>
        <w:rPr>
          <w:rFonts w:hint="eastAsia"/>
          <w:color w:val="auto"/>
          <w:sz w:val="28"/>
          <w:szCs w:val="28"/>
          <w:highlight w:val="none"/>
        </w:rPr>
        <w:t>，确保正常使用</w:t>
      </w:r>
      <w:r>
        <w:rPr>
          <w:color w:val="auto"/>
          <w:sz w:val="28"/>
          <w:szCs w:val="28"/>
          <w:highlight w:val="none"/>
        </w:rPr>
        <w:t>。</w:t>
      </w:r>
    </w:p>
    <w:p w14:paraId="2AA96139">
      <w:pPr>
        <w:spacing w:line="360" w:lineRule="auto"/>
        <w:ind w:firstLine="560" w:firstLineChars="200"/>
        <w:jc w:val="left"/>
        <w:rPr>
          <w:color w:val="auto"/>
          <w:sz w:val="28"/>
          <w:szCs w:val="28"/>
          <w:highlight w:val="none"/>
        </w:rPr>
      </w:pPr>
      <w:r>
        <w:rPr>
          <w:color w:val="auto"/>
          <w:sz w:val="28"/>
          <w:szCs w:val="28"/>
          <w:highlight w:val="none"/>
        </w:rPr>
        <w:t>2）预留接口与行业监管部门、东莞市轨道交通有限公司其他系统集成</w:t>
      </w:r>
      <w:r>
        <w:rPr>
          <w:rFonts w:hint="eastAsia"/>
          <w:color w:val="auto"/>
          <w:sz w:val="28"/>
          <w:szCs w:val="28"/>
          <w:highlight w:val="none"/>
        </w:rPr>
        <w:t>，</w:t>
      </w:r>
      <w:r>
        <w:rPr>
          <w:color w:val="auto"/>
          <w:sz w:val="28"/>
          <w:szCs w:val="28"/>
          <w:highlight w:val="none"/>
        </w:rPr>
        <w:t>由投标人提供本系统侧的接口集成服务（包括但不限于联合设计开发、接口测试、集成测试、联合调试、并网运行等），并承担本系统侧的接口集成</w:t>
      </w:r>
      <w:r>
        <w:rPr>
          <w:rFonts w:hint="eastAsia"/>
          <w:color w:val="auto"/>
          <w:sz w:val="28"/>
          <w:szCs w:val="28"/>
          <w:highlight w:val="none"/>
        </w:rPr>
        <w:t>涉及的所有</w:t>
      </w:r>
      <w:r>
        <w:rPr>
          <w:color w:val="auto"/>
          <w:sz w:val="28"/>
          <w:szCs w:val="28"/>
          <w:highlight w:val="none"/>
        </w:rPr>
        <w:t>费用</w:t>
      </w:r>
      <w:r>
        <w:rPr>
          <w:rFonts w:hint="eastAsia"/>
          <w:color w:val="auto"/>
          <w:sz w:val="28"/>
          <w:szCs w:val="28"/>
          <w:highlight w:val="none"/>
        </w:rPr>
        <w:t>，</w:t>
      </w:r>
      <w:r>
        <w:rPr>
          <w:color w:val="auto"/>
          <w:sz w:val="28"/>
          <w:szCs w:val="28"/>
          <w:highlight w:val="none"/>
        </w:rPr>
        <w:t>投标人还需配合完成接口联合调试</w:t>
      </w:r>
      <w:r>
        <w:rPr>
          <w:rFonts w:hint="eastAsia"/>
          <w:color w:val="auto"/>
          <w:sz w:val="28"/>
          <w:szCs w:val="28"/>
          <w:highlight w:val="none"/>
        </w:rPr>
        <w:t>，确保正常使用</w:t>
      </w:r>
      <w:r>
        <w:rPr>
          <w:color w:val="auto"/>
          <w:sz w:val="28"/>
          <w:szCs w:val="28"/>
          <w:highlight w:val="none"/>
        </w:rPr>
        <w:t>。</w:t>
      </w:r>
    </w:p>
    <w:p w14:paraId="266D317C">
      <w:pPr>
        <w:widowControl/>
        <w:spacing w:line="360" w:lineRule="auto"/>
        <w:ind w:firstLine="560" w:firstLineChars="200"/>
        <w:jc w:val="left"/>
        <w:rPr>
          <w:color w:val="auto"/>
          <w:sz w:val="28"/>
          <w:szCs w:val="28"/>
          <w:highlight w:val="none"/>
        </w:rPr>
      </w:pPr>
      <w:r>
        <w:rPr>
          <w:color w:val="auto"/>
          <w:sz w:val="28"/>
          <w:szCs w:val="28"/>
          <w:highlight w:val="none"/>
        </w:rPr>
        <w:t>3）与</w:t>
      </w:r>
      <w:r>
        <w:rPr>
          <w:color w:val="auto"/>
          <w:kern w:val="0"/>
          <w:sz w:val="28"/>
          <w:szCs w:val="28"/>
          <w:highlight w:val="none"/>
        </w:rPr>
        <w:t>自动无人机巡查管理系统</w:t>
      </w:r>
      <w:r>
        <w:rPr>
          <w:color w:val="auto"/>
          <w:sz w:val="28"/>
          <w:szCs w:val="28"/>
          <w:highlight w:val="none"/>
        </w:rPr>
        <w:t>的集成。将无人机巡查拍摄到的影像资料在综合管理系统巡查监控及视频管理模块中进行展示，实现无人机巡查管理模块中的功能，包括但不限于：无人机巡查监控、巡查任务管理、人员管理及无人机巡查设备管理。</w:t>
      </w:r>
    </w:p>
    <w:p w14:paraId="370EF7E6">
      <w:pPr>
        <w:widowControl/>
        <w:spacing w:line="360" w:lineRule="auto"/>
        <w:ind w:firstLine="560" w:firstLineChars="200"/>
        <w:jc w:val="left"/>
        <w:rPr>
          <w:color w:val="auto"/>
          <w:sz w:val="28"/>
          <w:szCs w:val="28"/>
          <w:highlight w:val="none"/>
        </w:rPr>
      </w:pPr>
      <w:r>
        <w:rPr>
          <w:color w:val="auto"/>
          <w:sz w:val="28"/>
          <w:szCs w:val="28"/>
          <w:highlight w:val="none"/>
        </w:rPr>
        <w:t>4）预留与视频监控系统的集成。将视频监控系统拍摄到的影像同步到综合管理系统巡查监控及视频管理模块中，实现视频监控管理中的所有功能，包括但不限于：监控器实时定位、视频图像管理、视频巡查员管理等。</w:t>
      </w:r>
    </w:p>
    <w:p w14:paraId="52E4352C">
      <w:pPr>
        <w:widowControl/>
        <w:numPr>
          <w:ilvl w:val="0"/>
          <w:numId w:val="0"/>
        </w:numPr>
        <w:spacing w:line="360" w:lineRule="auto"/>
        <w:ind w:firstLine="560" w:firstLineChars="200"/>
        <w:jc w:val="left"/>
        <w:rPr>
          <w:color w:val="auto"/>
          <w:sz w:val="28"/>
          <w:szCs w:val="28"/>
          <w:highlight w:val="none"/>
        </w:rPr>
      </w:pPr>
      <w:r>
        <w:rPr>
          <w:color w:val="auto"/>
          <w:sz w:val="28"/>
          <w:szCs w:val="28"/>
          <w:highlight w:val="none"/>
        </w:rPr>
        <w:t>5）预留与第三方监测系统的集成。远期考虑涉轨第三方监测的监测数据不落地原则，实现将监测原始数据实现监测后实时上传、自动处理、自动生成报告的功能，有效对监测成果的真实性进行管控。</w:t>
      </w:r>
      <w:r>
        <w:rPr>
          <w:rFonts w:hint="eastAsia"/>
          <w:color w:val="auto"/>
          <w:sz w:val="28"/>
          <w:szCs w:val="28"/>
          <w:highlight w:val="none"/>
        </w:rPr>
        <w:t>同时具备手动输入数据实现上述功能</w:t>
      </w:r>
      <w:r>
        <w:rPr>
          <w:color w:val="auto"/>
          <w:sz w:val="28"/>
          <w:szCs w:val="28"/>
          <w:highlight w:val="none"/>
        </w:rPr>
        <w:t>。</w:t>
      </w:r>
    </w:p>
    <w:p w14:paraId="15B44636">
      <w:pPr>
        <w:tabs>
          <w:tab w:val="left" w:pos="851"/>
        </w:tabs>
        <w:spacing w:line="360" w:lineRule="auto"/>
        <w:ind w:firstLine="562" w:firstLineChars="200"/>
        <w:jc w:val="left"/>
        <w:outlineLvl w:val="2"/>
        <w:rPr>
          <w:b/>
          <w:bCs/>
          <w:color w:val="auto"/>
          <w:sz w:val="28"/>
          <w:szCs w:val="28"/>
          <w:highlight w:val="none"/>
        </w:rPr>
      </w:pPr>
      <w:bookmarkStart w:id="1093" w:name="_Toc2874"/>
      <w:bookmarkStart w:id="1094" w:name="_Toc19431"/>
      <w:r>
        <w:rPr>
          <w:b/>
          <w:bCs/>
          <w:color w:val="auto"/>
          <w:sz w:val="28"/>
          <w:szCs w:val="28"/>
          <w:highlight w:val="none"/>
        </w:rPr>
        <w:t>4.2.</w:t>
      </w:r>
      <w:r>
        <w:rPr>
          <w:rFonts w:hint="eastAsia"/>
          <w:b/>
          <w:bCs/>
          <w:color w:val="auto"/>
          <w:sz w:val="28"/>
          <w:szCs w:val="28"/>
          <w:highlight w:val="none"/>
        </w:rPr>
        <w:t>5</w:t>
      </w:r>
      <w:r>
        <w:rPr>
          <w:b/>
          <w:bCs/>
          <w:color w:val="auto"/>
          <w:sz w:val="28"/>
          <w:szCs w:val="28"/>
          <w:highlight w:val="none"/>
        </w:rPr>
        <w:t>系统</w:t>
      </w:r>
      <w:r>
        <w:rPr>
          <w:rFonts w:hint="eastAsia"/>
          <w:b/>
          <w:bCs/>
          <w:color w:val="auto"/>
          <w:sz w:val="28"/>
          <w:szCs w:val="28"/>
          <w:highlight w:val="none"/>
        </w:rPr>
        <w:t>拓展扩容</w:t>
      </w:r>
      <w:r>
        <w:rPr>
          <w:b/>
          <w:bCs/>
          <w:color w:val="auto"/>
          <w:sz w:val="28"/>
          <w:szCs w:val="28"/>
          <w:highlight w:val="none"/>
        </w:rPr>
        <w:t>需求</w:t>
      </w:r>
      <w:bookmarkEnd w:id="1093"/>
      <w:bookmarkEnd w:id="1094"/>
    </w:p>
    <w:p w14:paraId="495767C9">
      <w:pPr>
        <w:spacing w:line="360" w:lineRule="auto"/>
        <w:ind w:firstLine="560" w:firstLineChars="200"/>
        <w:jc w:val="left"/>
        <w:rPr>
          <w:rFonts w:hint="eastAsia" w:eastAsia="宋体"/>
          <w:color w:val="auto"/>
          <w:sz w:val="28"/>
          <w:szCs w:val="28"/>
          <w:highlight w:val="none"/>
          <w:lang w:eastAsia="zh-CN"/>
        </w:rPr>
      </w:pPr>
      <w:r>
        <w:rPr>
          <w:color w:val="auto"/>
          <w:sz w:val="28"/>
          <w:szCs w:val="28"/>
          <w:highlight w:val="none"/>
        </w:rPr>
        <w:t>1）综合管理系统</w:t>
      </w:r>
      <w:r>
        <w:rPr>
          <w:rFonts w:hint="eastAsia"/>
          <w:color w:val="auto"/>
          <w:sz w:val="28"/>
          <w:szCs w:val="28"/>
          <w:highlight w:val="none"/>
        </w:rPr>
        <w:t>涵盖</w:t>
      </w:r>
      <w:r>
        <w:rPr>
          <w:color w:val="auto"/>
          <w:sz w:val="28"/>
          <w:szCs w:val="28"/>
          <w:highlight w:val="none"/>
        </w:rPr>
        <w:t>1号线一、二、三期</w:t>
      </w:r>
      <w:r>
        <w:rPr>
          <w:rFonts w:hint="eastAsia"/>
          <w:color w:val="auto"/>
          <w:sz w:val="28"/>
          <w:szCs w:val="28"/>
          <w:highlight w:val="none"/>
        </w:rPr>
        <w:t>，和现有线网的控制保护区及预留远期建设线路</w:t>
      </w:r>
      <w:r>
        <w:rPr>
          <w:color w:val="auto"/>
          <w:sz w:val="28"/>
          <w:szCs w:val="28"/>
          <w:highlight w:val="none"/>
        </w:rPr>
        <w:t>，</w:t>
      </w:r>
      <w:r>
        <w:rPr>
          <w:rFonts w:hint="eastAsia"/>
          <w:color w:val="auto"/>
          <w:sz w:val="28"/>
          <w:szCs w:val="28"/>
          <w:highlight w:val="none"/>
        </w:rPr>
        <w:t>系统初次建设包括</w:t>
      </w:r>
      <w:r>
        <w:rPr>
          <w:color w:val="auto"/>
          <w:sz w:val="28"/>
          <w:szCs w:val="28"/>
          <w:highlight w:val="none"/>
        </w:rPr>
        <w:t>1号线一期</w:t>
      </w:r>
      <w:r>
        <w:rPr>
          <w:rFonts w:hint="eastAsia"/>
          <w:color w:val="auto"/>
          <w:sz w:val="28"/>
          <w:szCs w:val="28"/>
          <w:highlight w:val="none"/>
        </w:rPr>
        <w:t>和现有线网的控制保护区内容，投标人须无偿为招标人实施后续的1号线二、三期和预留远期建设线路综合管理系统拓展</w:t>
      </w:r>
      <w:r>
        <w:rPr>
          <w:rFonts w:hint="eastAsia" w:eastAsia="宋体"/>
          <w:color w:val="auto"/>
          <w:sz w:val="28"/>
          <w:szCs w:val="28"/>
          <w:highlight w:val="none"/>
          <w:lang w:eastAsia="zh-CN"/>
        </w:rPr>
        <w:t>接入等</w:t>
      </w:r>
      <w:r>
        <w:rPr>
          <w:rFonts w:hint="eastAsia"/>
          <w:color w:val="auto"/>
          <w:sz w:val="28"/>
          <w:szCs w:val="28"/>
          <w:highlight w:val="none"/>
        </w:rPr>
        <w:t>全部工作</w:t>
      </w:r>
      <w:r>
        <w:rPr>
          <w:rFonts w:hint="eastAsia" w:eastAsia="宋体"/>
          <w:color w:val="auto"/>
          <w:sz w:val="28"/>
          <w:szCs w:val="28"/>
          <w:highlight w:val="none"/>
          <w:lang w:eastAsia="zh-CN"/>
        </w:rPr>
        <w:t>。</w:t>
      </w:r>
    </w:p>
    <w:p w14:paraId="4BA6CA9C">
      <w:pPr>
        <w:widowControl w:val="0"/>
        <w:numPr>
          <w:ilvl w:val="0"/>
          <w:numId w:val="0"/>
        </w:numPr>
        <w:spacing w:line="360" w:lineRule="auto"/>
        <w:ind w:firstLine="560" w:firstLineChars="200"/>
        <w:jc w:val="left"/>
        <w:rPr>
          <w:color w:val="auto"/>
          <w:sz w:val="28"/>
          <w:szCs w:val="28"/>
          <w:highlight w:val="none"/>
        </w:rPr>
      </w:pPr>
      <w:r>
        <w:rPr>
          <w:rFonts w:hint="eastAsia"/>
          <w:color w:val="auto"/>
          <w:sz w:val="28"/>
          <w:szCs w:val="28"/>
          <w:highlight w:val="none"/>
        </w:rPr>
        <w:t>2）</w:t>
      </w:r>
      <w:r>
        <w:rPr>
          <w:color w:val="auto"/>
          <w:sz w:val="28"/>
          <w:szCs w:val="28"/>
          <w:highlight w:val="none"/>
        </w:rPr>
        <w:t>无人机巡查系统</w:t>
      </w:r>
      <w:r>
        <w:rPr>
          <w:rFonts w:hint="eastAsia"/>
          <w:color w:val="auto"/>
          <w:sz w:val="28"/>
          <w:szCs w:val="28"/>
          <w:highlight w:val="none"/>
        </w:rPr>
        <w:t>涵盖</w:t>
      </w:r>
      <w:r>
        <w:rPr>
          <w:color w:val="auto"/>
          <w:sz w:val="28"/>
          <w:szCs w:val="28"/>
          <w:highlight w:val="none"/>
        </w:rPr>
        <w:t>1号线一、二、三期</w:t>
      </w:r>
      <w:r>
        <w:rPr>
          <w:rFonts w:hint="eastAsia"/>
          <w:color w:val="auto"/>
          <w:sz w:val="28"/>
          <w:szCs w:val="28"/>
          <w:highlight w:val="none"/>
        </w:rPr>
        <w:t>，和现有线网的控制保护区及预留远期建设线路，系统初次建设包括</w:t>
      </w:r>
      <w:r>
        <w:rPr>
          <w:color w:val="auto"/>
          <w:sz w:val="28"/>
          <w:szCs w:val="28"/>
          <w:highlight w:val="none"/>
        </w:rPr>
        <w:t>1号线一期</w:t>
      </w:r>
      <w:r>
        <w:rPr>
          <w:rFonts w:hint="eastAsia"/>
          <w:color w:val="auto"/>
          <w:sz w:val="28"/>
          <w:szCs w:val="28"/>
          <w:highlight w:val="none"/>
        </w:rPr>
        <w:t>和现有线网的控制保护区无人机接入需求，投标人须无偿为招标人实施后续1号线二、三期和预留远期建设线路涉及无人机巡查系统拓展</w:t>
      </w:r>
      <w:r>
        <w:rPr>
          <w:rFonts w:hint="eastAsia" w:eastAsia="宋体"/>
          <w:color w:val="auto"/>
          <w:sz w:val="28"/>
          <w:szCs w:val="28"/>
          <w:highlight w:val="none"/>
          <w:lang w:eastAsia="zh-CN"/>
        </w:rPr>
        <w:t>接入</w:t>
      </w:r>
      <w:r>
        <w:rPr>
          <w:rFonts w:hint="eastAsia"/>
          <w:color w:val="auto"/>
          <w:sz w:val="28"/>
          <w:szCs w:val="28"/>
          <w:highlight w:val="none"/>
        </w:rPr>
        <w:t>全部工作，确保项目范围内的所有自动巡查无人机全部接入无人机巡查系统，并实现系统全部功能。</w:t>
      </w:r>
    </w:p>
    <w:p w14:paraId="6C71CD77">
      <w:pPr>
        <w:spacing w:line="360" w:lineRule="auto"/>
        <w:jc w:val="left"/>
        <w:outlineLvl w:val="0"/>
        <w:rPr>
          <w:b/>
          <w:bCs/>
          <w:color w:val="auto"/>
          <w:sz w:val="28"/>
          <w:szCs w:val="28"/>
          <w:highlight w:val="none"/>
        </w:rPr>
      </w:pPr>
      <w:bookmarkStart w:id="1095" w:name="_Toc15828"/>
      <w:bookmarkStart w:id="1096" w:name="_Toc8043"/>
      <w:bookmarkStart w:id="1097" w:name="_Toc18845"/>
      <w:bookmarkStart w:id="1098" w:name="_Toc1198"/>
      <w:bookmarkStart w:id="1099" w:name="_Toc13240"/>
      <w:bookmarkStart w:id="1100" w:name="_Toc20660"/>
      <w:bookmarkStart w:id="1101" w:name="_Toc13483"/>
      <w:r>
        <w:rPr>
          <w:b/>
          <w:bCs/>
          <w:color w:val="auto"/>
          <w:sz w:val="28"/>
          <w:szCs w:val="28"/>
          <w:highlight w:val="none"/>
        </w:rPr>
        <w:t>5培训需求</w:t>
      </w:r>
      <w:bookmarkEnd w:id="1095"/>
      <w:bookmarkEnd w:id="1096"/>
      <w:bookmarkEnd w:id="1097"/>
      <w:bookmarkEnd w:id="1098"/>
      <w:bookmarkEnd w:id="1099"/>
      <w:bookmarkEnd w:id="1100"/>
      <w:bookmarkEnd w:id="1101"/>
    </w:p>
    <w:p w14:paraId="0BE50EFB">
      <w:pPr>
        <w:spacing w:line="360" w:lineRule="auto"/>
        <w:jc w:val="left"/>
        <w:outlineLvl w:val="1"/>
        <w:rPr>
          <w:b/>
          <w:bCs/>
          <w:color w:val="auto"/>
          <w:sz w:val="28"/>
          <w:szCs w:val="28"/>
          <w:highlight w:val="none"/>
        </w:rPr>
      </w:pPr>
      <w:bookmarkStart w:id="1102" w:name="_Toc2230"/>
      <w:bookmarkStart w:id="1103" w:name="_Toc7670"/>
      <w:bookmarkStart w:id="1104" w:name="_Toc13220"/>
      <w:bookmarkStart w:id="1105" w:name="_Toc11557"/>
      <w:bookmarkStart w:id="1106" w:name="_Toc1253"/>
      <w:bookmarkStart w:id="1107" w:name="_Toc30572"/>
      <w:bookmarkStart w:id="1108" w:name="_Toc4119"/>
      <w:r>
        <w:rPr>
          <w:b/>
          <w:bCs/>
          <w:color w:val="auto"/>
          <w:sz w:val="28"/>
          <w:szCs w:val="28"/>
          <w:highlight w:val="none"/>
        </w:rPr>
        <w:t>5.1</w:t>
      </w:r>
      <w:bookmarkStart w:id="1109" w:name="_Toc9409"/>
      <w:r>
        <w:rPr>
          <w:b/>
          <w:bCs/>
          <w:color w:val="auto"/>
          <w:sz w:val="28"/>
          <w:szCs w:val="28"/>
          <w:highlight w:val="none"/>
        </w:rPr>
        <w:t>培训目标</w:t>
      </w:r>
      <w:bookmarkEnd w:id="1102"/>
      <w:bookmarkEnd w:id="1103"/>
      <w:bookmarkEnd w:id="1104"/>
      <w:bookmarkEnd w:id="1105"/>
      <w:bookmarkEnd w:id="1106"/>
      <w:bookmarkEnd w:id="1107"/>
      <w:bookmarkEnd w:id="1108"/>
      <w:bookmarkEnd w:id="1109"/>
    </w:p>
    <w:p w14:paraId="22EA3D16">
      <w:pPr>
        <w:widowControl/>
        <w:spacing w:line="360" w:lineRule="auto"/>
        <w:ind w:firstLine="560" w:firstLineChars="200"/>
        <w:jc w:val="left"/>
        <w:rPr>
          <w:color w:val="auto"/>
          <w:sz w:val="28"/>
          <w:szCs w:val="28"/>
          <w:highlight w:val="none"/>
        </w:rPr>
      </w:pPr>
      <w:r>
        <w:rPr>
          <w:color w:val="auto"/>
          <w:sz w:val="28"/>
          <w:szCs w:val="28"/>
          <w:highlight w:val="none"/>
        </w:rPr>
        <w:t>通过对轨道交通控制保护区管理系统相关使用人员的培训，做好系统设置及培训资料的知识转移，达到项目移交后招标人用户可自行完成设置、保障系统正常运作、正常使用的效果。</w:t>
      </w:r>
    </w:p>
    <w:p w14:paraId="222AA363">
      <w:pPr>
        <w:spacing w:line="360" w:lineRule="auto"/>
        <w:jc w:val="left"/>
        <w:outlineLvl w:val="1"/>
        <w:rPr>
          <w:b/>
          <w:bCs/>
          <w:color w:val="auto"/>
          <w:sz w:val="28"/>
          <w:szCs w:val="28"/>
          <w:highlight w:val="none"/>
        </w:rPr>
      </w:pPr>
      <w:bookmarkStart w:id="1110" w:name="_Toc11350"/>
      <w:bookmarkStart w:id="1111" w:name="_Toc24103"/>
      <w:bookmarkStart w:id="1112" w:name="_Toc28457"/>
      <w:bookmarkStart w:id="1113" w:name="_Toc8789"/>
      <w:bookmarkStart w:id="1114" w:name="_Toc25452"/>
      <w:bookmarkStart w:id="1115" w:name="_Toc1517"/>
      <w:bookmarkStart w:id="1116" w:name="_Toc1137"/>
      <w:r>
        <w:rPr>
          <w:b/>
          <w:bCs/>
          <w:color w:val="auto"/>
          <w:sz w:val="28"/>
          <w:szCs w:val="28"/>
          <w:highlight w:val="none"/>
        </w:rPr>
        <w:t>5.2</w:t>
      </w:r>
      <w:bookmarkStart w:id="1117" w:name="_Toc24455"/>
      <w:r>
        <w:rPr>
          <w:b/>
          <w:bCs/>
          <w:color w:val="auto"/>
          <w:sz w:val="28"/>
          <w:szCs w:val="28"/>
          <w:highlight w:val="none"/>
        </w:rPr>
        <w:t>培训要求</w:t>
      </w:r>
      <w:bookmarkEnd w:id="1110"/>
      <w:bookmarkEnd w:id="1111"/>
      <w:bookmarkEnd w:id="1112"/>
      <w:bookmarkEnd w:id="1113"/>
      <w:bookmarkEnd w:id="1114"/>
      <w:bookmarkEnd w:id="1115"/>
      <w:bookmarkEnd w:id="1116"/>
      <w:bookmarkEnd w:id="1117"/>
    </w:p>
    <w:p w14:paraId="43AADDA2">
      <w:pPr>
        <w:widowControl/>
        <w:spacing w:line="360" w:lineRule="auto"/>
        <w:ind w:firstLine="560" w:firstLineChars="200"/>
        <w:jc w:val="left"/>
        <w:rPr>
          <w:color w:val="auto"/>
          <w:sz w:val="28"/>
          <w:szCs w:val="28"/>
          <w:highlight w:val="none"/>
        </w:rPr>
      </w:pPr>
      <w:r>
        <w:rPr>
          <w:color w:val="auto"/>
          <w:sz w:val="28"/>
          <w:szCs w:val="28"/>
          <w:highlight w:val="none"/>
        </w:rPr>
        <w:t>培训须提前制定培训计划，详细说明培训的对象、内容、方式、时间和培训环境等，提供培训所需的资料、文档，针对培训，还需要制定培训用的PPT讲演稿。培训材料和培训计划应科学合理，保障</w:t>
      </w:r>
      <w:r>
        <w:rPr>
          <w:rFonts w:hint="eastAsia" w:ascii="Times New Roman" w:eastAsia="宋体"/>
          <w:color w:val="auto"/>
          <w:sz w:val="28"/>
          <w:szCs w:val="28"/>
          <w:highlight w:val="none"/>
          <w:lang w:val="en-US" w:eastAsia="zh-CN"/>
        </w:rPr>
        <w:t>招标人</w:t>
      </w:r>
      <w:r>
        <w:rPr>
          <w:color w:val="auto"/>
          <w:sz w:val="28"/>
          <w:szCs w:val="28"/>
          <w:highlight w:val="none"/>
        </w:rPr>
        <w:t>业务人员和技术人员能够熟悉相关操作。</w:t>
      </w:r>
    </w:p>
    <w:p w14:paraId="4E34AA25">
      <w:pPr>
        <w:widowControl/>
        <w:spacing w:line="360" w:lineRule="auto"/>
        <w:ind w:firstLine="560" w:firstLineChars="200"/>
        <w:jc w:val="left"/>
        <w:rPr>
          <w:color w:val="auto"/>
          <w:sz w:val="28"/>
          <w:szCs w:val="28"/>
          <w:highlight w:val="none"/>
        </w:rPr>
      </w:pPr>
      <w:r>
        <w:rPr>
          <w:color w:val="auto"/>
          <w:sz w:val="28"/>
          <w:szCs w:val="28"/>
          <w:highlight w:val="none"/>
        </w:rPr>
        <w:t>对于所有培训，</w:t>
      </w:r>
      <w:r>
        <w:rPr>
          <w:rFonts w:hint="eastAsia" w:eastAsia="宋体"/>
          <w:color w:val="auto"/>
          <w:sz w:val="28"/>
          <w:szCs w:val="28"/>
          <w:highlight w:val="none"/>
          <w:lang w:eastAsia="zh-CN"/>
        </w:rPr>
        <w:t>投标人</w:t>
      </w:r>
      <w:r>
        <w:rPr>
          <w:color w:val="auto"/>
          <w:sz w:val="28"/>
          <w:szCs w:val="28"/>
          <w:highlight w:val="none"/>
        </w:rPr>
        <w:t>必须派出相应专业的具有实际工作经验的人员进行培训。培训所使用的语言和书面教材必须是中文。</w:t>
      </w:r>
    </w:p>
    <w:p w14:paraId="495C52D0">
      <w:pPr>
        <w:widowControl/>
        <w:numPr>
          <w:ilvl w:val="0"/>
          <w:numId w:val="0"/>
        </w:numPr>
        <w:spacing w:line="360" w:lineRule="auto"/>
        <w:ind w:firstLine="560" w:firstLineChars="200"/>
        <w:jc w:val="left"/>
        <w:rPr>
          <w:color w:val="auto"/>
          <w:sz w:val="28"/>
          <w:szCs w:val="28"/>
          <w:highlight w:val="none"/>
        </w:rPr>
      </w:pPr>
      <w:r>
        <w:rPr>
          <w:color w:val="auto"/>
          <w:sz w:val="28"/>
          <w:szCs w:val="28"/>
          <w:highlight w:val="none"/>
        </w:rPr>
        <w:t>培训次数按照用户实际需要确定，但至少不低于6场次（含课件开发制作培训），</w:t>
      </w:r>
      <w:r>
        <w:rPr>
          <w:color w:val="auto"/>
          <w:sz w:val="28"/>
          <w:szCs w:val="28"/>
          <w:highlight w:val="none"/>
          <w:lang w:val="zh-CN"/>
        </w:rPr>
        <w:t>包括组织招标</w:t>
      </w:r>
      <w:r>
        <w:rPr>
          <w:rFonts w:hint="eastAsia" w:ascii="Times New Roman" w:eastAsia="宋体"/>
          <w:color w:val="auto"/>
          <w:sz w:val="28"/>
          <w:szCs w:val="28"/>
          <w:highlight w:val="none"/>
          <w:lang w:val="en-US" w:eastAsia="zh-CN"/>
        </w:rPr>
        <w:t>人</w:t>
      </w:r>
      <w:r>
        <w:rPr>
          <w:color w:val="auto"/>
          <w:sz w:val="28"/>
          <w:szCs w:val="28"/>
          <w:highlight w:val="none"/>
          <w:lang w:val="zh-CN"/>
        </w:rPr>
        <w:t>不少于</w:t>
      </w:r>
      <w:r>
        <w:rPr>
          <w:rFonts w:hint="eastAsia" w:ascii="Times New Roman" w:eastAsia="宋体"/>
          <w:color w:val="auto"/>
          <w:sz w:val="28"/>
          <w:szCs w:val="28"/>
          <w:highlight w:val="none"/>
          <w:lang w:val="en-US" w:eastAsia="zh-CN"/>
        </w:rPr>
        <w:t>10</w:t>
      </w:r>
      <w:r>
        <w:rPr>
          <w:color w:val="auto"/>
          <w:sz w:val="28"/>
          <w:szCs w:val="28"/>
          <w:highlight w:val="none"/>
          <w:lang w:val="zh-CN"/>
        </w:rPr>
        <w:t>人次的行业调研与考察工作</w:t>
      </w:r>
      <w:r>
        <w:rPr>
          <w:rFonts w:hint="eastAsia" w:ascii="Times New Roman"/>
          <w:color w:val="auto"/>
          <w:sz w:val="28"/>
          <w:szCs w:val="28"/>
          <w:highlight w:val="none"/>
          <w:lang w:val="zh-CN"/>
        </w:rPr>
        <w:t>，相关调研可分批次实施，人次和时长不超过需求即可</w:t>
      </w:r>
      <w:r>
        <w:rPr>
          <w:color w:val="auto"/>
          <w:sz w:val="28"/>
          <w:szCs w:val="28"/>
          <w:highlight w:val="none"/>
        </w:rPr>
        <w:t>。</w:t>
      </w:r>
    </w:p>
    <w:p w14:paraId="1FD17CF5">
      <w:pPr>
        <w:widowControl/>
        <w:spacing w:line="360" w:lineRule="auto"/>
        <w:ind w:firstLine="560" w:firstLineChars="200"/>
        <w:jc w:val="left"/>
        <w:rPr>
          <w:color w:val="auto"/>
          <w:sz w:val="28"/>
          <w:szCs w:val="28"/>
          <w:highlight w:val="none"/>
          <w:lang w:val="zh-CN"/>
        </w:rPr>
      </w:pPr>
      <w:r>
        <w:rPr>
          <w:color w:val="auto"/>
          <w:sz w:val="28"/>
          <w:szCs w:val="28"/>
          <w:highlight w:val="none"/>
          <w:lang w:val="zh-CN"/>
        </w:rPr>
        <w:t>包括但不限于：</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46"/>
        <w:gridCol w:w="1959"/>
        <w:gridCol w:w="1910"/>
        <w:gridCol w:w="1715"/>
        <w:gridCol w:w="2165"/>
      </w:tblGrid>
      <w:tr w14:paraId="4E0D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14:paraId="74B1D30F">
            <w:pPr>
              <w:snapToGrid w:val="0"/>
              <w:spacing w:line="360" w:lineRule="auto"/>
              <w:jc w:val="center"/>
              <w:rPr>
                <w:b/>
                <w:color w:val="auto"/>
                <w:szCs w:val="21"/>
                <w:highlight w:val="none"/>
              </w:rPr>
            </w:pPr>
            <w:r>
              <w:rPr>
                <w:b/>
                <w:color w:val="auto"/>
                <w:szCs w:val="21"/>
                <w:highlight w:val="none"/>
              </w:rPr>
              <w:t>编号</w:t>
            </w:r>
          </w:p>
        </w:tc>
        <w:tc>
          <w:tcPr>
            <w:tcW w:w="1269" w:type="dxa"/>
            <w:noWrap w:val="0"/>
            <w:vAlign w:val="center"/>
          </w:tcPr>
          <w:p w14:paraId="274E4AA2">
            <w:pPr>
              <w:snapToGrid w:val="0"/>
              <w:spacing w:line="360" w:lineRule="auto"/>
              <w:jc w:val="center"/>
              <w:rPr>
                <w:b/>
                <w:color w:val="auto"/>
                <w:szCs w:val="21"/>
                <w:highlight w:val="none"/>
              </w:rPr>
            </w:pPr>
            <w:r>
              <w:rPr>
                <w:b/>
                <w:color w:val="auto"/>
                <w:szCs w:val="21"/>
                <w:highlight w:val="none"/>
              </w:rPr>
              <w:t>培训对象</w:t>
            </w:r>
          </w:p>
        </w:tc>
        <w:tc>
          <w:tcPr>
            <w:tcW w:w="1846" w:type="dxa"/>
            <w:noWrap w:val="0"/>
            <w:vAlign w:val="center"/>
          </w:tcPr>
          <w:p w14:paraId="17F70CBE">
            <w:pPr>
              <w:snapToGrid w:val="0"/>
              <w:spacing w:line="360" w:lineRule="auto"/>
              <w:jc w:val="center"/>
              <w:rPr>
                <w:b/>
                <w:color w:val="auto"/>
                <w:szCs w:val="21"/>
                <w:highlight w:val="none"/>
              </w:rPr>
            </w:pPr>
            <w:r>
              <w:rPr>
                <w:b/>
                <w:color w:val="auto"/>
                <w:szCs w:val="21"/>
                <w:highlight w:val="none"/>
              </w:rPr>
              <w:t>培训目标</w:t>
            </w:r>
          </w:p>
        </w:tc>
        <w:tc>
          <w:tcPr>
            <w:tcW w:w="1800" w:type="dxa"/>
            <w:noWrap w:val="0"/>
            <w:vAlign w:val="center"/>
          </w:tcPr>
          <w:p w14:paraId="07661027">
            <w:pPr>
              <w:snapToGrid w:val="0"/>
              <w:spacing w:line="360" w:lineRule="auto"/>
              <w:jc w:val="center"/>
              <w:rPr>
                <w:b/>
                <w:color w:val="auto"/>
                <w:szCs w:val="21"/>
                <w:highlight w:val="none"/>
              </w:rPr>
            </w:pPr>
            <w:r>
              <w:rPr>
                <w:b/>
                <w:color w:val="auto"/>
                <w:szCs w:val="21"/>
                <w:highlight w:val="none"/>
              </w:rPr>
              <w:t>培训内容</w:t>
            </w:r>
          </w:p>
        </w:tc>
        <w:tc>
          <w:tcPr>
            <w:tcW w:w="1616" w:type="dxa"/>
            <w:noWrap w:val="0"/>
            <w:vAlign w:val="center"/>
          </w:tcPr>
          <w:p w14:paraId="41F6B2EE">
            <w:pPr>
              <w:snapToGrid w:val="0"/>
              <w:spacing w:line="360" w:lineRule="auto"/>
              <w:jc w:val="center"/>
              <w:rPr>
                <w:b/>
                <w:color w:val="auto"/>
                <w:szCs w:val="21"/>
                <w:highlight w:val="none"/>
              </w:rPr>
            </w:pPr>
            <w:r>
              <w:rPr>
                <w:b/>
                <w:color w:val="auto"/>
                <w:szCs w:val="21"/>
                <w:highlight w:val="none"/>
              </w:rPr>
              <w:t>培训形式</w:t>
            </w:r>
          </w:p>
        </w:tc>
        <w:tc>
          <w:tcPr>
            <w:tcW w:w="2040" w:type="dxa"/>
            <w:noWrap w:val="0"/>
            <w:vAlign w:val="center"/>
          </w:tcPr>
          <w:p w14:paraId="64433C2A">
            <w:pPr>
              <w:snapToGrid w:val="0"/>
              <w:spacing w:line="360" w:lineRule="auto"/>
              <w:jc w:val="center"/>
              <w:rPr>
                <w:b/>
                <w:color w:val="auto"/>
                <w:szCs w:val="21"/>
                <w:highlight w:val="none"/>
              </w:rPr>
            </w:pPr>
            <w:r>
              <w:rPr>
                <w:b/>
                <w:color w:val="auto"/>
                <w:szCs w:val="21"/>
                <w:highlight w:val="none"/>
              </w:rPr>
              <w:t>培训材料</w:t>
            </w:r>
          </w:p>
        </w:tc>
      </w:tr>
      <w:tr w14:paraId="6261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14:paraId="3AE526C0">
            <w:pPr>
              <w:snapToGrid w:val="0"/>
              <w:jc w:val="center"/>
              <w:rPr>
                <w:color w:val="auto"/>
                <w:szCs w:val="21"/>
                <w:highlight w:val="none"/>
              </w:rPr>
            </w:pPr>
            <w:r>
              <w:rPr>
                <w:color w:val="auto"/>
                <w:szCs w:val="21"/>
                <w:highlight w:val="none"/>
              </w:rPr>
              <w:t>1</w:t>
            </w:r>
          </w:p>
        </w:tc>
        <w:tc>
          <w:tcPr>
            <w:tcW w:w="1269" w:type="dxa"/>
            <w:noWrap w:val="0"/>
            <w:vAlign w:val="top"/>
          </w:tcPr>
          <w:p w14:paraId="01AF465A">
            <w:pPr>
              <w:snapToGrid w:val="0"/>
              <w:jc w:val="left"/>
              <w:rPr>
                <w:color w:val="auto"/>
                <w:szCs w:val="21"/>
                <w:highlight w:val="none"/>
              </w:rPr>
            </w:pPr>
            <w:r>
              <w:rPr>
                <w:color w:val="auto"/>
                <w:szCs w:val="21"/>
                <w:highlight w:val="none"/>
              </w:rPr>
              <w:t>普通用户</w:t>
            </w:r>
          </w:p>
        </w:tc>
        <w:tc>
          <w:tcPr>
            <w:tcW w:w="1846" w:type="dxa"/>
            <w:noWrap w:val="0"/>
            <w:vAlign w:val="top"/>
          </w:tcPr>
          <w:p w14:paraId="504BDF2F">
            <w:pPr>
              <w:snapToGrid w:val="0"/>
              <w:jc w:val="left"/>
              <w:rPr>
                <w:color w:val="auto"/>
                <w:szCs w:val="21"/>
                <w:highlight w:val="none"/>
              </w:rPr>
            </w:pPr>
            <w:r>
              <w:rPr>
                <w:color w:val="auto"/>
                <w:szCs w:val="21"/>
                <w:highlight w:val="none"/>
              </w:rPr>
              <w:t>掌握系统操作方法</w:t>
            </w:r>
          </w:p>
        </w:tc>
        <w:tc>
          <w:tcPr>
            <w:tcW w:w="1800" w:type="dxa"/>
            <w:noWrap w:val="0"/>
            <w:vAlign w:val="top"/>
          </w:tcPr>
          <w:p w14:paraId="3EC24EF2">
            <w:pPr>
              <w:snapToGrid w:val="0"/>
              <w:jc w:val="left"/>
              <w:rPr>
                <w:color w:val="auto"/>
                <w:szCs w:val="21"/>
                <w:highlight w:val="none"/>
              </w:rPr>
            </w:pPr>
            <w:r>
              <w:rPr>
                <w:color w:val="auto"/>
                <w:szCs w:val="21"/>
                <w:highlight w:val="none"/>
              </w:rPr>
              <w:t>日常操作方法</w:t>
            </w:r>
          </w:p>
        </w:tc>
        <w:tc>
          <w:tcPr>
            <w:tcW w:w="1616" w:type="dxa"/>
            <w:noWrap w:val="0"/>
            <w:vAlign w:val="top"/>
          </w:tcPr>
          <w:p w14:paraId="0CC8A6AA">
            <w:pPr>
              <w:snapToGrid w:val="0"/>
              <w:jc w:val="left"/>
              <w:rPr>
                <w:color w:val="auto"/>
                <w:szCs w:val="21"/>
                <w:highlight w:val="none"/>
              </w:rPr>
            </w:pPr>
            <w:r>
              <w:rPr>
                <w:color w:val="auto"/>
                <w:szCs w:val="21"/>
                <w:highlight w:val="none"/>
              </w:rPr>
              <w:t>下发培训资料（或专场培训）</w:t>
            </w:r>
          </w:p>
        </w:tc>
        <w:tc>
          <w:tcPr>
            <w:tcW w:w="2040" w:type="dxa"/>
            <w:noWrap w:val="0"/>
            <w:vAlign w:val="top"/>
          </w:tcPr>
          <w:p w14:paraId="137969EE">
            <w:pPr>
              <w:snapToGrid w:val="0"/>
              <w:jc w:val="left"/>
              <w:rPr>
                <w:color w:val="auto"/>
                <w:szCs w:val="21"/>
                <w:highlight w:val="none"/>
              </w:rPr>
            </w:pPr>
            <w:r>
              <w:rPr>
                <w:color w:val="auto"/>
                <w:szCs w:val="21"/>
                <w:highlight w:val="none"/>
              </w:rPr>
              <w:t>使用说明书、常见问题、操作视频</w:t>
            </w:r>
          </w:p>
        </w:tc>
      </w:tr>
      <w:tr w14:paraId="7E9F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14:paraId="0B5E7356">
            <w:pPr>
              <w:snapToGrid w:val="0"/>
              <w:jc w:val="center"/>
              <w:rPr>
                <w:color w:val="auto"/>
                <w:szCs w:val="21"/>
                <w:highlight w:val="none"/>
              </w:rPr>
            </w:pPr>
            <w:r>
              <w:rPr>
                <w:color w:val="auto"/>
                <w:szCs w:val="21"/>
                <w:highlight w:val="none"/>
              </w:rPr>
              <w:t>2</w:t>
            </w:r>
          </w:p>
        </w:tc>
        <w:tc>
          <w:tcPr>
            <w:tcW w:w="1269" w:type="dxa"/>
            <w:noWrap w:val="0"/>
            <w:vAlign w:val="top"/>
          </w:tcPr>
          <w:p w14:paraId="7F3B0FAD">
            <w:pPr>
              <w:snapToGrid w:val="0"/>
              <w:jc w:val="left"/>
              <w:rPr>
                <w:color w:val="auto"/>
                <w:szCs w:val="21"/>
                <w:highlight w:val="none"/>
              </w:rPr>
            </w:pPr>
            <w:r>
              <w:rPr>
                <w:color w:val="auto"/>
                <w:szCs w:val="21"/>
                <w:highlight w:val="none"/>
              </w:rPr>
              <w:t>关键用户</w:t>
            </w:r>
          </w:p>
        </w:tc>
        <w:tc>
          <w:tcPr>
            <w:tcW w:w="1846" w:type="dxa"/>
            <w:noWrap w:val="0"/>
            <w:vAlign w:val="top"/>
          </w:tcPr>
          <w:p w14:paraId="5FBEB592">
            <w:pPr>
              <w:snapToGrid w:val="0"/>
              <w:jc w:val="left"/>
              <w:rPr>
                <w:color w:val="auto"/>
                <w:szCs w:val="21"/>
                <w:highlight w:val="none"/>
              </w:rPr>
            </w:pPr>
            <w:r>
              <w:rPr>
                <w:color w:val="auto"/>
                <w:szCs w:val="21"/>
                <w:highlight w:val="none"/>
              </w:rPr>
              <w:t>掌握系统操作方法、常见问题处理</w:t>
            </w:r>
          </w:p>
        </w:tc>
        <w:tc>
          <w:tcPr>
            <w:tcW w:w="1800" w:type="dxa"/>
            <w:noWrap w:val="0"/>
            <w:vAlign w:val="top"/>
          </w:tcPr>
          <w:p w14:paraId="1CBF6C2C">
            <w:pPr>
              <w:snapToGrid w:val="0"/>
              <w:jc w:val="left"/>
              <w:rPr>
                <w:color w:val="auto"/>
                <w:szCs w:val="21"/>
                <w:highlight w:val="none"/>
              </w:rPr>
            </w:pPr>
            <w:r>
              <w:rPr>
                <w:color w:val="auto"/>
                <w:szCs w:val="21"/>
                <w:highlight w:val="none"/>
              </w:rPr>
              <w:t>1、日常操作方法。</w:t>
            </w:r>
          </w:p>
          <w:p w14:paraId="484914CD">
            <w:pPr>
              <w:snapToGrid w:val="0"/>
              <w:jc w:val="left"/>
              <w:rPr>
                <w:color w:val="auto"/>
                <w:szCs w:val="21"/>
                <w:highlight w:val="none"/>
              </w:rPr>
            </w:pPr>
            <w:r>
              <w:rPr>
                <w:color w:val="auto"/>
                <w:szCs w:val="21"/>
                <w:highlight w:val="none"/>
              </w:rPr>
              <w:t>2、常见问题处理</w:t>
            </w:r>
          </w:p>
        </w:tc>
        <w:tc>
          <w:tcPr>
            <w:tcW w:w="1616" w:type="dxa"/>
            <w:noWrap w:val="0"/>
            <w:vAlign w:val="top"/>
          </w:tcPr>
          <w:p w14:paraId="3B5949D7">
            <w:pPr>
              <w:snapToGrid w:val="0"/>
              <w:jc w:val="left"/>
              <w:rPr>
                <w:color w:val="auto"/>
                <w:szCs w:val="21"/>
                <w:highlight w:val="none"/>
              </w:rPr>
            </w:pPr>
            <w:r>
              <w:rPr>
                <w:color w:val="auto"/>
                <w:szCs w:val="21"/>
                <w:highlight w:val="none"/>
              </w:rPr>
              <w:t>专场培训</w:t>
            </w:r>
          </w:p>
        </w:tc>
        <w:tc>
          <w:tcPr>
            <w:tcW w:w="2040" w:type="dxa"/>
            <w:noWrap w:val="0"/>
            <w:vAlign w:val="top"/>
          </w:tcPr>
          <w:p w14:paraId="591205D3">
            <w:pPr>
              <w:snapToGrid w:val="0"/>
              <w:jc w:val="left"/>
              <w:rPr>
                <w:color w:val="auto"/>
                <w:szCs w:val="21"/>
                <w:highlight w:val="none"/>
              </w:rPr>
            </w:pPr>
            <w:r>
              <w:rPr>
                <w:color w:val="auto"/>
                <w:szCs w:val="21"/>
                <w:highlight w:val="none"/>
              </w:rPr>
              <w:t>使用说明书、常见问题、操作视频</w:t>
            </w:r>
          </w:p>
        </w:tc>
      </w:tr>
      <w:tr w14:paraId="3387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14:paraId="6B5B6445">
            <w:pPr>
              <w:snapToGrid w:val="0"/>
              <w:jc w:val="center"/>
              <w:rPr>
                <w:color w:val="auto"/>
                <w:szCs w:val="21"/>
                <w:highlight w:val="none"/>
              </w:rPr>
            </w:pPr>
            <w:r>
              <w:rPr>
                <w:color w:val="auto"/>
                <w:szCs w:val="21"/>
                <w:highlight w:val="none"/>
              </w:rPr>
              <w:t>3</w:t>
            </w:r>
          </w:p>
        </w:tc>
        <w:tc>
          <w:tcPr>
            <w:tcW w:w="1269" w:type="dxa"/>
            <w:noWrap w:val="0"/>
            <w:vAlign w:val="top"/>
          </w:tcPr>
          <w:p w14:paraId="30FD32A4">
            <w:pPr>
              <w:snapToGrid w:val="0"/>
              <w:jc w:val="left"/>
              <w:rPr>
                <w:color w:val="auto"/>
                <w:szCs w:val="21"/>
                <w:highlight w:val="none"/>
              </w:rPr>
            </w:pPr>
            <w:r>
              <w:rPr>
                <w:color w:val="auto"/>
                <w:szCs w:val="21"/>
                <w:highlight w:val="none"/>
              </w:rPr>
              <w:t>系统管理员</w:t>
            </w:r>
          </w:p>
        </w:tc>
        <w:tc>
          <w:tcPr>
            <w:tcW w:w="1846" w:type="dxa"/>
            <w:noWrap w:val="0"/>
            <w:vAlign w:val="top"/>
          </w:tcPr>
          <w:p w14:paraId="0A928048">
            <w:pPr>
              <w:snapToGrid w:val="0"/>
              <w:jc w:val="left"/>
              <w:rPr>
                <w:color w:val="auto"/>
                <w:szCs w:val="21"/>
                <w:highlight w:val="none"/>
              </w:rPr>
            </w:pPr>
            <w:r>
              <w:rPr>
                <w:color w:val="auto"/>
                <w:szCs w:val="21"/>
                <w:highlight w:val="none"/>
              </w:rPr>
              <w:t>了解系统架构、掌握系统配置方法、常见问题处理</w:t>
            </w:r>
          </w:p>
        </w:tc>
        <w:tc>
          <w:tcPr>
            <w:tcW w:w="1800" w:type="dxa"/>
            <w:noWrap w:val="0"/>
            <w:vAlign w:val="top"/>
          </w:tcPr>
          <w:p w14:paraId="73BFC4F1">
            <w:pPr>
              <w:snapToGrid w:val="0"/>
              <w:jc w:val="left"/>
              <w:rPr>
                <w:color w:val="auto"/>
                <w:szCs w:val="21"/>
                <w:highlight w:val="none"/>
              </w:rPr>
            </w:pPr>
            <w:r>
              <w:rPr>
                <w:color w:val="auto"/>
                <w:szCs w:val="21"/>
                <w:highlight w:val="none"/>
              </w:rPr>
              <w:t>1、软件安装配置。</w:t>
            </w:r>
          </w:p>
          <w:p w14:paraId="2B1826EA">
            <w:pPr>
              <w:snapToGrid w:val="0"/>
              <w:jc w:val="left"/>
              <w:rPr>
                <w:color w:val="auto"/>
                <w:szCs w:val="21"/>
                <w:highlight w:val="none"/>
              </w:rPr>
            </w:pPr>
            <w:r>
              <w:rPr>
                <w:color w:val="auto"/>
                <w:szCs w:val="21"/>
                <w:highlight w:val="none"/>
              </w:rPr>
              <w:t>2、系统日常维护。</w:t>
            </w:r>
          </w:p>
          <w:p w14:paraId="69B99B92">
            <w:pPr>
              <w:snapToGrid w:val="0"/>
              <w:jc w:val="left"/>
              <w:rPr>
                <w:color w:val="auto"/>
                <w:szCs w:val="21"/>
                <w:highlight w:val="none"/>
              </w:rPr>
            </w:pPr>
            <w:r>
              <w:rPr>
                <w:color w:val="auto"/>
                <w:szCs w:val="21"/>
                <w:highlight w:val="none"/>
              </w:rPr>
              <w:t>3、系统架构配置。</w:t>
            </w:r>
          </w:p>
        </w:tc>
        <w:tc>
          <w:tcPr>
            <w:tcW w:w="1616" w:type="dxa"/>
            <w:noWrap w:val="0"/>
            <w:vAlign w:val="top"/>
          </w:tcPr>
          <w:p w14:paraId="0E6E3728">
            <w:pPr>
              <w:snapToGrid w:val="0"/>
              <w:jc w:val="left"/>
              <w:rPr>
                <w:color w:val="auto"/>
                <w:szCs w:val="21"/>
                <w:highlight w:val="none"/>
              </w:rPr>
            </w:pPr>
            <w:r>
              <w:rPr>
                <w:color w:val="auto"/>
                <w:szCs w:val="21"/>
                <w:highlight w:val="none"/>
              </w:rPr>
              <w:t>专场培训/一对一实操培训</w:t>
            </w:r>
          </w:p>
        </w:tc>
        <w:tc>
          <w:tcPr>
            <w:tcW w:w="2040" w:type="dxa"/>
            <w:noWrap w:val="0"/>
            <w:vAlign w:val="top"/>
          </w:tcPr>
          <w:p w14:paraId="0733B296">
            <w:pPr>
              <w:snapToGrid w:val="0"/>
              <w:jc w:val="left"/>
              <w:rPr>
                <w:color w:val="auto"/>
                <w:szCs w:val="21"/>
                <w:highlight w:val="none"/>
              </w:rPr>
            </w:pPr>
            <w:r>
              <w:rPr>
                <w:color w:val="auto"/>
                <w:szCs w:val="21"/>
                <w:highlight w:val="none"/>
              </w:rPr>
              <w:t>使用说明书、常见问题、操作视频</w:t>
            </w:r>
          </w:p>
        </w:tc>
      </w:tr>
    </w:tbl>
    <w:p w14:paraId="74B52B4E">
      <w:pPr>
        <w:pStyle w:val="3"/>
        <w:rPr>
          <w:rFonts w:ascii="Times New Roman" w:hAnsi="Times New Roman" w:eastAsia="宋体"/>
          <w:bCs/>
          <w:color w:val="auto"/>
          <w:kern w:val="2"/>
          <w:sz w:val="28"/>
          <w:szCs w:val="28"/>
          <w:highlight w:val="none"/>
        </w:rPr>
      </w:pPr>
      <w:bookmarkStart w:id="1118" w:name="_Toc3761"/>
      <w:bookmarkStart w:id="1119" w:name="_Toc14950"/>
      <w:bookmarkStart w:id="1120" w:name="_Toc156"/>
      <w:bookmarkStart w:id="1121" w:name="_Toc28236"/>
      <w:bookmarkStart w:id="1122" w:name="_Toc17857"/>
      <w:bookmarkStart w:id="1123" w:name="_Toc3850"/>
      <w:bookmarkStart w:id="1124" w:name="_Toc3495"/>
      <w:r>
        <w:rPr>
          <w:rFonts w:ascii="Times New Roman" w:hAnsi="Times New Roman" w:eastAsia="宋体"/>
          <w:bCs/>
          <w:color w:val="auto"/>
          <w:kern w:val="2"/>
          <w:sz w:val="28"/>
          <w:szCs w:val="28"/>
          <w:highlight w:val="none"/>
        </w:rPr>
        <w:t>5.3</w:t>
      </w:r>
      <w:bookmarkStart w:id="1125" w:name="_Toc3374"/>
      <w:r>
        <w:rPr>
          <w:rFonts w:ascii="Times New Roman" w:hAnsi="Times New Roman" w:eastAsia="宋体"/>
          <w:bCs/>
          <w:color w:val="auto"/>
          <w:kern w:val="2"/>
          <w:sz w:val="28"/>
          <w:szCs w:val="28"/>
          <w:highlight w:val="none"/>
        </w:rPr>
        <w:t>培训内容</w:t>
      </w:r>
      <w:bookmarkEnd w:id="1118"/>
      <w:bookmarkEnd w:id="1119"/>
      <w:bookmarkEnd w:id="1120"/>
      <w:bookmarkEnd w:id="1121"/>
      <w:bookmarkEnd w:id="1122"/>
      <w:bookmarkEnd w:id="1123"/>
      <w:bookmarkEnd w:id="1124"/>
      <w:bookmarkEnd w:id="1125"/>
    </w:p>
    <w:p w14:paraId="4E0BA2C3">
      <w:pPr>
        <w:widowControl/>
        <w:spacing w:line="360" w:lineRule="auto"/>
        <w:ind w:firstLine="560" w:firstLineChars="200"/>
        <w:jc w:val="left"/>
        <w:rPr>
          <w:color w:val="auto"/>
          <w:sz w:val="28"/>
          <w:szCs w:val="28"/>
          <w:highlight w:val="none"/>
        </w:rPr>
      </w:pPr>
      <w:r>
        <w:rPr>
          <w:color w:val="auto"/>
          <w:sz w:val="28"/>
          <w:szCs w:val="28"/>
          <w:highlight w:val="none"/>
        </w:rPr>
        <w:t>培训应针对系统功能、业务逻辑、权限管理、用户管理、系统使用、系统日常检查、日常维护、课件开发、及各模块关键用户的使用操作和权限管理进行。</w:t>
      </w:r>
    </w:p>
    <w:p w14:paraId="1FCC7DA7">
      <w:pPr>
        <w:pStyle w:val="3"/>
        <w:rPr>
          <w:rFonts w:ascii="Times New Roman" w:hAnsi="Times New Roman" w:eastAsia="宋体"/>
          <w:bCs/>
          <w:color w:val="auto"/>
          <w:kern w:val="2"/>
          <w:sz w:val="28"/>
          <w:szCs w:val="28"/>
          <w:highlight w:val="none"/>
        </w:rPr>
      </w:pPr>
      <w:bookmarkStart w:id="1126" w:name="_Toc13928"/>
      <w:bookmarkStart w:id="1127" w:name="_Toc11949"/>
      <w:bookmarkStart w:id="1128" w:name="_Toc4314"/>
      <w:bookmarkStart w:id="1129" w:name="_Toc7021"/>
      <w:bookmarkStart w:id="1130" w:name="_Toc12563"/>
      <w:bookmarkStart w:id="1131" w:name="_Toc14955"/>
      <w:bookmarkStart w:id="1132" w:name="_Toc13111"/>
      <w:r>
        <w:rPr>
          <w:rFonts w:ascii="Times New Roman" w:hAnsi="Times New Roman" w:eastAsia="宋体"/>
          <w:bCs/>
          <w:color w:val="auto"/>
          <w:kern w:val="2"/>
          <w:sz w:val="28"/>
          <w:szCs w:val="28"/>
          <w:highlight w:val="none"/>
        </w:rPr>
        <w:t>5.4</w:t>
      </w:r>
      <w:bookmarkStart w:id="1133" w:name="_Toc31744"/>
      <w:r>
        <w:rPr>
          <w:rFonts w:ascii="Times New Roman" w:hAnsi="Times New Roman" w:eastAsia="宋体"/>
          <w:bCs/>
          <w:color w:val="auto"/>
          <w:kern w:val="2"/>
          <w:sz w:val="28"/>
          <w:szCs w:val="28"/>
          <w:highlight w:val="none"/>
        </w:rPr>
        <w:t>培训资料及知识产权</w:t>
      </w:r>
      <w:bookmarkEnd w:id="1126"/>
      <w:bookmarkEnd w:id="1127"/>
      <w:bookmarkEnd w:id="1128"/>
      <w:bookmarkEnd w:id="1129"/>
      <w:bookmarkEnd w:id="1130"/>
      <w:bookmarkEnd w:id="1131"/>
      <w:bookmarkEnd w:id="1132"/>
      <w:bookmarkEnd w:id="1133"/>
    </w:p>
    <w:p w14:paraId="54493DA0">
      <w:pPr>
        <w:widowControl/>
        <w:spacing w:line="360" w:lineRule="auto"/>
        <w:ind w:firstLine="560" w:firstLineChars="200"/>
        <w:jc w:val="left"/>
        <w:rPr>
          <w:color w:val="auto"/>
          <w:sz w:val="28"/>
          <w:szCs w:val="28"/>
          <w:highlight w:val="none"/>
        </w:rPr>
      </w:pPr>
      <w:r>
        <w:rPr>
          <w:color w:val="auto"/>
          <w:sz w:val="28"/>
          <w:szCs w:val="28"/>
          <w:highlight w:val="none"/>
        </w:rPr>
        <w:t>1）投标人在招标人现场的培训，投标人须无偿提供培训资料、讲稿的电子稿，同时允许招标人在公司内部使用。</w:t>
      </w:r>
    </w:p>
    <w:p w14:paraId="58B227AB">
      <w:pPr>
        <w:widowControl/>
        <w:spacing w:line="360" w:lineRule="auto"/>
        <w:ind w:firstLine="560" w:firstLineChars="200"/>
        <w:jc w:val="left"/>
        <w:rPr>
          <w:color w:val="auto"/>
          <w:sz w:val="28"/>
          <w:szCs w:val="28"/>
          <w:highlight w:val="none"/>
        </w:rPr>
      </w:pPr>
      <w:r>
        <w:rPr>
          <w:color w:val="auto"/>
          <w:sz w:val="28"/>
          <w:szCs w:val="28"/>
          <w:highlight w:val="none"/>
        </w:rPr>
        <w:t>2）对于技术部门、业务部门的技术人员、关键用户及业务操作人员，应根据岗位职责形成相应的详细的操作手册。</w:t>
      </w:r>
    </w:p>
    <w:p w14:paraId="571D97EB">
      <w:pPr>
        <w:spacing w:line="360" w:lineRule="auto"/>
        <w:jc w:val="left"/>
        <w:outlineLvl w:val="0"/>
        <w:rPr>
          <w:b/>
          <w:bCs/>
          <w:color w:val="auto"/>
          <w:sz w:val="28"/>
          <w:szCs w:val="28"/>
          <w:highlight w:val="none"/>
        </w:rPr>
      </w:pPr>
      <w:bookmarkStart w:id="1134" w:name="_Toc5970"/>
      <w:bookmarkStart w:id="1135" w:name="_Toc18170"/>
      <w:bookmarkStart w:id="1136" w:name="_Toc18734"/>
      <w:bookmarkStart w:id="1137" w:name="_Toc8409"/>
      <w:bookmarkStart w:id="1138" w:name="_Toc29184"/>
      <w:bookmarkStart w:id="1139" w:name="_Toc29149"/>
      <w:bookmarkStart w:id="1140" w:name="_Toc10584"/>
      <w:r>
        <w:rPr>
          <w:b/>
          <w:bCs/>
          <w:color w:val="auto"/>
          <w:sz w:val="28"/>
          <w:szCs w:val="28"/>
          <w:highlight w:val="none"/>
        </w:rPr>
        <w:t>6项目实施过程管理要求</w:t>
      </w:r>
      <w:bookmarkEnd w:id="1134"/>
      <w:bookmarkEnd w:id="1135"/>
      <w:bookmarkEnd w:id="1136"/>
      <w:bookmarkEnd w:id="1137"/>
      <w:bookmarkEnd w:id="1138"/>
      <w:bookmarkEnd w:id="1139"/>
      <w:bookmarkEnd w:id="1140"/>
    </w:p>
    <w:p w14:paraId="4EDBB0C5">
      <w:pPr>
        <w:spacing w:line="360" w:lineRule="auto"/>
        <w:jc w:val="left"/>
        <w:outlineLvl w:val="1"/>
        <w:rPr>
          <w:b/>
          <w:bCs/>
          <w:color w:val="auto"/>
          <w:sz w:val="28"/>
          <w:szCs w:val="28"/>
          <w:highlight w:val="none"/>
        </w:rPr>
      </w:pPr>
      <w:bookmarkStart w:id="1141" w:name="_Toc5221"/>
      <w:bookmarkStart w:id="1142" w:name="_Toc25039"/>
      <w:bookmarkStart w:id="1143" w:name="_Toc11233"/>
      <w:bookmarkStart w:id="1144" w:name="_Toc6601"/>
      <w:bookmarkStart w:id="1145" w:name="_Toc2971"/>
      <w:bookmarkStart w:id="1146" w:name="_Toc30677"/>
      <w:bookmarkStart w:id="1147" w:name="_Toc28512"/>
      <w:r>
        <w:rPr>
          <w:b/>
          <w:bCs/>
          <w:color w:val="auto"/>
          <w:sz w:val="28"/>
          <w:szCs w:val="28"/>
          <w:highlight w:val="none"/>
        </w:rPr>
        <w:t>6.1项目启动</w:t>
      </w:r>
      <w:bookmarkEnd w:id="1141"/>
      <w:bookmarkEnd w:id="1142"/>
      <w:bookmarkEnd w:id="1143"/>
      <w:bookmarkEnd w:id="1144"/>
      <w:bookmarkEnd w:id="1145"/>
      <w:bookmarkEnd w:id="1146"/>
      <w:bookmarkEnd w:id="1147"/>
    </w:p>
    <w:p w14:paraId="64130F02">
      <w:pPr>
        <w:spacing w:line="360" w:lineRule="auto"/>
        <w:ind w:firstLine="560" w:firstLineChars="200"/>
        <w:jc w:val="left"/>
        <w:rPr>
          <w:color w:val="auto"/>
          <w:sz w:val="28"/>
          <w:szCs w:val="28"/>
          <w:highlight w:val="none"/>
        </w:rPr>
      </w:pPr>
      <w:r>
        <w:rPr>
          <w:color w:val="auto"/>
          <w:sz w:val="28"/>
          <w:szCs w:val="28"/>
          <w:highlight w:val="none"/>
        </w:rPr>
        <w:t>组建项目组，召开项目启动会，双方项目组成员沟通、交流。对项目范围说明书（SOW）、工作计划分解（WBS）、质量管理计划、沟通管理计划、项目组织与职责、风险管理计划、培训计划、文档与配置管理计划、验收计划做出明确定义，编制并提交《项目管理工作说明书》。</w:t>
      </w:r>
    </w:p>
    <w:p w14:paraId="2D515B18">
      <w:pPr>
        <w:spacing w:line="360" w:lineRule="auto"/>
        <w:jc w:val="left"/>
        <w:outlineLvl w:val="1"/>
        <w:rPr>
          <w:b/>
          <w:bCs/>
          <w:color w:val="auto"/>
          <w:sz w:val="28"/>
          <w:szCs w:val="28"/>
          <w:highlight w:val="none"/>
        </w:rPr>
      </w:pPr>
      <w:bookmarkStart w:id="1148" w:name="_Toc3498"/>
      <w:bookmarkStart w:id="1149" w:name="_Toc25830"/>
      <w:bookmarkStart w:id="1150" w:name="_Toc27679"/>
      <w:bookmarkStart w:id="1151" w:name="_Toc20838"/>
      <w:bookmarkStart w:id="1152" w:name="_Toc11394"/>
      <w:bookmarkStart w:id="1153" w:name="_Toc21225"/>
      <w:bookmarkStart w:id="1154" w:name="_Toc24930"/>
      <w:r>
        <w:rPr>
          <w:b/>
          <w:bCs/>
          <w:color w:val="auto"/>
          <w:sz w:val="28"/>
          <w:szCs w:val="28"/>
          <w:highlight w:val="none"/>
        </w:rPr>
        <w:t>6.2业务调研</w:t>
      </w:r>
      <w:bookmarkEnd w:id="1148"/>
      <w:bookmarkEnd w:id="1149"/>
      <w:bookmarkEnd w:id="1150"/>
      <w:bookmarkEnd w:id="1151"/>
      <w:bookmarkEnd w:id="1152"/>
      <w:bookmarkEnd w:id="1153"/>
      <w:bookmarkEnd w:id="1154"/>
    </w:p>
    <w:p w14:paraId="2448F33B">
      <w:pPr>
        <w:spacing w:line="360" w:lineRule="auto"/>
        <w:ind w:firstLine="560" w:firstLineChars="200"/>
        <w:jc w:val="left"/>
        <w:rPr>
          <w:color w:val="auto"/>
          <w:sz w:val="28"/>
          <w:szCs w:val="28"/>
          <w:highlight w:val="none"/>
        </w:rPr>
      </w:pPr>
      <w:r>
        <w:rPr>
          <w:color w:val="auto"/>
          <w:sz w:val="28"/>
          <w:szCs w:val="28"/>
          <w:highlight w:val="none"/>
        </w:rPr>
        <w:t>结合行业最佳实践及其他地铁同行建设经验，对东莞市轨道一号线建设发展有限公司运营管理中心的相关人员开展调研、访谈等工作，同时结合国家相关规范标准和企业内部制度，对东莞市轨道交通控制保护区相关管理要求等进行梳理，掌握东莞市轨道交通控制保护区管理现状及工作重点和难点。</w:t>
      </w:r>
    </w:p>
    <w:p w14:paraId="309F20FE">
      <w:pPr>
        <w:spacing w:line="360" w:lineRule="auto"/>
        <w:jc w:val="left"/>
        <w:outlineLvl w:val="1"/>
        <w:rPr>
          <w:b/>
          <w:bCs/>
          <w:color w:val="auto"/>
          <w:sz w:val="28"/>
          <w:szCs w:val="28"/>
          <w:highlight w:val="none"/>
        </w:rPr>
      </w:pPr>
      <w:bookmarkStart w:id="1155" w:name="_Toc1458"/>
      <w:bookmarkStart w:id="1156" w:name="_Toc27565"/>
      <w:bookmarkStart w:id="1157" w:name="_Toc23973"/>
      <w:bookmarkStart w:id="1158" w:name="_Toc7053"/>
      <w:bookmarkStart w:id="1159" w:name="_Toc1533"/>
      <w:bookmarkStart w:id="1160" w:name="_Toc16336"/>
      <w:bookmarkStart w:id="1161" w:name="_Toc26694"/>
      <w:r>
        <w:rPr>
          <w:b/>
          <w:bCs/>
          <w:color w:val="auto"/>
          <w:sz w:val="28"/>
          <w:szCs w:val="28"/>
          <w:highlight w:val="none"/>
        </w:rPr>
        <w:t>6.</w:t>
      </w:r>
      <w:r>
        <w:rPr>
          <w:rFonts w:hint="eastAsia" w:ascii="Times New Roman" w:eastAsia="宋体"/>
          <w:b/>
          <w:bCs/>
          <w:color w:val="auto"/>
          <w:sz w:val="28"/>
          <w:szCs w:val="28"/>
          <w:highlight w:val="none"/>
          <w:lang w:val="en-US" w:eastAsia="zh-CN"/>
        </w:rPr>
        <w:t>3</w:t>
      </w:r>
      <w:r>
        <w:rPr>
          <w:b/>
          <w:bCs/>
          <w:color w:val="auto"/>
          <w:sz w:val="28"/>
          <w:szCs w:val="28"/>
          <w:highlight w:val="none"/>
        </w:rPr>
        <w:t>方案设计</w:t>
      </w:r>
      <w:bookmarkEnd w:id="1155"/>
      <w:bookmarkEnd w:id="1156"/>
      <w:bookmarkEnd w:id="1157"/>
      <w:bookmarkEnd w:id="1158"/>
      <w:bookmarkEnd w:id="1159"/>
      <w:bookmarkEnd w:id="1160"/>
      <w:bookmarkEnd w:id="1161"/>
    </w:p>
    <w:p w14:paraId="2E246B22">
      <w:pPr>
        <w:spacing w:line="360" w:lineRule="auto"/>
        <w:ind w:firstLine="560" w:firstLineChars="200"/>
        <w:jc w:val="left"/>
        <w:rPr>
          <w:color w:val="auto"/>
          <w:sz w:val="28"/>
          <w:szCs w:val="28"/>
          <w:highlight w:val="none"/>
        </w:rPr>
      </w:pPr>
      <w:r>
        <w:rPr>
          <w:color w:val="auto"/>
          <w:sz w:val="28"/>
          <w:szCs w:val="28"/>
          <w:highlight w:val="none"/>
        </w:rPr>
        <w:t>在需求调研的基础上，进行系统的分析和设计，编制并提交《项目详细设计方案》。其中包括编码规范，数据库设计，开发、测试环境的安装与调试文档、详细设计说明等内容。</w:t>
      </w:r>
    </w:p>
    <w:p w14:paraId="5AA6386D">
      <w:pPr>
        <w:spacing w:line="360" w:lineRule="auto"/>
        <w:jc w:val="left"/>
        <w:outlineLvl w:val="1"/>
        <w:rPr>
          <w:b/>
          <w:bCs/>
          <w:color w:val="auto"/>
          <w:sz w:val="28"/>
          <w:szCs w:val="28"/>
          <w:highlight w:val="none"/>
        </w:rPr>
      </w:pPr>
      <w:bookmarkStart w:id="1162" w:name="_Toc1576"/>
      <w:bookmarkStart w:id="1163" w:name="_Toc26357"/>
      <w:bookmarkStart w:id="1164" w:name="_Toc9225"/>
      <w:bookmarkStart w:id="1165" w:name="_Toc27316"/>
      <w:bookmarkStart w:id="1166" w:name="_Toc22166"/>
      <w:bookmarkStart w:id="1167" w:name="_Toc25682"/>
      <w:bookmarkStart w:id="1168" w:name="_Toc15115"/>
      <w:r>
        <w:rPr>
          <w:b/>
          <w:bCs/>
          <w:color w:val="auto"/>
          <w:sz w:val="28"/>
          <w:szCs w:val="28"/>
          <w:highlight w:val="none"/>
        </w:rPr>
        <w:t>6.</w:t>
      </w:r>
      <w:r>
        <w:rPr>
          <w:rFonts w:hint="eastAsia" w:ascii="Times New Roman" w:eastAsia="宋体"/>
          <w:b/>
          <w:bCs/>
          <w:color w:val="auto"/>
          <w:sz w:val="28"/>
          <w:szCs w:val="28"/>
          <w:highlight w:val="none"/>
          <w:lang w:val="en-US" w:eastAsia="zh-CN"/>
        </w:rPr>
        <w:t>4</w:t>
      </w:r>
      <w:r>
        <w:rPr>
          <w:b/>
          <w:bCs/>
          <w:color w:val="auto"/>
          <w:sz w:val="28"/>
          <w:szCs w:val="28"/>
          <w:highlight w:val="none"/>
        </w:rPr>
        <w:t>开发与集成</w:t>
      </w:r>
      <w:bookmarkEnd w:id="1162"/>
      <w:bookmarkEnd w:id="1163"/>
      <w:bookmarkEnd w:id="1164"/>
      <w:bookmarkEnd w:id="1165"/>
      <w:bookmarkEnd w:id="1166"/>
      <w:bookmarkEnd w:id="1167"/>
      <w:bookmarkEnd w:id="1168"/>
    </w:p>
    <w:p w14:paraId="3949C990">
      <w:pPr>
        <w:spacing w:line="360" w:lineRule="auto"/>
        <w:ind w:firstLine="560" w:firstLineChars="200"/>
        <w:jc w:val="left"/>
        <w:rPr>
          <w:color w:val="auto"/>
          <w:sz w:val="28"/>
          <w:szCs w:val="28"/>
          <w:highlight w:val="none"/>
        </w:rPr>
      </w:pPr>
      <w:r>
        <w:rPr>
          <w:color w:val="auto"/>
          <w:sz w:val="28"/>
          <w:szCs w:val="28"/>
          <w:highlight w:val="none"/>
        </w:rPr>
        <w:t>根据《项目管理工作说明书》、《业务调研与需求分析报告》、《项目详细设计方案》在东莞市轨道一号线建设发展有限公司搭建开发环境、测试环境，完成开发、阶段性部署系统等工作。</w:t>
      </w:r>
    </w:p>
    <w:p w14:paraId="63181CBD">
      <w:pPr>
        <w:spacing w:line="360" w:lineRule="auto"/>
        <w:ind w:firstLine="560" w:firstLineChars="200"/>
        <w:jc w:val="left"/>
        <w:rPr>
          <w:color w:val="auto"/>
          <w:sz w:val="28"/>
          <w:szCs w:val="28"/>
          <w:highlight w:val="none"/>
        </w:rPr>
      </w:pPr>
      <w:r>
        <w:rPr>
          <w:color w:val="auto"/>
          <w:sz w:val="28"/>
          <w:szCs w:val="28"/>
          <w:highlight w:val="none"/>
        </w:rPr>
        <w:t>编制并提交《系统开发与集成工作报告》和《系统应用集成接口开发文档》，提交软件安装包的阶段性发布版、最终发布版,包含数据库表结构说明，开发说明书，接口设计说明书等所有技术文档。</w:t>
      </w:r>
    </w:p>
    <w:p w14:paraId="316C493E">
      <w:pPr>
        <w:spacing w:line="360" w:lineRule="auto"/>
        <w:jc w:val="left"/>
        <w:outlineLvl w:val="1"/>
        <w:rPr>
          <w:b/>
          <w:bCs/>
          <w:color w:val="auto"/>
          <w:sz w:val="28"/>
          <w:szCs w:val="28"/>
          <w:highlight w:val="none"/>
        </w:rPr>
      </w:pPr>
      <w:bookmarkStart w:id="1169" w:name="_Toc8382"/>
      <w:bookmarkStart w:id="1170" w:name="_Toc27271"/>
      <w:bookmarkStart w:id="1171" w:name="_Toc11069"/>
      <w:bookmarkStart w:id="1172" w:name="_Toc1835"/>
      <w:bookmarkStart w:id="1173" w:name="_Toc23809"/>
      <w:bookmarkStart w:id="1174" w:name="_Toc26705"/>
      <w:bookmarkStart w:id="1175" w:name="_Toc24428"/>
      <w:r>
        <w:rPr>
          <w:b/>
          <w:bCs/>
          <w:color w:val="auto"/>
          <w:sz w:val="28"/>
          <w:szCs w:val="28"/>
          <w:highlight w:val="none"/>
        </w:rPr>
        <w:t>6.</w:t>
      </w:r>
      <w:r>
        <w:rPr>
          <w:rFonts w:hint="eastAsia" w:ascii="Times New Roman" w:eastAsia="宋体"/>
          <w:b/>
          <w:bCs/>
          <w:color w:val="auto"/>
          <w:sz w:val="28"/>
          <w:szCs w:val="28"/>
          <w:highlight w:val="none"/>
          <w:lang w:val="en-US" w:eastAsia="zh-CN"/>
        </w:rPr>
        <w:t>5</w:t>
      </w:r>
      <w:r>
        <w:rPr>
          <w:b/>
          <w:bCs/>
          <w:color w:val="auto"/>
          <w:sz w:val="28"/>
          <w:szCs w:val="28"/>
          <w:highlight w:val="none"/>
        </w:rPr>
        <w:t>安装配置</w:t>
      </w:r>
      <w:bookmarkEnd w:id="1169"/>
      <w:bookmarkEnd w:id="1170"/>
      <w:bookmarkEnd w:id="1171"/>
      <w:bookmarkEnd w:id="1172"/>
      <w:bookmarkEnd w:id="1173"/>
      <w:bookmarkEnd w:id="1174"/>
      <w:bookmarkEnd w:id="1175"/>
    </w:p>
    <w:p w14:paraId="6F676EA8">
      <w:pPr>
        <w:spacing w:line="360" w:lineRule="auto"/>
        <w:ind w:firstLine="560" w:firstLineChars="200"/>
        <w:jc w:val="left"/>
        <w:rPr>
          <w:color w:val="auto"/>
          <w:sz w:val="28"/>
          <w:szCs w:val="28"/>
          <w:highlight w:val="none"/>
        </w:rPr>
      </w:pPr>
      <w:r>
        <w:rPr>
          <w:color w:val="auto"/>
          <w:sz w:val="28"/>
          <w:szCs w:val="28"/>
          <w:highlight w:val="none"/>
        </w:rPr>
        <w:t>6.</w:t>
      </w:r>
      <w:r>
        <w:rPr>
          <w:rFonts w:hint="eastAsia"/>
          <w:color w:val="auto"/>
          <w:sz w:val="28"/>
          <w:szCs w:val="28"/>
          <w:highlight w:val="none"/>
          <w:lang w:val="en-US" w:eastAsia="zh-CN"/>
        </w:rPr>
        <w:t>5</w:t>
      </w:r>
      <w:r>
        <w:rPr>
          <w:color w:val="auto"/>
          <w:sz w:val="28"/>
          <w:szCs w:val="28"/>
          <w:highlight w:val="none"/>
        </w:rPr>
        <w:t>.1提交软件和硬件的部署清单，搭建模拟环境，进行系统模拟测试。</w:t>
      </w:r>
    </w:p>
    <w:p w14:paraId="2BD11C13">
      <w:pPr>
        <w:spacing w:line="360" w:lineRule="auto"/>
        <w:ind w:firstLine="560" w:firstLineChars="200"/>
        <w:jc w:val="left"/>
        <w:rPr>
          <w:color w:val="auto"/>
          <w:sz w:val="28"/>
          <w:szCs w:val="28"/>
          <w:highlight w:val="none"/>
        </w:rPr>
      </w:pPr>
      <w:r>
        <w:rPr>
          <w:color w:val="auto"/>
          <w:sz w:val="28"/>
          <w:szCs w:val="28"/>
          <w:highlight w:val="none"/>
        </w:rPr>
        <w:t>6.</w:t>
      </w:r>
      <w:r>
        <w:rPr>
          <w:rFonts w:hint="eastAsia"/>
          <w:color w:val="auto"/>
          <w:sz w:val="28"/>
          <w:szCs w:val="28"/>
          <w:highlight w:val="none"/>
          <w:lang w:val="en-US" w:eastAsia="zh-CN"/>
        </w:rPr>
        <w:t>5</w:t>
      </w:r>
      <w:r>
        <w:rPr>
          <w:color w:val="auto"/>
          <w:sz w:val="28"/>
          <w:szCs w:val="28"/>
          <w:highlight w:val="none"/>
        </w:rPr>
        <w:t>.2根据招标文件要求，配合招标方开展机场具体位置选定工作，负责合同内所有硬件设备安装涉及的布线、周界防护、防雷及调试等全部工作。</w:t>
      </w:r>
    </w:p>
    <w:p w14:paraId="3D55EEF7">
      <w:pPr>
        <w:spacing w:line="360" w:lineRule="auto"/>
        <w:ind w:firstLine="560" w:firstLineChars="200"/>
        <w:jc w:val="left"/>
        <w:rPr>
          <w:color w:val="auto"/>
          <w:sz w:val="28"/>
          <w:szCs w:val="28"/>
          <w:highlight w:val="none"/>
        </w:rPr>
      </w:pPr>
      <w:r>
        <w:rPr>
          <w:color w:val="auto"/>
          <w:sz w:val="28"/>
          <w:szCs w:val="28"/>
          <w:highlight w:val="none"/>
        </w:rPr>
        <w:t>6.</w:t>
      </w:r>
      <w:r>
        <w:rPr>
          <w:rFonts w:hint="eastAsia"/>
          <w:color w:val="auto"/>
          <w:sz w:val="28"/>
          <w:szCs w:val="28"/>
          <w:highlight w:val="none"/>
          <w:lang w:val="en-US" w:eastAsia="zh-CN"/>
        </w:rPr>
        <w:t>5</w:t>
      </w:r>
      <w:r>
        <w:rPr>
          <w:color w:val="auto"/>
          <w:sz w:val="28"/>
          <w:szCs w:val="28"/>
          <w:highlight w:val="none"/>
        </w:rPr>
        <w:t>.3根据需求书的要求，提供符合招标人要求的软件成果供招标人使用。</w:t>
      </w:r>
    </w:p>
    <w:p w14:paraId="660B61CB">
      <w:pPr>
        <w:spacing w:line="360" w:lineRule="auto"/>
        <w:ind w:firstLine="560" w:firstLineChars="200"/>
        <w:jc w:val="left"/>
        <w:rPr>
          <w:color w:val="auto"/>
          <w:sz w:val="28"/>
          <w:szCs w:val="28"/>
          <w:highlight w:val="none"/>
        </w:rPr>
      </w:pPr>
      <w:r>
        <w:rPr>
          <w:color w:val="auto"/>
          <w:sz w:val="28"/>
          <w:szCs w:val="28"/>
          <w:highlight w:val="none"/>
        </w:rPr>
        <w:t>6.</w:t>
      </w:r>
      <w:r>
        <w:rPr>
          <w:rFonts w:hint="eastAsia"/>
          <w:color w:val="auto"/>
          <w:sz w:val="28"/>
          <w:szCs w:val="28"/>
          <w:highlight w:val="none"/>
          <w:lang w:val="en-US" w:eastAsia="zh-CN"/>
        </w:rPr>
        <w:t>5</w:t>
      </w:r>
      <w:r>
        <w:rPr>
          <w:color w:val="auto"/>
          <w:sz w:val="28"/>
          <w:szCs w:val="28"/>
          <w:highlight w:val="none"/>
        </w:rPr>
        <w:t>.4安装应用软件到正式环境，提供《系统安装与配置报告》。提供《管理员使用说明书》供系统维护人员使用。</w:t>
      </w:r>
    </w:p>
    <w:p w14:paraId="0EE240C2">
      <w:pPr>
        <w:spacing w:line="360" w:lineRule="auto"/>
        <w:jc w:val="left"/>
        <w:outlineLvl w:val="1"/>
        <w:rPr>
          <w:b/>
          <w:bCs/>
          <w:color w:val="auto"/>
          <w:sz w:val="28"/>
          <w:szCs w:val="28"/>
          <w:highlight w:val="none"/>
        </w:rPr>
      </w:pPr>
      <w:bookmarkStart w:id="1176" w:name="_Toc29576"/>
      <w:bookmarkStart w:id="1177" w:name="_Toc18697"/>
      <w:bookmarkStart w:id="1178" w:name="_Toc15347"/>
      <w:bookmarkStart w:id="1179" w:name="_Toc26025"/>
      <w:bookmarkStart w:id="1180" w:name="_Toc2771"/>
      <w:bookmarkStart w:id="1181" w:name="_Toc4175"/>
      <w:bookmarkStart w:id="1182" w:name="_Toc8405"/>
      <w:r>
        <w:rPr>
          <w:b/>
          <w:bCs/>
          <w:color w:val="auto"/>
          <w:sz w:val="28"/>
          <w:szCs w:val="28"/>
          <w:highlight w:val="none"/>
        </w:rPr>
        <w:t>6.</w:t>
      </w:r>
      <w:r>
        <w:rPr>
          <w:rFonts w:hint="eastAsia" w:ascii="Times New Roman" w:eastAsia="宋体"/>
          <w:b/>
          <w:bCs/>
          <w:color w:val="auto"/>
          <w:sz w:val="28"/>
          <w:szCs w:val="28"/>
          <w:highlight w:val="none"/>
          <w:lang w:val="en-US" w:eastAsia="zh-CN"/>
        </w:rPr>
        <w:t>6</w:t>
      </w:r>
      <w:r>
        <w:rPr>
          <w:b/>
          <w:bCs/>
          <w:color w:val="auto"/>
          <w:sz w:val="28"/>
          <w:szCs w:val="28"/>
          <w:highlight w:val="none"/>
        </w:rPr>
        <w:t>测试与联调</w:t>
      </w:r>
      <w:bookmarkEnd w:id="1176"/>
      <w:bookmarkEnd w:id="1177"/>
      <w:bookmarkEnd w:id="1178"/>
      <w:bookmarkEnd w:id="1179"/>
      <w:bookmarkEnd w:id="1180"/>
      <w:bookmarkEnd w:id="1181"/>
      <w:bookmarkEnd w:id="1182"/>
    </w:p>
    <w:p w14:paraId="53B8B2D8">
      <w:pPr>
        <w:spacing w:line="360" w:lineRule="auto"/>
        <w:ind w:firstLine="560" w:firstLineChars="200"/>
        <w:jc w:val="left"/>
        <w:rPr>
          <w:color w:val="auto"/>
          <w:sz w:val="28"/>
          <w:szCs w:val="28"/>
          <w:highlight w:val="none"/>
        </w:rPr>
      </w:pPr>
      <w:r>
        <w:rPr>
          <w:color w:val="auto"/>
          <w:sz w:val="28"/>
          <w:szCs w:val="28"/>
          <w:highlight w:val="none"/>
        </w:rPr>
        <w:t>测试工作遵循买方有关规定，并通过第三方测试评估，要求包括但不限于：</w:t>
      </w:r>
    </w:p>
    <w:p w14:paraId="181219BE">
      <w:pPr>
        <w:spacing w:line="360" w:lineRule="auto"/>
        <w:ind w:firstLine="560" w:firstLineChars="200"/>
        <w:jc w:val="left"/>
        <w:rPr>
          <w:color w:val="auto"/>
          <w:sz w:val="28"/>
          <w:szCs w:val="28"/>
          <w:highlight w:val="none"/>
        </w:rPr>
      </w:pPr>
      <w:r>
        <w:rPr>
          <w:color w:val="auto"/>
          <w:sz w:val="28"/>
          <w:szCs w:val="28"/>
          <w:highlight w:val="none"/>
        </w:rPr>
        <w:t>1）编制《系统联调测试方案》，包括功能测试、性能测试、安全性测试、压力测试、疲劳测试、集成测试等测试内容。</w:t>
      </w:r>
    </w:p>
    <w:p w14:paraId="04EDB40B">
      <w:pPr>
        <w:spacing w:line="360" w:lineRule="auto"/>
        <w:ind w:firstLine="560" w:firstLineChars="200"/>
        <w:jc w:val="left"/>
        <w:rPr>
          <w:color w:val="auto"/>
          <w:sz w:val="28"/>
          <w:szCs w:val="28"/>
          <w:highlight w:val="none"/>
        </w:rPr>
      </w:pPr>
      <w:r>
        <w:rPr>
          <w:color w:val="auto"/>
          <w:sz w:val="28"/>
          <w:szCs w:val="28"/>
          <w:highlight w:val="none"/>
        </w:rPr>
        <w:t>2）编制《用户确认测试方案》，包括用户可接受度等测试内容。</w:t>
      </w:r>
    </w:p>
    <w:p w14:paraId="7600E945">
      <w:pPr>
        <w:spacing w:line="360" w:lineRule="auto"/>
        <w:ind w:firstLine="560" w:firstLineChars="200"/>
        <w:jc w:val="left"/>
        <w:rPr>
          <w:color w:val="auto"/>
          <w:sz w:val="28"/>
          <w:szCs w:val="28"/>
          <w:highlight w:val="none"/>
        </w:rPr>
      </w:pPr>
      <w:r>
        <w:rPr>
          <w:color w:val="auto"/>
          <w:sz w:val="28"/>
          <w:szCs w:val="28"/>
          <w:highlight w:val="none"/>
        </w:rPr>
        <w:t>3）对各系统/模块每个功能点进行测试，功能测试用例的覆盖率要达到100%；</w:t>
      </w:r>
    </w:p>
    <w:p w14:paraId="578346E1">
      <w:pPr>
        <w:spacing w:line="360" w:lineRule="auto"/>
        <w:ind w:firstLine="560" w:firstLineChars="200"/>
        <w:jc w:val="left"/>
        <w:rPr>
          <w:color w:val="auto"/>
          <w:sz w:val="28"/>
          <w:szCs w:val="28"/>
          <w:highlight w:val="none"/>
        </w:rPr>
      </w:pPr>
      <w:r>
        <w:rPr>
          <w:color w:val="auto"/>
          <w:sz w:val="28"/>
          <w:szCs w:val="28"/>
          <w:highlight w:val="none"/>
        </w:rPr>
        <w:t>4）进行系统压力测试，使用专业的压力测试软件，模拟200个以上并发用户访问时的访问量，保证系统的稳定性和响应速度在需求书的要求之内。进行系统疲劳测试，模拟在线用户不少于200个，同时进行交替访问的并发用户不低于200个，持续周期约8小时的疲劳压力下，要求保证系统能够稳定运行，并提交相关的书面测试报告。</w:t>
      </w:r>
    </w:p>
    <w:p w14:paraId="679DA7C7">
      <w:pPr>
        <w:spacing w:line="360" w:lineRule="auto"/>
        <w:ind w:firstLine="560" w:firstLineChars="200"/>
        <w:jc w:val="left"/>
        <w:rPr>
          <w:color w:val="auto"/>
          <w:sz w:val="28"/>
          <w:szCs w:val="28"/>
          <w:highlight w:val="none"/>
        </w:rPr>
      </w:pPr>
      <w:r>
        <w:rPr>
          <w:color w:val="auto"/>
          <w:sz w:val="28"/>
          <w:szCs w:val="28"/>
          <w:highlight w:val="none"/>
        </w:rPr>
        <w:t>5）在符合东莞市轨道一号线建设发展有限公司安全体系要求的前提下，对系统相关的接口进行集成测试，在各集成系统正常的情况进行调试，保障系统达到试运行要求。</w:t>
      </w:r>
    </w:p>
    <w:p w14:paraId="3C4AF4D7">
      <w:pPr>
        <w:spacing w:line="360" w:lineRule="auto"/>
        <w:ind w:firstLine="560" w:firstLineChars="200"/>
        <w:jc w:val="left"/>
        <w:rPr>
          <w:color w:val="auto"/>
          <w:sz w:val="28"/>
          <w:szCs w:val="28"/>
          <w:highlight w:val="none"/>
        </w:rPr>
      </w:pPr>
      <w:r>
        <w:rPr>
          <w:color w:val="auto"/>
          <w:sz w:val="28"/>
          <w:szCs w:val="28"/>
          <w:highlight w:val="none"/>
        </w:rPr>
        <w:t>6）完成测试后，编制并提交《系统联调测试报告》、《用户确认测试报告》。</w:t>
      </w:r>
    </w:p>
    <w:p w14:paraId="29562739">
      <w:pPr>
        <w:spacing w:line="360" w:lineRule="auto"/>
        <w:ind w:firstLine="560" w:firstLineChars="200"/>
        <w:jc w:val="left"/>
        <w:rPr>
          <w:color w:val="auto"/>
          <w:sz w:val="28"/>
          <w:szCs w:val="28"/>
          <w:highlight w:val="none"/>
        </w:rPr>
      </w:pPr>
      <w:r>
        <w:rPr>
          <w:color w:val="auto"/>
          <w:sz w:val="28"/>
          <w:szCs w:val="28"/>
          <w:highlight w:val="none"/>
        </w:rPr>
        <w:t>7）所需测试软件由投标人免费提供，测试环境的搭建由投标人完成。</w:t>
      </w:r>
    </w:p>
    <w:p w14:paraId="0A4A05BA">
      <w:pPr>
        <w:ind w:firstLine="560" w:firstLineChars="200"/>
        <w:jc w:val="left"/>
        <w:rPr>
          <w:rFonts w:ascii="Times New Roman" w:hAnsi="Times New Roman"/>
          <w:b w:val="0"/>
          <w:bCs w:val="0"/>
          <w:color w:val="auto"/>
          <w:sz w:val="28"/>
          <w:szCs w:val="28"/>
          <w:highlight w:val="none"/>
        </w:rPr>
      </w:pPr>
      <w:r>
        <w:rPr>
          <w:rFonts w:ascii="Times New Roman" w:hAnsi="Times New Roman"/>
          <w:b w:val="0"/>
          <w:bCs w:val="0"/>
          <w:color w:val="auto"/>
          <w:sz w:val="28"/>
          <w:szCs w:val="28"/>
          <w:highlight w:val="none"/>
        </w:rPr>
        <w:t>8）由投标人负责安排专业第三方测评公司开展测评工作，提交《第三方测评报告》。</w:t>
      </w:r>
    </w:p>
    <w:p w14:paraId="66B1E6F4">
      <w:pPr>
        <w:spacing w:line="360" w:lineRule="auto"/>
        <w:jc w:val="left"/>
        <w:outlineLvl w:val="1"/>
        <w:rPr>
          <w:b/>
          <w:bCs/>
          <w:color w:val="auto"/>
          <w:sz w:val="28"/>
          <w:szCs w:val="28"/>
          <w:highlight w:val="none"/>
        </w:rPr>
      </w:pPr>
      <w:bookmarkStart w:id="1183" w:name="_Toc26061"/>
      <w:bookmarkStart w:id="1184" w:name="_Toc11873"/>
      <w:bookmarkStart w:id="1185" w:name="_Toc18759"/>
      <w:bookmarkStart w:id="1186" w:name="_Toc6087"/>
      <w:bookmarkStart w:id="1187" w:name="_Toc28611"/>
      <w:bookmarkStart w:id="1188" w:name="_Toc998"/>
      <w:bookmarkStart w:id="1189" w:name="_Toc8810"/>
      <w:r>
        <w:rPr>
          <w:b/>
          <w:bCs/>
          <w:color w:val="auto"/>
          <w:sz w:val="28"/>
          <w:szCs w:val="28"/>
          <w:highlight w:val="none"/>
        </w:rPr>
        <w:t>6.</w:t>
      </w:r>
      <w:r>
        <w:rPr>
          <w:rFonts w:hint="eastAsia" w:ascii="Times New Roman" w:eastAsia="宋体"/>
          <w:b/>
          <w:bCs/>
          <w:color w:val="auto"/>
          <w:sz w:val="28"/>
          <w:szCs w:val="28"/>
          <w:highlight w:val="none"/>
          <w:lang w:val="en-US" w:eastAsia="zh-CN"/>
        </w:rPr>
        <w:t>7</w:t>
      </w:r>
      <w:r>
        <w:rPr>
          <w:b/>
          <w:bCs/>
          <w:color w:val="auto"/>
          <w:sz w:val="28"/>
          <w:szCs w:val="28"/>
          <w:highlight w:val="none"/>
        </w:rPr>
        <w:t>系统初始化</w:t>
      </w:r>
      <w:bookmarkEnd w:id="1183"/>
      <w:bookmarkEnd w:id="1184"/>
      <w:bookmarkEnd w:id="1185"/>
      <w:bookmarkEnd w:id="1186"/>
      <w:bookmarkEnd w:id="1187"/>
      <w:bookmarkEnd w:id="1188"/>
      <w:bookmarkEnd w:id="1189"/>
    </w:p>
    <w:p w14:paraId="7EF22F52">
      <w:pPr>
        <w:spacing w:line="360" w:lineRule="auto"/>
        <w:ind w:firstLine="560" w:firstLineChars="200"/>
        <w:jc w:val="left"/>
        <w:rPr>
          <w:color w:val="auto"/>
          <w:sz w:val="28"/>
          <w:szCs w:val="28"/>
          <w:highlight w:val="none"/>
        </w:rPr>
      </w:pPr>
      <w:r>
        <w:rPr>
          <w:color w:val="auto"/>
          <w:sz w:val="28"/>
          <w:szCs w:val="28"/>
          <w:highlight w:val="none"/>
        </w:rPr>
        <w:t>投标人应配备专门人员协助招标人完成初始数据收集整理，并完成系统数据初始化导入工作。系统初始数据符合东莞市轨道一号线建设发展有限公司应用和数据集成的标准和要求，编制并提交《系统初始化报告》。</w:t>
      </w:r>
    </w:p>
    <w:p w14:paraId="72251C08">
      <w:pPr>
        <w:spacing w:line="360" w:lineRule="auto"/>
        <w:jc w:val="left"/>
        <w:outlineLvl w:val="1"/>
        <w:rPr>
          <w:b/>
          <w:bCs/>
          <w:color w:val="auto"/>
          <w:sz w:val="28"/>
          <w:szCs w:val="28"/>
          <w:highlight w:val="none"/>
        </w:rPr>
      </w:pPr>
      <w:bookmarkStart w:id="1190" w:name="_Toc18593"/>
      <w:bookmarkStart w:id="1191" w:name="_Toc16117"/>
      <w:bookmarkStart w:id="1192" w:name="_Toc5734"/>
      <w:bookmarkStart w:id="1193" w:name="_Toc3930"/>
      <w:bookmarkStart w:id="1194" w:name="_Toc10412"/>
      <w:bookmarkStart w:id="1195" w:name="_Toc28448"/>
      <w:bookmarkStart w:id="1196" w:name="_Toc10986"/>
      <w:r>
        <w:rPr>
          <w:b/>
          <w:bCs/>
          <w:color w:val="auto"/>
          <w:sz w:val="28"/>
          <w:szCs w:val="28"/>
          <w:highlight w:val="none"/>
        </w:rPr>
        <w:t>6.</w:t>
      </w:r>
      <w:r>
        <w:rPr>
          <w:rFonts w:hint="eastAsia" w:ascii="Times New Roman" w:eastAsia="宋体"/>
          <w:b/>
          <w:bCs/>
          <w:color w:val="auto"/>
          <w:sz w:val="28"/>
          <w:szCs w:val="28"/>
          <w:highlight w:val="none"/>
          <w:lang w:val="en-US" w:eastAsia="zh-CN"/>
        </w:rPr>
        <w:t>8</w:t>
      </w:r>
      <w:r>
        <w:rPr>
          <w:b/>
          <w:bCs/>
          <w:color w:val="auto"/>
          <w:sz w:val="28"/>
          <w:szCs w:val="28"/>
          <w:highlight w:val="none"/>
        </w:rPr>
        <w:t>上线试运行</w:t>
      </w:r>
      <w:bookmarkEnd w:id="1190"/>
      <w:bookmarkEnd w:id="1191"/>
      <w:bookmarkEnd w:id="1192"/>
      <w:bookmarkEnd w:id="1193"/>
      <w:bookmarkEnd w:id="1194"/>
      <w:bookmarkEnd w:id="1195"/>
      <w:bookmarkEnd w:id="1196"/>
    </w:p>
    <w:p w14:paraId="6EFBC8E8">
      <w:pPr>
        <w:spacing w:line="360" w:lineRule="auto"/>
        <w:ind w:firstLine="560" w:firstLineChars="200"/>
        <w:jc w:val="left"/>
        <w:rPr>
          <w:color w:val="auto"/>
          <w:sz w:val="28"/>
          <w:szCs w:val="28"/>
          <w:highlight w:val="none"/>
        </w:rPr>
      </w:pPr>
      <w:r>
        <w:rPr>
          <w:color w:val="auto"/>
          <w:sz w:val="28"/>
          <w:szCs w:val="28"/>
          <w:highlight w:val="none"/>
        </w:rPr>
        <w:t>1）系统提交用户使用并上线试运行时间不少于3个月，解决系统试运行期的所有系统问题。</w:t>
      </w:r>
    </w:p>
    <w:p w14:paraId="42AB3F4D">
      <w:pPr>
        <w:spacing w:line="360" w:lineRule="auto"/>
        <w:ind w:firstLine="560" w:firstLineChars="200"/>
        <w:jc w:val="left"/>
        <w:rPr>
          <w:color w:val="auto"/>
          <w:sz w:val="28"/>
          <w:szCs w:val="28"/>
          <w:highlight w:val="none"/>
        </w:rPr>
      </w:pPr>
      <w:r>
        <w:rPr>
          <w:color w:val="auto"/>
          <w:sz w:val="28"/>
          <w:szCs w:val="28"/>
          <w:highlight w:val="none"/>
        </w:rPr>
        <w:t>2）提供《用户使用说明书》和《系统上线试运行方案》，文档审核通过后，系统才能够上线试运行。</w:t>
      </w:r>
    </w:p>
    <w:p w14:paraId="2EEED474">
      <w:pPr>
        <w:spacing w:line="360" w:lineRule="auto"/>
        <w:ind w:firstLine="560" w:firstLineChars="200"/>
        <w:jc w:val="left"/>
        <w:rPr>
          <w:color w:val="auto"/>
          <w:sz w:val="28"/>
          <w:szCs w:val="28"/>
          <w:highlight w:val="none"/>
        </w:rPr>
      </w:pPr>
      <w:r>
        <w:rPr>
          <w:color w:val="auto"/>
          <w:sz w:val="28"/>
          <w:szCs w:val="28"/>
          <w:highlight w:val="none"/>
        </w:rPr>
        <w:t>3）上线试运行成功后提交《上线试运行报告》和《系统运维移交报告》。</w:t>
      </w:r>
    </w:p>
    <w:p w14:paraId="1E20D985">
      <w:pPr>
        <w:spacing w:line="360" w:lineRule="auto"/>
        <w:jc w:val="left"/>
        <w:outlineLvl w:val="1"/>
        <w:rPr>
          <w:b/>
          <w:bCs/>
          <w:color w:val="auto"/>
          <w:sz w:val="28"/>
          <w:szCs w:val="28"/>
          <w:highlight w:val="none"/>
        </w:rPr>
      </w:pPr>
      <w:bookmarkStart w:id="1197" w:name="_Toc11692"/>
      <w:bookmarkStart w:id="1198" w:name="_Toc12019"/>
      <w:bookmarkStart w:id="1199" w:name="_Toc5381"/>
      <w:bookmarkStart w:id="1200" w:name="_Toc5778"/>
      <w:bookmarkStart w:id="1201" w:name="_Toc24130"/>
      <w:bookmarkStart w:id="1202" w:name="_Toc8134"/>
      <w:bookmarkStart w:id="1203" w:name="_Toc8808"/>
      <w:r>
        <w:rPr>
          <w:b/>
          <w:bCs/>
          <w:color w:val="auto"/>
          <w:sz w:val="28"/>
          <w:szCs w:val="28"/>
          <w:highlight w:val="none"/>
        </w:rPr>
        <w:t>6.</w:t>
      </w:r>
      <w:r>
        <w:rPr>
          <w:rFonts w:hint="eastAsia" w:ascii="Times New Roman" w:eastAsia="宋体"/>
          <w:b/>
          <w:bCs/>
          <w:color w:val="auto"/>
          <w:sz w:val="28"/>
          <w:szCs w:val="28"/>
          <w:highlight w:val="none"/>
          <w:lang w:val="en-US" w:eastAsia="zh-CN"/>
        </w:rPr>
        <w:t>9</w:t>
      </w:r>
      <w:r>
        <w:rPr>
          <w:b/>
          <w:bCs/>
          <w:color w:val="auto"/>
          <w:sz w:val="28"/>
          <w:szCs w:val="28"/>
          <w:highlight w:val="none"/>
        </w:rPr>
        <w:t>初步验收</w:t>
      </w:r>
      <w:bookmarkEnd w:id="1197"/>
      <w:bookmarkEnd w:id="1198"/>
      <w:bookmarkEnd w:id="1199"/>
      <w:bookmarkEnd w:id="1200"/>
      <w:bookmarkEnd w:id="1201"/>
      <w:bookmarkEnd w:id="1202"/>
      <w:bookmarkEnd w:id="1203"/>
    </w:p>
    <w:p w14:paraId="27EF2A07">
      <w:pPr>
        <w:spacing w:line="360" w:lineRule="auto"/>
        <w:ind w:firstLine="560" w:firstLineChars="200"/>
        <w:jc w:val="left"/>
        <w:rPr>
          <w:color w:val="auto"/>
          <w:sz w:val="28"/>
          <w:szCs w:val="28"/>
          <w:highlight w:val="none"/>
        </w:rPr>
      </w:pPr>
      <w:r>
        <w:rPr>
          <w:color w:val="auto"/>
          <w:sz w:val="28"/>
          <w:szCs w:val="28"/>
          <w:highlight w:val="none"/>
        </w:rPr>
        <w:t>提交有关项目验收文件，经相关部门审查及归档，完成初步验收相关工作。编制并提交《系统上线试运行报告》、《项目初步验收报告》。试运行3个月后，投标人提出申请，招标人组织初步验收会议，投标人报告项目情况，通过招标人初步验收后，配合招标人组织正式上线。</w:t>
      </w:r>
    </w:p>
    <w:p w14:paraId="79A62E30">
      <w:pPr>
        <w:spacing w:line="360" w:lineRule="auto"/>
        <w:jc w:val="left"/>
        <w:outlineLvl w:val="1"/>
        <w:rPr>
          <w:b/>
          <w:bCs/>
          <w:color w:val="auto"/>
          <w:sz w:val="28"/>
          <w:szCs w:val="28"/>
          <w:highlight w:val="none"/>
        </w:rPr>
      </w:pPr>
      <w:bookmarkStart w:id="1204" w:name="_Toc29253"/>
      <w:bookmarkStart w:id="1205" w:name="_Toc11056"/>
      <w:bookmarkStart w:id="1206" w:name="_Toc21960"/>
      <w:bookmarkStart w:id="1207" w:name="_Toc20974"/>
      <w:bookmarkStart w:id="1208" w:name="_Toc8475"/>
      <w:bookmarkStart w:id="1209" w:name="_Toc19141"/>
      <w:bookmarkStart w:id="1210" w:name="_Toc10909"/>
      <w:r>
        <w:rPr>
          <w:b/>
          <w:bCs/>
          <w:color w:val="auto"/>
          <w:sz w:val="28"/>
          <w:szCs w:val="28"/>
          <w:highlight w:val="none"/>
        </w:rPr>
        <w:t>6.1</w:t>
      </w:r>
      <w:r>
        <w:rPr>
          <w:rFonts w:hint="eastAsia"/>
          <w:b/>
          <w:bCs/>
          <w:color w:val="auto"/>
          <w:sz w:val="28"/>
          <w:szCs w:val="28"/>
          <w:highlight w:val="none"/>
          <w:lang w:val="en-US" w:eastAsia="zh-CN"/>
        </w:rPr>
        <w:t>0</w:t>
      </w:r>
      <w:r>
        <w:rPr>
          <w:b/>
          <w:bCs/>
          <w:color w:val="auto"/>
          <w:sz w:val="28"/>
          <w:szCs w:val="28"/>
          <w:highlight w:val="none"/>
        </w:rPr>
        <w:t>系统维护</w:t>
      </w:r>
      <w:bookmarkEnd w:id="1204"/>
      <w:bookmarkEnd w:id="1205"/>
      <w:bookmarkEnd w:id="1206"/>
      <w:bookmarkEnd w:id="1207"/>
      <w:bookmarkEnd w:id="1208"/>
      <w:bookmarkEnd w:id="1209"/>
      <w:bookmarkEnd w:id="1210"/>
    </w:p>
    <w:p w14:paraId="54284CD3">
      <w:pPr>
        <w:spacing w:line="360" w:lineRule="auto"/>
        <w:ind w:firstLine="560" w:firstLineChars="200"/>
        <w:jc w:val="left"/>
        <w:rPr>
          <w:color w:val="auto"/>
          <w:sz w:val="28"/>
          <w:szCs w:val="28"/>
          <w:highlight w:val="none"/>
        </w:rPr>
      </w:pPr>
      <w:r>
        <w:rPr>
          <w:color w:val="auto"/>
          <w:sz w:val="28"/>
          <w:szCs w:val="28"/>
          <w:highlight w:val="none"/>
        </w:rPr>
        <w:t>根据业务开展和业务使用情况，系统初步验收后的维护阶段，编制并提交相关成果文档。</w:t>
      </w:r>
    </w:p>
    <w:p w14:paraId="257DADE2">
      <w:pPr>
        <w:spacing w:line="360" w:lineRule="auto"/>
        <w:jc w:val="left"/>
        <w:outlineLvl w:val="1"/>
        <w:rPr>
          <w:b/>
          <w:bCs/>
          <w:color w:val="auto"/>
          <w:sz w:val="28"/>
          <w:szCs w:val="28"/>
          <w:highlight w:val="none"/>
        </w:rPr>
      </w:pPr>
      <w:bookmarkStart w:id="1211" w:name="_Toc18215"/>
      <w:bookmarkStart w:id="1212" w:name="_Toc11753"/>
      <w:bookmarkStart w:id="1213" w:name="_Toc8438"/>
      <w:bookmarkStart w:id="1214" w:name="_Toc14719"/>
      <w:bookmarkStart w:id="1215" w:name="_Toc8037"/>
      <w:bookmarkStart w:id="1216" w:name="_Toc22876"/>
      <w:bookmarkStart w:id="1217" w:name="_Toc12858"/>
      <w:r>
        <w:rPr>
          <w:b/>
          <w:bCs/>
          <w:color w:val="auto"/>
          <w:sz w:val="28"/>
          <w:szCs w:val="28"/>
          <w:highlight w:val="none"/>
        </w:rPr>
        <w:t>6.1</w:t>
      </w:r>
      <w:r>
        <w:rPr>
          <w:rFonts w:hint="eastAsia"/>
          <w:b/>
          <w:bCs/>
          <w:color w:val="auto"/>
          <w:sz w:val="28"/>
          <w:szCs w:val="28"/>
          <w:highlight w:val="none"/>
          <w:lang w:val="en-US" w:eastAsia="zh-CN"/>
        </w:rPr>
        <w:t>1</w:t>
      </w:r>
      <w:r>
        <w:rPr>
          <w:b/>
          <w:bCs/>
          <w:color w:val="auto"/>
          <w:sz w:val="28"/>
          <w:szCs w:val="28"/>
          <w:highlight w:val="none"/>
        </w:rPr>
        <w:t>最终验收</w:t>
      </w:r>
      <w:bookmarkEnd w:id="1211"/>
      <w:bookmarkEnd w:id="1212"/>
      <w:bookmarkEnd w:id="1213"/>
      <w:bookmarkEnd w:id="1214"/>
      <w:bookmarkEnd w:id="1215"/>
      <w:bookmarkEnd w:id="1216"/>
      <w:bookmarkEnd w:id="1217"/>
    </w:p>
    <w:p w14:paraId="12FCCB23">
      <w:pPr>
        <w:spacing w:line="360" w:lineRule="auto"/>
        <w:ind w:firstLine="560" w:firstLineChars="200"/>
        <w:jc w:val="left"/>
        <w:rPr>
          <w:color w:val="auto"/>
          <w:sz w:val="28"/>
          <w:szCs w:val="28"/>
          <w:highlight w:val="none"/>
        </w:rPr>
      </w:pPr>
      <w:r>
        <w:rPr>
          <w:color w:val="auto"/>
          <w:sz w:val="28"/>
          <w:szCs w:val="28"/>
          <w:highlight w:val="none"/>
        </w:rPr>
        <w:t>1）从初步验收后，在质保期内，按计划完成最终验收前所有工作，系统正式运行正常。</w:t>
      </w:r>
    </w:p>
    <w:p w14:paraId="3EE18984">
      <w:pPr>
        <w:spacing w:line="360" w:lineRule="auto"/>
        <w:ind w:firstLine="560" w:firstLineChars="200"/>
        <w:jc w:val="left"/>
        <w:rPr>
          <w:color w:val="auto"/>
          <w:sz w:val="28"/>
          <w:szCs w:val="28"/>
          <w:highlight w:val="none"/>
        </w:rPr>
      </w:pPr>
      <w:r>
        <w:rPr>
          <w:color w:val="auto"/>
          <w:sz w:val="28"/>
          <w:szCs w:val="28"/>
          <w:highlight w:val="none"/>
        </w:rPr>
        <w:t>2）及时解决系统出现的问题，完成相应功能调整与完善。</w:t>
      </w:r>
    </w:p>
    <w:p w14:paraId="5A504271">
      <w:pPr>
        <w:spacing w:line="360" w:lineRule="auto"/>
        <w:ind w:firstLine="560" w:firstLineChars="200"/>
        <w:jc w:val="left"/>
        <w:rPr>
          <w:color w:val="auto"/>
          <w:sz w:val="28"/>
          <w:szCs w:val="28"/>
          <w:highlight w:val="none"/>
        </w:rPr>
      </w:pPr>
      <w:r>
        <w:rPr>
          <w:color w:val="auto"/>
          <w:sz w:val="28"/>
          <w:szCs w:val="28"/>
          <w:highlight w:val="none"/>
        </w:rPr>
        <w:t>3）提交有关项目验收文档，完成文件归档，完成最终验收相关工作。</w:t>
      </w:r>
    </w:p>
    <w:p w14:paraId="0D1D51FE">
      <w:pPr>
        <w:spacing w:line="360" w:lineRule="auto"/>
        <w:ind w:firstLine="560" w:firstLineChars="200"/>
        <w:jc w:val="left"/>
        <w:rPr>
          <w:color w:val="auto"/>
          <w:sz w:val="28"/>
          <w:szCs w:val="28"/>
          <w:highlight w:val="none"/>
        </w:rPr>
      </w:pPr>
      <w:r>
        <w:rPr>
          <w:color w:val="auto"/>
          <w:sz w:val="28"/>
          <w:szCs w:val="28"/>
          <w:highlight w:val="none"/>
        </w:rPr>
        <w:t>4）编制并提交《项目最终验收报告》。</w:t>
      </w:r>
    </w:p>
    <w:p w14:paraId="25F2677C">
      <w:pPr>
        <w:spacing w:line="360" w:lineRule="auto"/>
        <w:ind w:firstLine="560" w:firstLineChars="200"/>
        <w:jc w:val="left"/>
        <w:rPr>
          <w:color w:val="auto"/>
          <w:sz w:val="28"/>
          <w:szCs w:val="28"/>
          <w:highlight w:val="none"/>
        </w:rPr>
      </w:pPr>
      <w:r>
        <w:rPr>
          <w:color w:val="auto"/>
          <w:sz w:val="28"/>
          <w:szCs w:val="28"/>
          <w:highlight w:val="none"/>
        </w:rPr>
        <w:t>5）质保期结束后，由投标人提出申请，并配合招标人组织最终验收会议，投标人报告项目情况，招标人验收确认或提出验收改进意见。</w:t>
      </w:r>
    </w:p>
    <w:p w14:paraId="327799F0">
      <w:pPr>
        <w:spacing w:line="360" w:lineRule="auto"/>
        <w:jc w:val="left"/>
        <w:outlineLvl w:val="1"/>
        <w:rPr>
          <w:b/>
          <w:bCs/>
          <w:color w:val="auto"/>
          <w:sz w:val="28"/>
          <w:szCs w:val="28"/>
          <w:highlight w:val="none"/>
        </w:rPr>
      </w:pPr>
      <w:bookmarkStart w:id="1218" w:name="_Toc12271"/>
      <w:bookmarkStart w:id="1219" w:name="_Toc17358"/>
      <w:bookmarkStart w:id="1220" w:name="_Toc2115"/>
      <w:bookmarkStart w:id="1221" w:name="_Toc8401"/>
      <w:bookmarkStart w:id="1222" w:name="_Toc29004"/>
      <w:bookmarkStart w:id="1223" w:name="_Toc26066"/>
      <w:bookmarkStart w:id="1224" w:name="_Toc27558"/>
      <w:r>
        <w:rPr>
          <w:b/>
          <w:bCs/>
          <w:color w:val="auto"/>
          <w:sz w:val="28"/>
          <w:szCs w:val="28"/>
          <w:highlight w:val="none"/>
        </w:rPr>
        <w:t>6.1</w:t>
      </w:r>
      <w:r>
        <w:rPr>
          <w:rFonts w:hint="eastAsia"/>
          <w:b/>
          <w:bCs/>
          <w:color w:val="auto"/>
          <w:sz w:val="28"/>
          <w:szCs w:val="28"/>
          <w:highlight w:val="none"/>
          <w:lang w:val="en-US" w:eastAsia="zh-CN"/>
        </w:rPr>
        <w:t>2</w:t>
      </w:r>
      <w:r>
        <w:rPr>
          <w:b/>
          <w:bCs/>
          <w:color w:val="auto"/>
          <w:sz w:val="28"/>
          <w:szCs w:val="28"/>
          <w:highlight w:val="none"/>
        </w:rPr>
        <w:t>其他补充说明</w:t>
      </w:r>
      <w:bookmarkEnd w:id="1218"/>
      <w:bookmarkEnd w:id="1219"/>
      <w:bookmarkEnd w:id="1220"/>
      <w:bookmarkEnd w:id="1221"/>
      <w:bookmarkEnd w:id="1222"/>
      <w:bookmarkEnd w:id="1223"/>
      <w:bookmarkEnd w:id="1224"/>
    </w:p>
    <w:p w14:paraId="3442F208">
      <w:pPr>
        <w:spacing w:line="360" w:lineRule="auto"/>
        <w:ind w:firstLine="560" w:firstLineChars="200"/>
        <w:jc w:val="left"/>
        <w:rPr>
          <w:color w:val="auto"/>
          <w:sz w:val="28"/>
          <w:szCs w:val="28"/>
          <w:highlight w:val="none"/>
        </w:rPr>
      </w:pPr>
      <w:r>
        <w:rPr>
          <w:color w:val="auto"/>
          <w:sz w:val="28"/>
          <w:szCs w:val="28"/>
          <w:highlight w:val="none"/>
        </w:rPr>
        <w:t>1）系统开发期间的驻点咨询</w:t>
      </w:r>
    </w:p>
    <w:p w14:paraId="0C756114">
      <w:pPr>
        <w:spacing w:line="360" w:lineRule="auto"/>
        <w:ind w:firstLine="560" w:firstLineChars="200"/>
        <w:jc w:val="left"/>
        <w:rPr>
          <w:color w:val="auto"/>
          <w:sz w:val="28"/>
          <w:szCs w:val="28"/>
          <w:highlight w:val="none"/>
        </w:rPr>
      </w:pPr>
      <w:r>
        <w:rPr>
          <w:color w:val="auto"/>
          <w:sz w:val="28"/>
          <w:szCs w:val="28"/>
          <w:highlight w:val="none"/>
        </w:rPr>
        <w:t>在系统开发期间，做好驻点咨询工作，系统开发人员要严格执行信息系统实施总体规划和设计方案，并根据开发进度，结合招标方要求及时进行模块功能调整，确保系统开发能够实现既定功能。</w:t>
      </w:r>
    </w:p>
    <w:p w14:paraId="131E96A8">
      <w:pPr>
        <w:spacing w:line="360" w:lineRule="auto"/>
        <w:ind w:firstLine="560" w:firstLineChars="200"/>
        <w:jc w:val="left"/>
        <w:rPr>
          <w:color w:val="auto"/>
          <w:sz w:val="28"/>
          <w:szCs w:val="28"/>
          <w:highlight w:val="none"/>
        </w:rPr>
      </w:pPr>
      <w:r>
        <w:rPr>
          <w:color w:val="auto"/>
          <w:sz w:val="28"/>
          <w:szCs w:val="28"/>
          <w:highlight w:val="none"/>
        </w:rPr>
        <w:t>2）系统初始化</w:t>
      </w:r>
    </w:p>
    <w:p w14:paraId="78FBB508">
      <w:pPr>
        <w:spacing w:line="360" w:lineRule="auto"/>
        <w:ind w:firstLine="560" w:firstLineChars="200"/>
        <w:jc w:val="left"/>
        <w:rPr>
          <w:color w:val="auto"/>
          <w:sz w:val="28"/>
          <w:szCs w:val="28"/>
          <w:highlight w:val="none"/>
        </w:rPr>
      </w:pPr>
      <w:r>
        <w:rPr>
          <w:color w:val="auto"/>
          <w:sz w:val="28"/>
          <w:szCs w:val="28"/>
          <w:highlight w:val="none"/>
        </w:rPr>
        <w:t>按照“边开发边上线”的原则，牵头组织已开发模块上线运行，在上线运行前，负责将现有数据导入系统，确保线上、线下协同运行。</w:t>
      </w:r>
    </w:p>
    <w:p w14:paraId="07D46890">
      <w:pPr>
        <w:spacing w:line="360" w:lineRule="auto"/>
        <w:ind w:firstLine="560" w:firstLineChars="200"/>
        <w:jc w:val="left"/>
        <w:rPr>
          <w:color w:val="auto"/>
          <w:sz w:val="28"/>
          <w:szCs w:val="28"/>
          <w:highlight w:val="none"/>
        </w:rPr>
      </w:pPr>
      <w:r>
        <w:rPr>
          <w:color w:val="auto"/>
          <w:sz w:val="28"/>
          <w:szCs w:val="28"/>
          <w:highlight w:val="none"/>
        </w:rPr>
        <w:t>3）系统试运行期运维服务</w:t>
      </w:r>
    </w:p>
    <w:p w14:paraId="7A9B2F30">
      <w:pPr>
        <w:spacing w:line="360" w:lineRule="auto"/>
        <w:ind w:firstLine="560" w:firstLineChars="200"/>
        <w:jc w:val="left"/>
        <w:rPr>
          <w:color w:val="auto"/>
          <w:sz w:val="28"/>
          <w:szCs w:val="28"/>
          <w:highlight w:val="none"/>
        </w:rPr>
      </w:pPr>
      <w:r>
        <w:rPr>
          <w:color w:val="auto"/>
          <w:sz w:val="28"/>
          <w:szCs w:val="28"/>
          <w:highlight w:val="none"/>
        </w:rPr>
        <w:t>制定系统试运行期运维服务方案，按方案要求做好系统运行维护，实现东莞市轨道一号线建设发展有限公司该系统在各功能模块以及相关方的正常应用，开展数据整理、统计分析、系统培训及现场检查服务，保障系统的正常运行。组织系统应用培训，确保相关人员熟练使用。</w:t>
      </w:r>
    </w:p>
    <w:p w14:paraId="4AF0D5C9">
      <w:pPr>
        <w:spacing w:line="360" w:lineRule="auto"/>
        <w:ind w:left="420" w:leftChars="200"/>
        <w:jc w:val="left"/>
        <w:rPr>
          <w:color w:val="auto"/>
          <w:sz w:val="28"/>
          <w:szCs w:val="28"/>
          <w:highlight w:val="none"/>
        </w:rPr>
      </w:pPr>
      <w:r>
        <w:rPr>
          <w:color w:val="auto"/>
          <w:sz w:val="28"/>
          <w:szCs w:val="28"/>
          <w:highlight w:val="none"/>
        </w:rPr>
        <w:t>4）合同期结束后的系统正常运行保障</w:t>
      </w:r>
    </w:p>
    <w:p w14:paraId="01C072B1">
      <w:pPr>
        <w:spacing w:line="360" w:lineRule="auto"/>
        <w:ind w:left="420" w:leftChars="200"/>
        <w:jc w:val="left"/>
        <w:rPr>
          <w:color w:val="auto"/>
          <w:sz w:val="28"/>
          <w:szCs w:val="28"/>
          <w:highlight w:val="none"/>
        </w:rPr>
      </w:pPr>
      <w:r>
        <w:rPr>
          <w:color w:val="auto"/>
          <w:sz w:val="28"/>
          <w:szCs w:val="28"/>
          <w:highlight w:val="none"/>
        </w:rPr>
        <w:t>投标人需在本项目合同期结束后至招标人确定下一个合同期运维</w:t>
      </w:r>
    </w:p>
    <w:p w14:paraId="62EB6EF5">
      <w:pPr>
        <w:spacing w:line="360" w:lineRule="auto"/>
        <w:jc w:val="left"/>
        <w:rPr>
          <w:color w:val="auto"/>
          <w:sz w:val="28"/>
          <w:szCs w:val="28"/>
          <w:highlight w:val="none"/>
        </w:rPr>
      </w:pPr>
      <w:r>
        <w:rPr>
          <w:color w:val="auto"/>
          <w:sz w:val="28"/>
          <w:szCs w:val="28"/>
          <w:highlight w:val="none"/>
        </w:rPr>
        <w:t>单位期间，应确保系统功能使用和自动化无人机巡查功能的正常使用，并无条件配合新运维单位的相关交接工作。</w:t>
      </w:r>
    </w:p>
    <w:p w14:paraId="386A3B5D">
      <w:pPr>
        <w:spacing w:line="360" w:lineRule="auto"/>
        <w:jc w:val="left"/>
        <w:outlineLvl w:val="0"/>
        <w:rPr>
          <w:b/>
          <w:bCs/>
          <w:color w:val="auto"/>
          <w:sz w:val="28"/>
          <w:szCs w:val="28"/>
          <w:highlight w:val="none"/>
        </w:rPr>
      </w:pPr>
      <w:bookmarkStart w:id="1225" w:name="_Toc1194"/>
      <w:bookmarkStart w:id="1226" w:name="_Toc25646"/>
      <w:bookmarkStart w:id="1227" w:name="_Toc27303"/>
      <w:bookmarkStart w:id="1228" w:name="_Toc8376"/>
      <w:bookmarkStart w:id="1229" w:name="_Toc3117"/>
      <w:bookmarkStart w:id="1230" w:name="_Toc22982"/>
      <w:bookmarkStart w:id="1231" w:name="_Toc13871"/>
      <w:r>
        <w:rPr>
          <w:b/>
          <w:bCs/>
          <w:color w:val="auto"/>
          <w:sz w:val="28"/>
          <w:szCs w:val="28"/>
          <w:highlight w:val="none"/>
        </w:rPr>
        <w:t>7项目验收</w:t>
      </w:r>
      <w:bookmarkEnd w:id="1225"/>
      <w:bookmarkEnd w:id="1226"/>
      <w:bookmarkEnd w:id="1227"/>
      <w:bookmarkEnd w:id="1228"/>
      <w:bookmarkEnd w:id="1229"/>
      <w:bookmarkEnd w:id="1230"/>
      <w:bookmarkEnd w:id="1231"/>
    </w:p>
    <w:p w14:paraId="06C5C5E6">
      <w:pPr>
        <w:spacing w:line="360" w:lineRule="auto"/>
        <w:jc w:val="left"/>
        <w:outlineLvl w:val="1"/>
        <w:rPr>
          <w:b/>
          <w:bCs/>
          <w:color w:val="auto"/>
          <w:sz w:val="28"/>
          <w:szCs w:val="28"/>
          <w:highlight w:val="none"/>
        </w:rPr>
      </w:pPr>
      <w:bookmarkStart w:id="1232" w:name="_Toc30049"/>
      <w:bookmarkStart w:id="1233" w:name="_Toc18232"/>
      <w:bookmarkStart w:id="1234" w:name="_Toc5762"/>
      <w:bookmarkStart w:id="1235" w:name="_Toc10761"/>
      <w:bookmarkStart w:id="1236" w:name="_Toc1956"/>
      <w:bookmarkStart w:id="1237" w:name="_Toc13194"/>
      <w:bookmarkStart w:id="1238" w:name="_Toc29152"/>
      <w:r>
        <w:rPr>
          <w:b/>
          <w:bCs/>
          <w:color w:val="auto"/>
          <w:sz w:val="28"/>
          <w:szCs w:val="28"/>
          <w:highlight w:val="none"/>
        </w:rPr>
        <w:t>7.1项目验收的组织机构</w:t>
      </w:r>
      <w:bookmarkEnd w:id="1232"/>
      <w:bookmarkEnd w:id="1233"/>
      <w:bookmarkEnd w:id="1234"/>
      <w:bookmarkEnd w:id="1235"/>
      <w:bookmarkEnd w:id="1236"/>
      <w:bookmarkEnd w:id="1237"/>
      <w:bookmarkEnd w:id="1238"/>
    </w:p>
    <w:p w14:paraId="3D431742">
      <w:pPr>
        <w:spacing w:line="360" w:lineRule="auto"/>
        <w:ind w:firstLine="560" w:firstLineChars="200"/>
        <w:jc w:val="left"/>
        <w:rPr>
          <w:color w:val="auto"/>
          <w:sz w:val="28"/>
          <w:szCs w:val="28"/>
          <w:highlight w:val="none"/>
        </w:rPr>
      </w:pPr>
      <w:r>
        <w:rPr>
          <w:color w:val="auto"/>
          <w:sz w:val="28"/>
          <w:szCs w:val="28"/>
          <w:highlight w:val="none"/>
        </w:rPr>
        <w:t>招标人负责组织验收小组，负责整个验收工作。投标人应组建由有关专业技术人员构成的测试小组，并在验收小组指导监督下开展工作。验收小组提出的验收测试要求及质量保证要求，投标人应积极响应，并会同招标人共同制定合适的验收和质量保证方案。</w:t>
      </w:r>
    </w:p>
    <w:p w14:paraId="169D1DA8">
      <w:pPr>
        <w:spacing w:line="360" w:lineRule="auto"/>
        <w:jc w:val="left"/>
        <w:outlineLvl w:val="1"/>
        <w:rPr>
          <w:b/>
          <w:bCs/>
          <w:color w:val="auto"/>
          <w:sz w:val="28"/>
          <w:szCs w:val="28"/>
          <w:highlight w:val="none"/>
        </w:rPr>
      </w:pPr>
      <w:bookmarkStart w:id="1239" w:name="_Toc32076"/>
      <w:bookmarkStart w:id="1240" w:name="_Toc29072"/>
      <w:bookmarkStart w:id="1241" w:name="_Toc8370"/>
      <w:bookmarkStart w:id="1242" w:name="_Toc14174"/>
      <w:bookmarkStart w:id="1243" w:name="_Toc28683"/>
      <w:bookmarkStart w:id="1244" w:name="_Toc3986"/>
      <w:bookmarkStart w:id="1245" w:name="_Toc12639"/>
      <w:r>
        <w:rPr>
          <w:b/>
          <w:bCs/>
          <w:color w:val="auto"/>
          <w:sz w:val="28"/>
          <w:szCs w:val="28"/>
          <w:highlight w:val="none"/>
        </w:rPr>
        <w:t>7.2验收标准</w:t>
      </w:r>
      <w:bookmarkEnd w:id="1239"/>
      <w:bookmarkEnd w:id="1240"/>
      <w:bookmarkEnd w:id="1241"/>
      <w:bookmarkEnd w:id="1242"/>
      <w:bookmarkEnd w:id="1243"/>
      <w:bookmarkEnd w:id="1244"/>
      <w:bookmarkEnd w:id="1245"/>
    </w:p>
    <w:p w14:paraId="39A2FCED">
      <w:pPr>
        <w:spacing w:line="360" w:lineRule="auto"/>
        <w:ind w:firstLine="562" w:firstLineChars="200"/>
        <w:jc w:val="left"/>
        <w:outlineLvl w:val="2"/>
        <w:rPr>
          <w:b/>
          <w:bCs/>
          <w:color w:val="auto"/>
          <w:sz w:val="28"/>
          <w:szCs w:val="28"/>
          <w:highlight w:val="none"/>
        </w:rPr>
      </w:pPr>
      <w:bookmarkStart w:id="1246" w:name="_Toc23630"/>
      <w:bookmarkStart w:id="1247" w:name="_Toc2320"/>
      <w:bookmarkStart w:id="1248" w:name="_Toc18109"/>
      <w:bookmarkStart w:id="1249" w:name="_Toc15496"/>
      <w:bookmarkStart w:id="1250" w:name="_Toc31018"/>
      <w:r>
        <w:rPr>
          <w:b/>
          <w:bCs/>
          <w:color w:val="auto"/>
          <w:sz w:val="28"/>
          <w:szCs w:val="28"/>
          <w:highlight w:val="none"/>
        </w:rPr>
        <w:t>7.2.1软件系统及开发实施部分</w:t>
      </w:r>
      <w:bookmarkEnd w:id="1246"/>
      <w:bookmarkEnd w:id="1247"/>
      <w:bookmarkEnd w:id="1248"/>
      <w:bookmarkEnd w:id="1249"/>
      <w:bookmarkEnd w:id="1250"/>
    </w:p>
    <w:p w14:paraId="52595F11">
      <w:pPr>
        <w:spacing w:line="360" w:lineRule="auto"/>
        <w:ind w:firstLine="560" w:firstLineChars="200"/>
        <w:jc w:val="left"/>
        <w:rPr>
          <w:color w:val="auto"/>
          <w:sz w:val="28"/>
          <w:szCs w:val="28"/>
          <w:highlight w:val="none"/>
        </w:rPr>
      </w:pPr>
      <w:r>
        <w:rPr>
          <w:color w:val="auto"/>
          <w:sz w:val="28"/>
          <w:szCs w:val="28"/>
          <w:highlight w:val="none"/>
        </w:rPr>
        <w:t>1）各阶段实施满足需求书要求，并完成相关知识转移工作。</w:t>
      </w:r>
    </w:p>
    <w:p w14:paraId="3B6BBC6D">
      <w:pPr>
        <w:spacing w:line="360" w:lineRule="auto"/>
        <w:ind w:firstLine="560" w:firstLineChars="200"/>
        <w:jc w:val="left"/>
        <w:rPr>
          <w:color w:val="auto"/>
          <w:sz w:val="28"/>
          <w:szCs w:val="28"/>
          <w:highlight w:val="none"/>
        </w:rPr>
      </w:pPr>
      <w:r>
        <w:rPr>
          <w:color w:val="auto"/>
          <w:sz w:val="28"/>
          <w:szCs w:val="28"/>
          <w:highlight w:val="none"/>
        </w:rPr>
        <w:t>2）按需求书完成相关工作并提交项目成果，所有项目成果均已达到需求书要求、通过招标人的审查并签字确认。</w:t>
      </w:r>
    </w:p>
    <w:p w14:paraId="31209162">
      <w:pPr>
        <w:spacing w:line="360" w:lineRule="auto"/>
        <w:ind w:firstLine="560" w:firstLineChars="200"/>
        <w:jc w:val="left"/>
        <w:rPr>
          <w:color w:val="auto"/>
          <w:sz w:val="28"/>
          <w:szCs w:val="28"/>
          <w:highlight w:val="none"/>
        </w:rPr>
      </w:pPr>
      <w:r>
        <w:rPr>
          <w:color w:val="auto"/>
          <w:sz w:val="28"/>
          <w:szCs w:val="28"/>
          <w:highlight w:val="none"/>
        </w:rPr>
        <w:t>3）系统性能、功能、安全满足需求，上线试运行3个月，系统运行稳定无宕机，各功能模块能支撑业务正常运作。</w:t>
      </w:r>
    </w:p>
    <w:p w14:paraId="7846A6B7">
      <w:pPr>
        <w:spacing w:line="360" w:lineRule="auto"/>
        <w:ind w:firstLine="560" w:firstLineChars="200"/>
        <w:jc w:val="left"/>
        <w:rPr>
          <w:color w:val="auto"/>
          <w:sz w:val="28"/>
          <w:szCs w:val="28"/>
          <w:highlight w:val="none"/>
        </w:rPr>
      </w:pPr>
      <w:r>
        <w:rPr>
          <w:color w:val="auto"/>
          <w:sz w:val="28"/>
          <w:szCs w:val="28"/>
          <w:highlight w:val="none"/>
        </w:rPr>
        <w:t>4）对于不满足需求书要求的投标人交付物，投标人应及时予以整改、修订、完善以满足要求。运行期间若出现功能故障、系统不稳定现象，解决故障时间不计入试运行时间，上线试运行时间向后顺延。</w:t>
      </w:r>
    </w:p>
    <w:p w14:paraId="11055287">
      <w:pPr>
        <w:spacing w:line="360" w:lineRule="auto"/>
        <w:ind w:firstLine="560" w:firstLineChars="200"/>
        <w:jc w:val="left"/>
        <w:rPr>
          <w:color w:val="auto"/>
          <w:sz w:val="28"/>
          <w:szCs w:val="28"/>
          <w:highlight w:val="none"/>
        </w:rPr>
      </w:pPr>
      <w:r>
        <w:rPr>
          <w:color w:val="auto"/>
          <w:sz w:val="28"/>
          <w:szCs w:val="28"/>
          <w:highlight w:val="none"/>
        </w:rPr>
        <w:t>5）提交系统使用说明书及培训文档，完成相关培训工作。</w:t>
      </w:r>
    </w:p>
    <w:p w14:paraId="71823DE7">
      <w:pPr>
        <w:pStyle w:val="20"/>
        <w:tabs>
          <w:tab w:val="left" w:leader="middleDot" w:pos="6020"/>
        </w:tabs>
        <w:spacing w:after="0"/>
        <w:ind w:left="0" w:leftChars="0" w:firstLine="562"/>
        <w:outlineLvl w:val="2"/>
        <w:rPr>
          <w:b/>
          <w:bCs/>
          <w:color w:val="auto"/>
          <w:sz w:val="28"/>
          <w:szCs w:val="28"/>
          <w:highlight w:val="none"/>
        </w:rPr>
      </w:pPr>
      <w:bookmarkStart w:id="1251" w:name="_Toc2555"/>
      <w:bookmarkStart w:id="1252" w:name="_Toc26869"/>
      <w:bookmarkStart w:id="1253" w:name="_Toc16736"/>
      <w:bookmarkStart w:id="1254" w:name="_Toc3125"/>
      <w:bookmarkStart w:id="1255" w:name="_Toc405"/>
      <w:r>
        <w:rPr>
          <w:b/>
          <w:bCs/>
          <w:color w:val="auto"/>
          <w:sz w:val="28"/>
          <w:szCs w:val="28"/>
          <w:highlight w:val="none"/>
        </w:rPr>
        <w:t>7.2.2硬件采购部分</w:t>
      </w:r>
      <w:bookmarkEnd w:id="1251"/>
      <w:bookmarkEnd w:id="1252"/>
      <w:bookmarkEnd w:id="1253"/>
      <w:bookmarkEnd w:id="1254"/>
      <w:bookmarkEnd w:id="1255"/>
    </w:p>
    <w:p w14:paraId="15899954">
      <w:pPr>
        <w:pStyle w:val="20"/>
        <w:keepNext w:val="0"/>
        <w:keepLines w:val="0"/>
        <w:pageBreakBefore w:val="0"/>
        <w:widowControl w:val="0"/>
        <w:tabs>
          <w:tab w:val="left" w:leader="middleDot" w:pos="6020"/>
        </w:tabs>
        <w:kinsoku/>
        <w:wordWrap/>
        <w:overflowPunct/>
        <w:topLinePunct w:val="0"/>
        <w:autoSpaceDE/>
        <w:autoSpaceDN/>
        <w:bidi w:val="0"/>
        <w:adjustRightInd/>
        <w:snapToGrid/>
        <w:spacing w:after="0" w:line="360" w:lineRule="auto"/>
        <w:ind w:left="0" w:leftChars="0" w:firstLine="560"/>
        <w:textAlignment w:val="auto"/>
        <w:rPr>
          <w:color w:val="auto"/>
          <w:sz w:val="28"/>
          <w:szCs w:val="28"/>
          <w:highlight w:val="none"/>
        </w:rPr>
      </w:pPr>
      <w:r>
        <w:rPr>
          <w:color w:val="auto"/>
          <w:sz w:val="28"/>
          <w:szCs w:val="28"/>
          <w:highlight w:val="none"/>
        </w:rPr>
        <w:t>投标人就本项目中所列的硬件设备向招标人（不能偏离招标文件的要求），采购设备满足以下验收标准：</w:t>
      </w:r>
    </w:p>
    <w:p w14:paraId="0DE53006">
      <w:pPr>
        <w:pStyle w:val="20"/>
        <w:keepNext w:val="0"/>
        <w:keepLines w:val="0"/>
        <w:pageBreakBefore w:val="0"/>
        <w:widowControl w:val="0"/>
        <w:numPr>
          <w:ilvl w:val="0"/>
          <w:numId w:val="13"/>
        </w:numPr>
        <w:tabs>
          <w:tab w:val="left" w:leader="middleDot" w:pos="6020"/>
        </w:tabs>
        <w:kinsoku/>
        <w:wordWrap/>
        <w:overflowPunct/>
        <w:topLinePunct w:val="0"/>
        <w:autoSpaceDE/>
        <w:autoSpaceDN/>
        <w:bidi w:val="0"/>
        <w:adjustRightInd/>
        <w:snapToGrid/>
        <w:spacing w:after="0" w:line="360" w:lineRule="auto"/>
        <w:ind w:left="0" w:leftChars="0" w:firstLine="560"/>
        <w:textAlignment w:val="auto"/>
        <w:rPr>
          <w:color w:val="auto"/>
          <w:sz w:val="28"/>
          <w:szCs w:val="28"/>
          <w:highlight w:val="none"/>
        </w:rPr>
      </w:pPr>
      <w:r>
        <w:rPr>
          <w:color w:val="auto"/>
          <w:sz w:val="28"/>
          <w:szCs w:val="28"/>
          <w:highlight w:val="none"/>
        </w:rPr>
        <w:t>提供包含硬件型号、规格及参数的供货清单。</w:t>
      </w:r>
    </w:p>
    <w:p w14:paraId="44333FE8">
      <w:pPr>
        <w:pStyle w:val="20"/>
        <w:keepNext w:val="0"/>
        <w:keepLines w:val="0"/>
        <w:pageBreakBefore w:val="0"/>
        <w:widowControl w:val="0"/>
        <w:numPr>
          <w:ilvl w:val="0"/>
          <w:numId w:val="13"/>
        </w:numPr>
        <w:tabs>
          <w:tab w:val="left" w:leader="middleDot" w:pos="6020"/>
        </w:tabs>
        <w:kinsoku/>
        <w:wordWrap/>
        <w:overflowPunct/>
        <w:topLinePunct w:val="0"/>
        <w:autoSpaceDE/>
        <w:autoSpaceDN/>
        <w:bidi w:val="0"/>
        <w:adjustRightInd/>
        <w:snapToGrid/>
        <w:spacing w:after="0" w:line="360" w:lineRule="auto"/>
        <w:ind w:left="0" w:leftChars="0" w:firstLine="560"/>
        <w:textAlignment w:val="auto"/>
        <w:rPr>
          <w:color w:val="auto"/>
          <w:sz w:val="28"/>
          <w:szCs w:val="28"/>
          <w:highlight w:val="none"/>
        </w:rPr>
      </w:pPr>
      <w:r>
        <w:rPr>
          <w:color w:val="auto"/>
          <w:sz w:val="28"/>
          <w:szCs w:val="28"/>
          <w:highlight w:val="none"/>
        </w:rPr>
        <w:t>所有设备的配置、规格须满足或优于本用户需求书所要求的配置要求。</w:t>
      </w:r>
    </w:p>
    <w:p w14:paraId="24FA3A3D">
      <w:pPr>
        <w:pStyle w:val="20"/>
        <w:keepNext w:val="0"/>
        <w:keepLines w:val="0"/>
        <w:pageBreakBefore w:val="0"/>
        <w:widowControl w:val="0"/>
        <w:numPr>
          <w:ilvl w:val="0"/>
          <w:numId w:val="13"/>
        </w:numPr>
        <w:tabs>
          <w:tab w:val="left" w:leader="middleDot" w:pos="6020"/>
        </w:tabs>
        <w:kinsoku/>
        <w:wordWrap/>
        <w:overflowPunct/>
        <w:topLinePunct w:val="0"/>
        <w:autoSpaceDE/>
        <w:autoSpaceDN/>
        <w:bidi w:val="0"/>
        <w:adjustRightInd/>
        <w:snapToGrid/>
        <w:spacing w:after="0" w:line="360" w:lineRule="auto"/>
        <w:ind w:left="0" w:leftChars="0" w:firstLine="560"/>
        <w:textAlignment w:val="auto"/>
        <w:rPr>
          <w:color w:val="auto"/>
          <w:sz w:val="28"/>
          <w:szCs w:val="28"/>
          <w:highlight w:val="none"/>
        </w:rPr>
      </w:pPr>
      <w:r>
        <w:rPr>
          <w:color w:val="auto"/>
          <w:sz w:val="28"/>
          <w:szCs w:val="28"/>
          <w:highlight w:val="none"/>
        </w:rPr>
        <w:t>所有设备均为原厂生产的正品并附带出厂合格证明。</w:t>
      </w:r>
    </w:p>
    <w:p w14:paraId="5BD1FDD1">
      <w:pPr>
        <w:pStyle w:val="20"/>
        <w:keepNext w:val="0"/>
        <w:keepLines w:val="0"/>
        <w:pageBreakBefore w:val="0"/>
        <w:widowControl w:val="0"/>
        <w:numPr>
          <w:ilvl w:val="0"/>
          <w:numId w:val="13"/>
        </w:numPr>
        <w:tabs>
          <w:tab w:val="left" w:leader="middleDot" w:pos="6020"/>
        </w:tabs>
        <w:kinsoku/>
        <w:wordWrap/>
        <w:overflowPunct/>
        <w:topLinePunct w:val="0"/>
        <w:autoSpaceDE/>
        <w:autoSpaceDN/>
        <w:bidi w:val="0"/>
        <w:adjustRightInd/>
        <w:snapToGrid/>
        <w:spacing w:after="0" w:line="360" w:lineRule="auto"/>
        <w:ind w:left="0" w:leftChars="0" w:firstLine="560"/>
        <w:textAlignment w:val="auto"/>
        <w:rPr>
          <w:color w:val="auto"/>
          <w:sz w:val="28"/>
          <w:szCs w:val="28"/>
          <w:highlight w:val="none"/>
        </w:rPr>
      </w:pPr>
      <w:r>
        <w:rPr>
          <w:color w:val="auto"/>
          <w:sz w:val="28"/>
          <w:szCs w:val="28"/>
          <w:highlight w:val="none"/>
        </w:rPr>
        <w:t>所有设备开箱时资料齐全，外观无任何碰撞损坏痕迹。</w:t>
      </w:r>
    </w:p>
    <w:p w14:paraId="08067B7C">
      <w:pPr>
        <w:pStyle w:val="20"/>
        <w:keepNext w:val="0"/>
        <w:keepLines w:val="0"/>
        <w:pageBreakBefore w:val="0"/>
        <w:widowControl w:val="0"/>
        <w:numPr>
          <w:ilvl w:val="0"/>
          <w:numId w:val="13"/>
        </w:numPr>
        <w:tabs>
          <w:tab w:val="left" w:leader="middleDot" w:pos="6020"/>
        </w:tabs>
        <w:kinsoku/>
        <w:wordWrap/>
        <w:overflowPunct/>
        <w:topLinePunct w:val="0"/>
        <w:autoSpaceDE/>
        <w:autoSpaceDN/>
        <w:bidi w:val="0"/>
        <w:adjustRightInd/>
        <w:snapToGrid/>
        <w:spacing w:after="0" w:line="360" w:lineRule="auto"/>
        <w:ind w:left="0" w:leftChars="0" w:firstLine="560"/>
        <w:textAlignment w:val="auto"/>
        <w:rPr>
          <w:color w:val="auto"/>
          <w:sz w:val="28"/>
          <w:szCs w:val="28"/>
          <w:highlight w:val="none"/>
        </w:rPr>
      </w:pPr>
      <w:r>
        <w:rPr>
          <w:color w:val="auto"/>
          <w:sz w:val="28"/>
          <w:szCs w:val="28"/>
          <w:highlight w:val="none"/>
        </w:rPr>
        <w:t>所有无人机、机场、车辆、手持终端等硬件设备经用户运行测试正常。</w:t>
      </w:r>
    </w:p>
    <w:p w14:paraId="1F3F2C79">
      <w:pPr>
        <w:pStyle w:val="20"/>
        <w:keepNext w:val="0"/>
        <w:keepLines w:val="0"/>
        <w:pageBreakBefore w:val="0"/>
        <w:widowControl w:val="0"/>
        <w:numPr>
          <w:ilvl w:val="0"/>
          <w:numId w:val="13"/>
        </w:numPr>
        <w:tabs>
          <w:tab w:val="left" w:leader="middleDot" w:pos="6020"/>
        </w:tabs>
        <w:kinsoku/>
        <w:wordWrap/>
        <w:overflowPunct/>
        <w:topLinePunct w:val="0"/>
        <w:autoSpaceDE/>
        <w:autoSpaceDN/>
        <w:bidi w:val="0"/>
        <w:adjustRightInd/>
        <w:snapToGrid/>
        <w:spacing w:after="0" w:line="360" w:lineRule="auto"/>
        <w:ind w:left="0" w:leftChars="0" w:firstLine="560"/>
        <w:textAlignment w:val="auto"/>
        <w:rPr>
          <w:color w:val="auto"/>
          <w:sz w:val="28"/>
          <w:szCs w:val="28"/>
          <w:highlight w:val="none"/>
        </w:rPr>
      </w:pPr>
      <w:r>
        <w:rPr>
          <w:color w:val="auto"/>
          <w:sz w:val="28"/>
          <w:szCs w:val="28"/>
          <w:highlight w:val="none"/>
        </w:rPr>
        <w:t>所有设备注册信息合法、有效。</w:t>
      </w:r>
    </w:p>
    <w:p w14:paraId="78FE5DD7">
      <w:pPr>
        <w:pStyle w:val="20"/>
        <w:keepNext w:val="0"/>
        <w:keepLines w:val="0"/>
        <w:pageBreakBefore w:val="0"/>
        <w:widowControl w:val="0"/>
        <w:numPr>
          <w:ilvl w:val="0"/>
          <w:numId w:val="13"/>
        </w:numPr>
        <w:tabs>
          <w:tab w:val="left" w:leader="middleDot" w:pos="6020"/>
        </w:tabs>
        <w:kinsoku/>
        <w:wordWrap/>
        <w:overflowPunct/>
        <w:topLinePunct w:val="0"/>
        <w:autoSpaceDE/>
        <w:autoSpaceDN/>
        <w:bidi w:val="0"/>
        <w:adjustRightInd/>
        <w:snapToGrid/>
        <w:spacing w:after="0" w:line="360" w:lineRule="auto"/>
        <w:ind w:left="0" w:leftChars="0" w:firstLine="560"/>
        <w:textAlignment w:val="auto"/>
        <w:rPr>
          <w:color w:val="auto"/>
          <w:sz w:val="28"/>
          <w:szCs w:val="28"/>
          <w:highlight w:val="none"/>
        </w:rPr>
      </w:pPr>
      <w:r>
        <w:rPr>
          <w:color w:val="auto"/>
          <w:sz w:val="28"/>
          <w:szCs w:val="28"/>
          <w:highlight w:val="none"/>
        </w:rPr>
        <w:t>随产品提供的服务满足招标文件中所要求，可高于要求。</w:t>
      </w:r>
    </w:p>
    <w:p w14:paraId="07DC7380">
      <w:pPr>
        <w:pStyle w:val="20"/>
        <w:keepNext w:val="0"/>
        <w:keepLines w:val="0"/>
        <w:pageBreakBefore w:val="0"/>
        <w:widowControl w:val="0"/>
        <w:numPr>
          <w:ilvl w:val="0"/>
          <w:numId w:val="13"/>
        </w:numPr>
        <w:tabs>
          <w:tab w:val="left" w:leader="middleDot" w:pos="6020"/>
        </w:tabs>
        <w:kinsoku/>
        <w:wordWrap/>
        <w:overflowPunct/>
        <w:topLinePunct w:val="0"/>
        <w:autoSpaceDE/>
        <w:autoSpaceDN/>
        <w:bidi w:val="0"/>
        <w:adjustRightInd/>
        <w:snapToGrid/>
        <w:spacing w:after="0" w:line="360" w:lineRule="auto"/>
        <w:ind w:left="0" w:leftChars="0" w:firstLine="560"/>
        <w:textAlignment w:val="auto"/>
        <w:rPr>
          <w:color w:val="auto"/>
          <w:sz w:val="28"/>
          <w:szCs w:val="28"/>
          <w:highlight w:val="none"/>
        </w:rPr>
      </w:pPr>
      <w:r>
        <w:rPr>
          <w:color w:val="auto"/>
          <w:sz w:val="28"/>
          <w:szCs w:val="28"/>
          <w:highlight w:val="none"/>
        </w:rPr>
        <w:t>说明书、质保证明、票据等相关资料齐全。</w:t>
      </w:r>
    </w:p>
    <w:p w14:paraId="268D2073">
      <w:pPr>
        <w:spacing w:line="360" w:lineRule="auto"/>
        <w:ind w:firstLine="562" w:firstLineChars="200"/>
        <w:jc w:val="left"/>
        <w:rPr>
          <w:b/>
          <w:bCs/>
          <w:color w:val="auto"/>
          <w:sz w:val="28"/>
          <w:szCs w:val="28"/>
          <w:highlight w:val="none"/>
        </w:rPr>
      </w:pPr>
      <w:r>
        <w:rPr>
          <w:b/>
          <w:bCs/>
          <w:color w:val="auto"/>
          <w:sz w:val="28"/>
          <w:szCs w:val="28"/>
          <w:highlight w:val="none"/>
        </w:rPr>
        <w:t>7.2.3第三方软件产品采购部分</w:t>
      </w:r>
    </w:p>
    <w:p w14:paraId="5425266A">
      <w:pPr>
        <w:spacing w:line="360" w:lineRule="auto"/>
        <w:ind w:firstLine="560" w:firstLineChars="200"/>
        <w:jc w:val="left"/>
        <w:rPr>
          <w:color w:val="auto"/>
          <w:sz w:val="28"/>
          <w:szCs w:val="28"/>
          <w:highlight w:val="none"/>
        </w:rPr>
      </w:pPr>
      <w:r>
        <w:rPr>
          <w:color w:val="auto"/>
          <w:sz w:val="28"/>
          <w:szCs w:val="28"/>
          <w:highlight w:val="none"/>
        </w:rPr>
        <w:t>项目中若有采购第三方软件，均需提供纸质许可证证明书及其他相关证明文件，包括但不限于：</w:t>
      </w:r>
    </w:p>
    <w:p w14:paraId="2D033FF8">
      <w:pPr>
        <w:spacing w:line="360" w:lineRule="auto"/>
        <w:ind w:firstLine="560" w:firstLineChars="200"/>
        <w:jc w:val="left"/>
        <w:rPr>
          <w:color w:val="auto"/>
          <w:sz w:val="28"/>
          <w:szCs w:val="28"/>
          <w:highlight w:val="none"/>
        </w:rPr>
      </w:pPr>
      <w:r>
        <w:rPr>
          <w:color w:val="auto"/>
          <w:sz w:val="28"/>
          <w:szCs w:val="28"/>
          <w:highlight w:val="none"/>
        </w:rPr>
        <w:t>1）《软件产品许可证》，即由软件原厂商授予我司的关于该软件许可合法使用的证明文件。</w:t>
      </w:r>
    </w:p>
    <w:p w14:paraId="48B5CD7C">
      <w:pPr>
        <w:spacing w:line="360" w:lineRule="auto"/>
        <w:ind w:firstLine="560" w:firstLineChars="200"/>
        <w:jc w:val="left"/>
        <w:rPr>
          <w:color w:val="auto"/>
          <w:sz w:val="28"/>
          <w:szCs w:val="28"/>
          <w:highlight w:val="none"/>
        </w:rPr>
      </w:pPr>
      <w:r>
        <w:rPr>
          <w:color w:val="auto"/>
          <w:sz w:val="28"/>
          <w:szCs w:val="28"/>
          <w:highlight w:val="none"/>
        </w:rPr>
        <w:t>2）《软件用户数许可证明》，即由软件原厂商授予我司的关于该软件许可合法用户数的证明文件。</w:t>
      </w:r>
    </w:p>
    <w:p w14:paraId="3E90EB63">
      <w:pPr>
        <w:spacing w:line="360" w:lineRule="auto"/>
        <w:jc w:val="left"/>
        <w:outlineLvl w:val="1"/>
        <w:rPr>
          <w:b/>
          <w:bCs/>
          <w:color w:val="auto"/>
          <w:sz w:val="28"/>
          <w:szCs w:val="28"/>
          <w:highlight w:val="none"/>
        </w:rPr>
      </w:pPr>
      <w:bookmarkStart w:id="1256" w:name="_Toc30244"/>
      <w:bookmarkStart w:id="1257" w:name="_Toc28760"/>
      <w:bookmarkStart w:id="1258" w:name="_Toc9416"/>
      <w:bookmarkStart w:id="1259" w:name="_Toc2438"/>
      <w:bookmarkStart w:id="1260" w:name="_Toc28188"/>
      <w:bookmarkStart w:id="1261" w:name="_Toc21274"/>
      <w:bookmarkStart w:id="1262" w:name="_Toc28309"/>
      <w:r>
        <w:rPr>
          <w:b/>
          <w:bCs/>
          <w:color w:val="auto"/>
          <w:sz w:val="28"/>
          <w:szCs w:val="28"/>
          <w:highlight w:val="none"/>
        </w:rPr>
        <w:t>7.3阶段成果确认</w:t>
      </w:r>
      <w:bookmarkEnd w:id="1256"/>
      <w:bookmarkEnd w:id="1257"/>
      <w:bookmarkEnd w:id="1258"/>
      <w:bookmarkEnd w:id="1259"/>
      <w:bookmarkEnd w:id="1260"/>
      <w:bookmarkEnd w:id="1261"/>
      <w:bookmarkEnd w:id="1262"/>
    </w:p>
    <w:p w14:paraId="27942B59">
      <w:pPr>
        <w:spacing w:line="360" w:lineRule="auto"/>
        <w:ind w:firstLine="560" w:firstLineChars="200"/>
        <w:jc w:val="left"/>
        <w:rPr>
          <w:color w:val="auto"/>
          <w:sz w:val="28"/>
          <w:szCs w:val="28"/>
          <w:highlight w:val="none"/>
        </w:rPr>
      </w:pPr>
      <w:r>
        <w:rPr>
          <w:color w:val="auto"/>
          <w:sz w:val="28"/>
          <w:szCs w:val="28"/>
          <w:highlight w:val="none"/>
        </w:rPr>
        <w:t>阶段成果交付后，招标人将依据需求书要求，组织进行阶段成果的审查、确认工作。</w:t>
      </w:r>
    </w:p>
    <w:p w14:paraId="78317956">
      <w:pPr>
        <w:spacing w:line="360" w:lineRule="auto"/>
        <w:jc w:val="left"/>
        <w:outlineLvl w:val="1"/>
        <w:rPr>
          <w:b/>
          <w:bCs/>
          <w:color w:val="auto"/>
          <w:sz w:val="28"/>
          <w:szCs w:val="28"/>
          <w:highlight w:val="none"/>
        </w:rPr>
      </w:pPr>
      <w:bookmarkStart w:id="1263" w:name="_Toc3338"/>
      <w:bookmarkStart w:id="1264" w:name="_Toc15187"/>
      <w:bookmarkStart w:id="1265" w:name="_Toc13387"/>
      <w:bookmarkStart w:id="1266" w:name="_Toc13015"/>
      <w:bookmarkStart w:id="1267" w:name="_Toc31613"/>
      <w:bookmarkStart w:id="1268" w:name="_Toc4675"/>
      <w:bookmarkStart w:id="1269" w:name="_Toc29297"/>
      <w:r>
        <w:rPr>
          <w:b/>
          <w:bCs/>
          <w:color w:val="auto"/>
          <w:sz w:val="28"/>
          <w:szCs w:val="28"/>
          <w:highlight w:val="none"/>
        </w:rPr>
        <w:t>7.4初步验收</w:t>
      </w:r>
      <w:bookmarkEnd w:id="1263"/>
      <w:bookmarkEnd w:id="1264"/>
      <w:bookmarkEnd w:id="1265"/>
      <w:bookmarkEnd w:id="1266"/>
      <w:bookmarkEnd w:id="1267"/>
      <w:bookmarkEnd w:id="1268"/>
      <w:bookmarkEnd w:id="1269"/>
    </w:p>
    <w:p w14:paraId="155C0C11">
      <w:pPr>
        <w:spacing w:line="360" w:lineRule="auto"/>
        <w:ind w:firstLine="560" w:firstLineChars="200"/>
        <w:jc w:val="left"/>
        <w:rPr>
          <w:color w:val="auto"/>
          <w:sz w:val="28"/>
          <w:szCs w:val="28"/>
          <w:highlight w:val="none"/>
        </w:rPr>
      </w:pPr>
      <w:r>
        <w:rPr>
          <w:color w:val="auto"/>
          <w:sz w:val="28"/>
          <w:szCs w:val="28"/>
          <w:highlight w:val="none"/>
        </w:rPr>
        <w:t>1）项目成果交付后，招标人检查项目符合验收标准后，组织进行项目验收相关工作。所提交的技术文档如有修改，请提交最新版的总体设计文档、详细设计文档等技术文档。</w:t>
      </w:r>
    </w:p>
    <w:p w14:paraId="39B02E47">
      <w:pPr>
        <w:spacing w:line="360" w:lineRule="auto"/>
        <w:ind w:firstLine="560" w:firstLineChars="200"/>
        <w:jc w:val="left"/>
        <w:rPr>
          <w:color w:val="auto"/>
          <w:sz w:val="28"/>
          <w:szCs w:val="28"/>
          <w:highlight w:val="none"/>
        </w:rPr>
      </w:pPr>
      <w:r>
        <w:rPr>
          <w:color w:val="auto"/>
          <w:sz w:val="28"/>
          <w:szCs w:val="28"/>
          <w:highlight w:val="none"/>
        </w:rPr>
        <w:t>2）软件系统建设项目的初步验收需在系统稳定试运行3个月后进行。</w:t>
      </w:r>
    </w:p>
    <w:p w14:paraId="7A2451C2">
      <w:pPr>
        <w:spacing w:line="360" w:lineRule="auto"/>
        <w:ind w:firstLine="560" w:firstLineChars="200"/>
        <w:jc w:val="left"/>
        <w:rPr>
          <w:color w:val="auto"/>
          <w:sz w:val="28"/>
          <w:szCs w:val="28"/>
          <w:highlight w:val="none"/>
        </w:rPr>
      </w:pPr>
      <w:r>
        <w:rPr>
          <w:color w:val="auto"/>
          <w:sz w:val="28"/>
          <w:szCs w:val="28"/>
          <w:highlight w:val="none"/>
        </w:rPr>
        <w:t>3）按照招标人档案管理部门要求，编制相关归档文件，完成项目归档工作，得到招标人档案管理部门的签字确认。</w:t>
      </w:r>
    </w:p>
    <w:p w14:paraId="3C6FD6BB">
      <w:pPr>
        <w:spacing w:line="360" w:lineRule="auto"/>
        <w:ind w:firstLine="560" w:firstLineChars="200"/>
        <w:jc w:val="left"/>
        <w:rPr>
          <w:color w:val="auto"/>
          <w:sz w:val="28"/>
          <w:szCs w:val="28"/>
          <w:highlight w:val="none"/>
        </w:rPr>
      </w:pPr>
      <w:r>
        <w:rPr>
          <w:color w:val="auto"/>
          <w:sz w:val="28"/>
          <w:szCs w:val="28"/>
          <w:highlight w:val="none"/>
        </w:rPr>
        <w:t>4）投标人提出申请，并配合招标人组织初步验收会议，投标人报告项目情况，招标人验收确认或提出验收改进意见。</w:t>
      </w:r>
    </w:p>
    <w:p w14:paraId="6A48C3FB">
      <w:pPr>
        <w:spacing w:line="360" w:lineRule="auto"/>
        <w:jc w:val="left"/>
        <w:outlineLvl w:val="1"/>
        <w:rPr>
          <w:rFonts w:hint="default"/>
          <w:b/>
          <w:bCs/>
          <w:color w:val="auto"/>
          <w:sz w:val="28"/>
          <w:szCs w:val="28"/>
          <w:highlight w:val="none"/>
          <w:lang w:val="en-US" w:eastAsia="zh-CN"/>
        </w:rPr>
      </w:pPr>
      <w:bookmarkStart w:id="1270" w:name="_Toc13263"/>
      <w:r>
        <w:rPr>
          <w:rFonts w:hint="eastAsia"/>
          <w:b/>
          <w:bCs/>
          <w:color w:val="auto"/>
          <w:sz w:val="28"/>
          <w:szCs w:val="28"/>
          <w:highlight w:val="none"/>
          <w:lang w:val="en-US" w:eastAsia="zh-CN"/>
        </w:rPr>
        <w:t>7.5预验收</w:t>
      </w:r>
      <w:bookmarkEnd w:id="1270"/>
    </w:p>
    <w:p w14:paraId="0E555F3B">
      <w:pPr>
        <w:numPr>
          <w:ilvl w:val="0"/>
          <w:numId w:val="14"/>
        </w:numPr>
        <w:spacing w:line="360" w:lineRule="auto"/>
        <w:ind w:firstLine="560" w:firstLineChars="200"/>
        <w:jc w:val="left"/>
        <w:rPr>
          <w:rFonts w:hint="eastAsia"/>
          <w:color w:val="auto"/>
          <w:sz w:val="28"/>
          <w:szCs w:val="28"/>
          <w:highlight w:val="none"/>
          <w:lang w:val="en-US" w:eastAsia="zh-CN"/>
        </w:rPr>
      </w:pPr>
      <w:bookmarkStart w:id="1271" w:name="_Toc5357"/>
      <w:bookmarkStart w:id="1272" w:name="_Toc143"/>
      <w:bookmarkStart w:id="1273" w:name="_Toc13814"/>
      <w:bookmarkStart w:id="1274" w:name="_Toc17376"/>
      <w:bookmarkStart w:id="1275" w:name="_Toc30511"/>
      <w:bookmarkStart w:id="1276" w:name="_Toc31733"/>
      <w:r>
        <w:rPr>
          <w:rFonts w:hint="eastAsia"/>
          <w:color w:val="auto"/>
          <w:sz w:val="28"/>
          <w:szCs w:val="28"/>
          <w:highlight w:val="none"/>
          <w:lang w:val="en-US" w:eastAsia="zh-CN"/>
        </w:rPr>
        <w:t>投标人完成全部软件和硬件建设、安装和运营调试服务后，系统运行正常，可向招标人申请预验收工作。</w:t>
      </w:r>
    </w:p>
    <w:p w14:paraId="6E44C9C4">
      <w:pPr>
        <w:numPr>
          <w:ilvl w:val="0"/>
          <w:numId w:val="14"/>
        </w:numPr>
        <w:spacing w:line="360" w:lineRule="auto"/>
        <w:ind w:firstLine="560" w:firstLineChars="200"/>
        <w:jc w:val="left"/>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提供《预验收总结报告》、《自动无人机设备安装和调试报告》、《系统服务器安装后和调试报告》、《软件系统上线正式运行报告》。</w:t>
      </w:r>
    </w:p>
    <w:p w14:paraId="47550C74">
      <w:pPr>
        <w:spacing w:line="360" w:lineRule="auto"/>
        <w:jc w:val="left"/>
        <w:outlineLvl w:val="1"/>
        <w:rPr>
          <w:b/>
          <w:bCs/>
          <w:color w:val="auto"/>
          <w:sz w:val="28"/>
          <w:szCs w:val="28"/>
          <w:highlight w:val="none"/>
        </w:rPr>
      </w:pPr>
      <w:bookmarkStart w:id="1277" w:name="_Toc29580"/>
      <w:r>
        <w:rPr>
          <w:b/>
          <w:bCs/>
          <w:color w:val="auto"/>
          <w:sz w:val="28"/>
          <w:szCs w:val="28"/>
          <w:highlight w:val="none"/>
        </w:rPr>
        <w:t>7.</w:t>
      </w:r>
      <w:r>
        <w:rPr>
          <w:rFonts w:hint="eastAsia"/>
          <w:b/>
          <w:bCs/>
          <w:color w:val="auto"/>
          <w:sz w:val="28"/>
          <w:szCs w:val="28"/>
          <w:highlight w:val="none"/>
          <w:lang w:val="en-US" w:eastAsia="zh-CN"/>
        </w:rPr>
        <w:t>6</w:t>
      </w:r>
      <w:r>
        <w:rPr>
          <w:b/>
          <w:bCs/>
          <w:color w:val="auto"/>
          <w:sz w:val="28"/>
          <w:szCs w:val="28"/>
          <w:highlight w:val="none"/>
        </w:rPr>
        <w:t>最终验收</w:t>
      </w:r>
      <w:bookmarkEnd w:id="1271"/>
      <w:bookmarkEnd w:id="1272"/>
      <w:bookmarkEnd w:id="1273"/>
      <w:bookmarkEnd w:id="1274"/>
      <w:bookmarkEnd w:id="1275"/>
      <w:bookmarkEnd w:id="1276"/>
      <w:bookmarkEnd w:id="1277"/>
    </w:p>
    <w:p w14:paraId="6C5D2917">
      <w:pPr>
        <w:spacing w:line="360" w:lineRule="auto"/>
        <w:ind w:firstLine="560" w:firstLineChars="200"/>
        <w:jc w:val="left"/>
        <w:rPr>
          <w:color w:val="auto"/>
          <w:sz w:val="28"/>
          <w:szCs w:val="28"/>
          <w:highlight w:val="none"/>
        </w:rPr>
      </w:pPr>
      <w:r>
        <w:rPr>
          <w:color w:val="auto"/>
          <w:sz w:val="28"/>
          <w:szCs w:val="28"/>
          <w:highlight w:val="none"/>
        </w:rPr>
        <w:t>1）从</w:t>
      </w:r>
      <w:r>
        <w:rPr>
          <w:rFonts w:hint="eastAsia"/>
          <w:color w:val="auto"/>
          <w:sz w:val="28"/>
          <w:szCs w:val="28"/>
          <w:highlight w:val="none"/>
          <w:lang w:val="en-US" w:eastAsia="zh-CN"/>
        </w:rPr>
        <w:t>预</w:t>
      </w:r>
      <w:r>
        <w:rPr>
          <w:color w:val="auto"/>
          <w:sz w:val="28"/>
          <w:szCs w:val="28"/>
          <w:highlight w:val="none"/>
        </w:rPr>
        <w:t>验收后，在质保期内，按计划完成最终验收前所有工作，系统正式运行正常。</w:t>
      </w:r>
    </w:p>
    <w:p w14:paraId="76336008">
      <w:pPr>
        <w:spacing w:line="360" w:lineRule="auto"/>
        <w:ind w:firstLine="560" w:firstLineChars="200"/>
        <w:jc w:val="left"/>
        <w:rPr>
          <w:color w:val="auto"/>
          <w:sz w:val="28"/>
          <w:szCs w:val="28"/>
          <w:highlight w:val="none"/>
        </w:rPr>
      </w:pPr>
      <w:r>
        <w:rPr>
          <w:color w:val="auto"/>
          <w:sz w:val="28"/>
          <w:szCs w:val="28"/>
          <w:highlight w:val="none"/>
        </w:rPr>
        <w:t>2）及时解决系统出现的问题，完成相应功能调整与完善。</w:t>
      </w:r>
    </w:p>
    <w:p w14:paraId="2355F3CC">
      <w:pPr>
        <w:spacing w:line="360" w:lineRule="auto"/>
        <w:ind w:firstLine="560" w:firstLineChars="200"/>
        <w:jc w:val="left"/>
        <w:rPr>
          <w:color w:val="auto"/>
          <w:sz w:val="28"/>
          <w:szCs w:val="28"/>
          <w:highlight w:val="none"/>
        </w:rPr>
      </w:pPr>
      <w:r>
        <w:rPr>
          <w:color w:val="auto"/>
          <w:sz w:val="28"/>
          <w:szCs w:val="28"/>
          <w:highlight w:val="none"/>
        </w:rPr>
        <w:t>3）提交有关项目验收文档，完成文件归档，完成最终验收相关工作。</w:t>
      </w:r>
    </w:p>
    <w:p w14:paraId="139B6EFD">
      <w:pPr>
        <w:spacing w:line="360" w:lineRule="auto"/>
        <w:ind w:firstLine="560" w:firstLineChars="200"/>
        <w:jc w:val="left"/>
        <w:rPr>
          <w:color w:val="auto"/>
          <w:sz w:val="28"/>
          <w:szCs w:val="28"/>
          <w:highlight w:val="none"/>
        </w:rPr>
      </w:pPr>
      <w:r>
        <w:rPr>
          <w:color w:val="auto"/>
          <w:sz w:val="28"/>
          <w:szCs w:val="28"/>
          <w:highlight w:val="none"/>
        </w:rPr>
        <w:t>4）编制并提交《项目最终验收报告》。</w:t>
      </w:r>
    </w:p>
    <w:p w14:paraId="562A1997">
      <w:pPr>
        <w:spacing w:line="360" w:lineRule="auto"/>
        <w:ind w:firstLine="560" w:firstLineChars="200"/>
        <w:jc w:val="left"/>
        <w:rPr>
          <w:color w:val="auto"/>
          <w:sz w:val="28"/>
          <w:szCs w:val="28"/>
          <w:highlight w:val="none"/>
        </w:rPr>
      </w:pPr>
      <w:r>
        <w:rPr>
          <w:color w:val="auto"/>
          <w:sz w:val="28"/>
          <w:szCs w:val="28"/>
          <w:highlight w:val="none"/>
        </w:rPr>
        <w:t>5）软件系统开发质保期结束后，由投标人提出申请，并配合招标人组织最终验收会议，承包方报告项目情况，招标人验收确认或提出验收改进意见。</w:t>
      </w:r>
    </w:p>
    <w:p w14:paraId="1E001785">
      <w:pPr>
        <w:spacing w:line="360" w:lineRule="auto"/>
        <w:outlineLvl w:val="0"/>
        <w:rPr>
          <w:b/>
          <w:bCs/>
          <w:color w:val="auto"/>
          <w:sz w:val="28"/>
          <w:szCs w:val="28"/>
          <w:highlight w:val="none"/>
        </w:rPr>
      </w:pPr>
      <w:bookmarkStart w:id="1278" w:name="_Toc7801"/>
      <w:bookmarkStart w:id="1279" w:name="_Toc4552"/>
      <w:bookmarkStart w:id="1280" w:name="_Toc17116"/>
      <w:bookmarkStart w:id="1281" w:name="_Toc16841"/>
      <w:bookmarkStart w:id="1282" w:name="_Toc1902"/>
      <w:bookmarkStart w:id="1283" w:name="_Toc29901"/>
      <w:bookmarkStart w:id="1284" w:name="_Toc32400"/>
      <w:r>
        <w:rPr>
          <w:b/>
          <w:bCs/>
          <w:color w:val="auto"/>
          <w:sz w:val="28"/>
          <w:szCs w:val="28"/>
          <w:highlight w:val="none"/>
        </w:rPr>
        <w:t>8质保期及运维要求</w:t>
      </w:r>
      <w:bookmarkEnd w:id="1278"/>
      <w:bookmarkEnd w:id="1279"/>
      <w:bookmarkEnd w:id="1280"/>
      <w:bookmarkEnd w:id="1281"/>
      <w:bookmarkEnd w:id="1282"/>
      <w:bookmarkEnd w:id="1283"/>
      <w:bookmarkEnd w:id="1284"/>
    </w:p>
    <w:p w14:paraId="7213F45E">
      <w:pPr>
        <w:spacing w:line="360" w:lineRule="auto"/>
        <w:ind w:firstLine="560" w:firstLineChars="200"/>
        <w:rPr>
          <w:color w:val="auto"/>
          <w:sz w:val="28"/>
          <w:szCs w:val="28"/>
          <w:highlight w:val="none"/>
        </w:rPr>
      </w:pPr>
      <w:r>
        <w:rPr>
          <w:color w:val="auto"/>
          <w:sz w:val="28"/>
          <w:szCs w:val="28"/>
          <w:highlight w:val="none"/>
        </w:rPr>
        <w:t>本项目</w:t>
      </w:r>
      <w:r>
        <w:rPr>
          <w:rFonts w:hint="eastAsia"/>
          <w:color w:val="auto"/>
          <w:sz w:val="28"/>
          <w:szCs w:val="28"/>
          <w:highlight w:val="none"/>
        </w:rPr>
        <w:t>软硬件</w:t>
      </w:r>
      <w:r>
        <w:rPr>
          <w:color w:val="auto"/>
          <w:sz w:val="28"/>
          <w:szCs w:val="28"/>
          <w:highlight w:val="none"/>
        </w:rPr>
        <w:t>质保期为3年，</w:t>
      </w:r>
      <w:r>
        <w:rPr>
          <w:rFonts w:hint="eastAsia"/>
          <w:color w:val="auto"/>
          <w:sz w:val="28"/>
          <w:szCs w:val="28"/>
          <w:highlight w:val="none"/>
        </w:rPr>
        <w:t>从</w:t>
      </w:r>
      <w:r>
        <w:rPr>
          <w:rFonts w:hint="eastAsia"/>
          <w:color w:val="auto"/>
          <w:sz w:val="28"/>
          <w:szCs w:val="28"/>
          <w:highlight w:val="none"/>
          <w:lang w:val="en-US" w:eastAsia="zh-CN"/>
        </w:rPr>
        <w:t>预</w:t>
      </w:r>
      <w:r>
        <w:rPr>
          <w:rFonts w:hint="eastAsia"/>
          <w:color w:val="auto"/>
          <w:sz w:val="28"/>
          <w:szCs w:val="28"/>
          <w:highlight w:val="none"/>
        </w:rPr>
        <w:t>验收合格之日开始</w:t>
      </w:r>
      <w:r>
        <w:rPr>
          <w:color w:val="auto"/>
          <w:sz w:val="28"/>
          <w:szCs w:val="28"/>
          <w:highlight w:val="none"/>
        </w:rPr>
        <w:t>。</w:t>
      </w:r>
    </w:p>
    <w:p w14:paraId="1A7487BD">
      <w:pPr>
        <w:spacing w:line="360" w:lineRule="auto"/>
        <w:ind w:firstLine="560" w:firstLineChars="200"/>
        <w:rPr>
          <w:color w:val="auto"/>
          <w:sz w:val="28"/>
          <w:szCs w:val="28"/>
          <w:highlight w:val="none"/>
        </w:rPr>
      </w:pPr>
      <w:r>
        <w:rPr>
          <w:color w:val="auto"/>
          <w:sz w:val="28"/>
          <w:szCs w:val="28"/>
          <w:highlight w:val="none"/>
        </w:rPr>
        <w:t>投标人在质保期内须提供质保及运维服务，</w:t>
      </w:r>
      <w:r>
        <w:rPr>
          <w:rFonts w:hint="default"/>
          <w:color w:val="auto"/>
          <w:sz w:val="28"/>
          <w:szCs w:val="28"/>
          <w:highlight w:val="none"/>
          <w:lang w:eastAsia="zh-CN"/>
        </w:rPr>
        <w:t>包括</w:t>
      </w:r>
      <w:r>
        <w:rPr>
          <w:rFonts w:hint="eastAsia" w:eastAsia="宋体"/>
          <w:color w:val="auto"/>
          <w:sz w:val="28"/>
          <w:szCs w:val="28"/>
          <w:highlight w:val="none"/>
          <w:lang w:eastAsia="zh-CN"/>
        </w:rPr>
        <w:t>但不限于</w:t>
      </w:r>
      <w:r>
        <w:rPr>
          <w:rFonts w:hint="default" w:ascii="Times New Roman" w:hAnsi="Times New Roman" w:eastAsia="宋体" w:cs="Times New Roman"/>
          <w:color w:val="auto"/>
          <w:sz w:val="28"/>
          <w:szCs w:val="28"/>
          <w:highlight w:val="none"/>
          <w:lang w:val="en-US" w:eastAsia="zh-CN" w:bidi="ar"/>
        </w:rPr>
        <w:t>人员培训、办理证书、飞行空域申请和计划申报、</w:t>
      </w:r>
      <w:r>
        <w:rPr>
          <w:rFonts w:hint="default" w:ascii="Times New Roman" w:hAnsi="Times New Roman" w:eastAsia="宋体" w:cs="Times New Roman"/>
          <w:bCs w:val="0"/>
          <w:color w:val="auto"/>
          <w:sz w:val="28"/>
          <w:szCs w:val="28"/>
          <w:highlight w:val="none"/>
          <w:lang w:val="en-US" w:eastAsia="zh-CN"/>
        </w:rPr>
        <w:t>无人机场和无人机维护、系统维护和相关辅材配件等内容，</w:t>
      </w:r>
      <w:r>
        <w:rPr>
          <w:color w:val="auto"/>
          <w:sz w:val="28"/>
          <w:szCs w:val="28"/>
          <w:highlight w:val="none"/>
        </w:rPr>
        <w:t>质保期内提供的软件系统和硬件系统运维服务要求如下：</w:t>
      </w:r>
    </w:p>
    <w:p w14:paraId="1FDF634C">
      <w:pPr>
        <w:spacing w:line="360" w:lineRule="auto"/>
        <w:outlineLvl w:val="1"/>
        <w:rPr>
          <w:b/>
          <w:bCs/>
          <w:color w:val="auto"/>
          <w:sz w:val="28"/>
          <w:szCs w:val="28"/>
          <w:highlight w:val="none"/>
        </w:rPr>
      </w:pPr>
      <w:bookmarkStart w:id="1285" w:name="_Toc864"/>
      <w:bookmarkStart w:id="1286" w:name="_Toc31875"/>
      <w:bookmarkStart w:id="1287" w:name="_Toc254"/>
      <w:bookmarkStart w:id="1288" w:name="_Toc26118"/>
      <w:bookmarkStart w:id="1289" w:name="_Toc22574"/>
      <w:bookmarkStart w:id="1290" w:name="_Toc9306"/>
      <w:bookmarkStart w:id="1291" w:name="_Toc26516"/>
      <w:r>
        <w:rPr>
          <w:b/>
          <w:bCs/>
          <w:color w:val="auto"/>
          <w:sz w:val="28"/>
          <w:szCs w:val="28"/>
          <w:highlight w:val="none"/>
        </w:rPr>
        <w:t>8.1软件系统服务要求</w:t>
      </w:r>
      <w:bookmarkEnd w:id="1285"/>
      <w:bookmarkEnd w:id="1286"/>
      <w:bookmarkEnd w:id="1287"/>
      <w:bookmarkEnd w:id="1288"/>
      <w:bookmarkEnd w:id="1289"/>
      <w:bookmarkEnd w:id="1290"/>
      <w:bookmarkEnd w:id="1291"/>
    </w:p>
    <w:p w14:paraId="2E0A564E">
      <w:pPr>
        <w:pStyle w:val="20"/>
        <w:tabs>
          <w:tab w:val="left" w:leader="middleDot" w:pos="6020"/>
        </w:tabs>
        <w:spacing w:after="0"/>
        <w:ind w:left="0" w:leftChars="0" w:firstLine="560"/>
        <w:rPr>
          <w:color w:val="auto"/>
          <w:highlight w:val="none"/>
        </w:rPr>
      </w:pPr>
      <w:r>
        <w:rPr>
          <w:color w:val="auto"/>
          <w:sz w:val="28"/>
          <w:szCs w:val="28"/>
          <w:highlight w:val="none"/>
        </w:rPr>
        <w:t>支持和服务包括但不限于：</w:t>
      </w:r>
    </w:p>
    <w:p w14:paraId="32326688">
      <w:pPr>
        <w:spacing w:line="360" w:lineRule="auto"/>
        <w:ind w:firstLine="560" w:firstLineChars="200"/>
        <w:rPr>
          <w:color w:val="auto"/>
          <w:sz w:val="28"/>
          <w:szCs w:val="28"/>
          <w:highlight w:val="none"/>
        </w:rPr>
      </w:pPr>
      <w:r>
        <w:rPr>
          <w:color w:val="auto"/>
          <w:sz w:val="28"/>
          <w:szCs w:val="28"/>
          <w:highlight w:val="none"/>
        </w:rPr>
        <w:t>1）系统技术支持：对东莞市轨道一号线建设发展有限公司提出的与现有方案及系统有关问题及时进行答疑与解释。</w:t>
      </w:r>
    </w:p>
    <w:p w14:paraId="10AE56CA">
      <w:pPr>
        <w:spacing w:line="360" w:lineRule="auto"/>
        <w:ind w:firstLine="560" w:firstLineChars="200"/>
        <w:rPr>
          <w:color w:val="auto"/>
          <w:sz w:val="28"/>
          <w:szCs w:val="28"/>
          <w:highlight w:val="none"/>
        </w:rPr>
      </w:pPr>
      <w:r>
        <w:rPr>
          <w:color w:val="auto"/>
          <w:sz w:val="28"/>
          <w:szCs w:val="28"/>
          <w:highlight w:val="none"/>
        </w:rPr>
        <w:t>2）定期回访与评估：前3个月每个月进行一次，之后每个季度一次。每次回访时双方提前一周共同确认时间及参加人员安排，对东莞市轨道一号线建设发展有限公司系统应用状况进行评估，并提交回访评估报告，报告内容包括但不限于：系统应用情况、问题分析、改进建议等，协助东莞市轨道一号线建设发展有限公司完善系统应用。</w:t>
      </w:r>
    </w:p>
    <w:p w14:paraId="197358FC">
      <w:pPr>
        <w:spacing w:line="360" w:lineRule="auto"/>
        <w:ind w:firstLine="560" w:firstLineChars="200"/>
        <w:rPr>
          <w:color w:val="auto"/>
          <w:sz w:val="28"/>
          <w:szCs w:val="28"/>
          <w:highlight w:val="none"/>
        </w:rPr>
      </w:pPr>
      <w:r>
        <w:rPr>
          <w:color w:val="auto"/>
          <w:sz w:val="28"/>
          <w:szCs w:val="28"/>
          <w:highlight w:val="none"/>
        </w:rPr>
        <w:t>3）协助招标人对后续开发的系统进行集成。</w:t>
      </w:r>
    </w:p>
    <w:p w14:paraId="4D26507C">
      <w:pPr>
        <w:spacing w:line="360" w:lineRule="auto"/>
        <w:ind w:firstLine="560" w:firstLineChars="200"/>
        <w:rPr>
          <w:color w:val="auto"/>
          <w:sz w:val="28"/>
          <w:szCs w:val="28"/>
          <w:highlight w:val="none"/>
        </w:rPr>
      </w:pPr>
      <w:r>
        <w:rPr>
          <w:color w:val="auto"/>
          <w:sz w:val="28"/>
          <w:szCs w:val="28"/>
          <w:highlight w:val="none"/>
        </w:rPr>
        <w:t>4）质保期内对投标人对自主知识产权的软件如有版本升级，应及时通知招标人，并协助招标人评估是否有需要进行升级，如有则免费为招标人进行升级服务。</w:t>
      </w:r>
    </w:p>
    <w:p w14:paraId="13B7214B">
      <w:pPr>
        <w:widowControl/>
        <w:spacing w:line="360" w:lineRule="auto"/>
        <w:ind w:firstLine="560" w:firstLineChars="200"/>
        <w:rPr>
          <w:color w:val="auto"/>
          <w:sz w:val="28"/>
          <w:szCs w:val="28"/>
          <w:highlight w:val="none"/>
        </w:rPr>
      </w:pPr>
      <w:r>
        <w:rPr>
          <w:rFonts w:hint="eastAsia"/>
          <w:color w:val="auto"/>
          <w:sz w:val="28"/>
          <w:szCs w:val="28"/>
          <w:highlight w:val="none"/>
        </w:rPr>
        <w:t>5）质保期满后，投标人应无偿按照招标人要求对软件系统进行基础维护，确招标人能够正常使用所有软件，直至相关软件系统进行更新替代。</w:t>
      </w:r>
    </w:p>
    <w:p w14:paraId="182ED336">
      <w:pPr>
        <w:spacing w:line="360" w:lineRule="auto"/>
        <w:ind w:firstLine="560" w:firstLineChars="200"/>
        <w:rPr>
          <w:color w:val="auto"/>
          <w:sz w:val="28"/>
          <w:szCs w:val="28"/>
          <w:highlight w:val="none"/>
        </w:rPr>
      </w:pPr>
      <w:r>
        <w:rPr>
          <w:rFonts w:hint="eastAsia"/>
          <w:color w:val="auto"/>
          <w:sz w:val="28"/>
          <w:szCs w:val="28"/>
          <w:highlight w:val="none"/>
        </w:rPr>
        <w:t>6</w:t>
      </w:r>
      <w:r>
        <w:rPr>
          <w:color w:val="auto"/>
          <w:sz w:val="28"/>
          <w:szCs w:val="28"/>
          <w:highlight w:val="none"/>
        </w:rPr>
        <w:t>）对系统运作和故障情况的支持、服务要求</w:t>
      </w:r>
    </w:p>
    <w:p w14:paraId="6BEB2B50">
      <w:pPr>
        <w:spacing w:line="360" w:lineRule="auto"/>
        <w:ind w:firstLine="560" w:firstLineChars="200"/>
        <w:rPr>
          <w:color w:val="auto"/>
          <w:sz w:val="28"/>
          <w:szCs w:val="28"/>
          <w:highlight w:val="none"/>
        </w:rPr>
      </w:pPr>
      <w:r>
        <w:rPr>
          <w:color w:val="auto"/>
          <w:sz w:val="28"/>
          <w:szCs w:val="28"/>
          <w:highlight w:val="none"/>
        </w:rPr>
        <w:t>30分钟内响应，2小时之内恢复正常运行。如果投标人不能在2小时内远程解决，投标人必须在收到招标人到现场服务要求后24个小时内提供现场支持服务，驻点人员需2小时内达到现场。</w:t>
      </w:r>
    </w:p>
    <w:p w14:paraId="5990ADE6">
      <w:pPr>
        <w:spacing w:line="360" w:lineRule="auto"/>
        <w:outlineLvl w:val="1"/>
        <w:rPr>
          <w:b/>
          <w:bCs/>
          <w:color w:val="auto"/>
          <w:sz w:val="28"/>
          <w:szCs w:val="28"/>
          <w:highlight w:val="none"/>
        </w:rPr>
      </w:pPr>
      <w:bookmarkStart w:id="1292" w:name="_Toc25278"/>
      <w:bookmarkStart w:id="1293" w:name="_Toc21289"/>
      <w:bookmarkStart w:id="1294" w:name="_Toc7720"/>
      <w:bookmarkStart w:id="1295" w:name="_Toc10305"/>
      <w:bookmarkStart w:id="1296" w:name="_Toc30427"/>
      <w:bookmarkStart w:id="1297" w:name="_Toc14217"/>
      <w:bookmarkStart w:id="1298" w:name="_Toc1168"/>
      <w:r>
        <w:rPr>
          <w:b/>
          <w:bCs/>
          <w:color w:val="auto"/>
          <w:sz w:val="28"/>
          <w:szCs w:val="28"/>
          <w:highlight w:val="none"/>
        </w:rPr>
        <w:t>8.2硬件系统服务要求</w:t>
      </w:r>
      <w:bookmarkEnd w:id="1292"/>
      <w:bookmarkEnd w:id="1293"/>
      <w:bookmarkEnd w:id="1294"/>
      <w:bookmarkEnd w:id="1295"/>
      <w:bookmarkEnd w:id="1296"/>
      <w:bookmarkEnd w:id="1297"/>
      <w:bookmarkEnd w:id="1298"/>
    </w:p>
    <w:p w14:paraId="3206EB4C">
      <w:pPr>
        <w:pStyle w:val="20"/>
        <w:tabs>
          <w:tab w:val="left" w:leader="middleDot" w:pos="6020"/>
        </w:tabs>
        <w:ind w:left="0" w:leftChars="0" w:firstLine="560"/>
        <w:rPr>
          <w:color w:val="auto"/>
          <w:sz w:val="28"/>
          <w:szCs w:val="28"/>
          <w:highlight w:val="none"/>
        </w:rPr>
      </w:pPr>
      <w:r>
        <w:rPr>
          <w:color w:val="auto"/>
          <w:sz w:val="28"/>
          <w:szCs w:val="28"/>
          <w:highlight w:val="none"/>
        </w:rPr>
        <w:t>1）质保期内，投标人提供设备的维保服务，包括免服务费、部件费等所有费用。</w:t>
      </w:r>
    </w:p>
    <w:p w14:paraId="4BEEBB41">
      <w:pPr>
        <w:spacing w:line="360" w:lineRule="auto"/>
        <w:ind w:firstLine="560" w:firstLineChars="200"/>
        <w:rPr>
          <w:color w:val="auto"/>
          <w:sz w:val="28"/>
          <w:szCs w:val="28"/>
          <w:highlight w:val="none"/>
        </w:rPr>
      </w:pPr>
      <w:r>
        <w:rPr>
          <w:color w:val="auto"/>
          <w:sz w:val="28"/>
          <w:szCs w:val="28"/>
          <w:highlight w:val="none"/>
        </w:rPr>
        <w:t>2）质保期内，投标人必须在收到招标人到现场服务要求后24个小时内提供现场支持服务。</w:t>
      </w:r>
    </w:p>
    <w:p w14:paraId="41969FDB">
      <w:pPr>
        <w:spacing w:line="360" w:lineRule="auto"/>
        <w:ind w:firstLine="560" w:firstLineChars="200"/>
        <w:rPr>
          <w:color w:val="auto"/>
          <w:sz w:val="28"/>
          <w:szCs w:val="28"/>
          <w:highlight w:val="none"/>
        </w:rPr>
      </w:pPr>
      <w:r>
        <w:rPr>
          <w:color w:val="auto"/>
          <w:sz w:val="28"/>
          <w:szCs w:val="28"/>
          <w:highlight w:val="none"/>
        </w:rPr>
        <w:t>3）损坏设备应在五个工作日完成修复及返还至招标人指定地点，根据设备质量表现情况，投标人需提供现场设备备件最低保有量清单。</w:t>
      </w:r>
    </w:p>
    <w:p w14:paraId="4BDE56B9">
      <w:pPr>
        <w:spacing w:line="360" w:lineRule="auto"/>
        <w:outlineLvl w:val="0"/>
        <w:rPr>
          <w:b/>
          <w:bCs/>
          <w:color w:val="auto"/>
          <w:sz w:val="28"/>
          <w:szCs w:val="28"/>
          <w:highlight w:val="none"/>
        </w:rPr>
      </w:pPr>
      <w:bookmarkStart w:id="1299" w:name="_Toc7982"/>
      <w:bookmarkStart w:id="1300" w:name="_Toc19451"/>
      <w:bookmarkStart w:id="1301" w:name="_Toc9217"/>
      <w:bookmarkStart w:id="1302" w:name="_Toc23956"/>
      <w:bookmarkStart w:id="1303" w:name="_Toc30599"/>
      <w:bookmarkStart w:id="1304" w:name="_Toc32083"/>
      <w:bookmarkStart w:id="1305" w:name="_Toc2619"/>
      <w:r>
        <w:rPr>
          <w:b/>
          <w:bCs/>
          <w:color w:val="auto"/>
          <w:sz w:val="28"/>
          <w:szCs w:val="28"/>
          <w:highlight w:val="none"/>
        </w:rPr>
        <w:t>9实施管理要求</w:t>
      </w:r>
      <w:bookmarkEnd w:id="1299"/>
      <w:bookmarkEnd w:id="1300"/>
      <w:bookmarkEnd w:id="1301"/>
      <w:bookmarkEnd w:id="1302"/>
      <w:bookmarkEnd w:id="1303"/>
      <w:bookmarkEnd w:id="1304"/>
      <w:bookmarkEnd w:id="1305"/>
    </w:p>
    <w:p w14:paraId="61088335">
      <w:pPr>
        <w:keepNext/>
        <w:keepLines/>
        <w:adjustRightInd w:val="0"/>
        <w:spacing w:line="360" w:lineRule="auto"/>
        <w:jc w:val="left"/>
        <w:textAlignment w:val="baseline"/>
        <w:outlineLvl w:val="1"/>
        <w:rPr>
          <w:b/>
          <w:bCs/>
          <w:color w:val="auto"/>
          <w:sz w:val="28"/>
          <w:szCs w:val="28"/>
          <w:highlight w:val="none"/>
        </w:rPr>
      </w:pPr>
      <w:bookmarkStart w:id="1306" w:name="_Toc28159"/>
      <w:bookmarkStart w:id="1307" w:name="_Toc20588"/>
      <w:bookmarkStart w:id="1308" w:name="_Toc13190"/>
      <w:bookmarkStart w:id="1309" w:name="_Toc31289"/>
      <w:bookmarkStart w:id="1310" w:name="_Toc12667"/>
      <w:bookmarkStart w:id="1311" w:name="_Toc30029"/>
      <w:bookmarkStart w:id="1312" w:name="_Toc15616"/>
      <w:r>
        <w:rPr>
          <w:b/>
          <w:bCs/>
          <w:color w:val="auto"/>
          <w:sz w:val="28"/>
          <w:szCs w:val="28"/>
          <w:highlight w:val="none"/>
        </w:rPr>
        <w:t>9.1项目组织要求</w:t>
      </w:r>
      <w:bookmarkEnd w:id="1306"/>
      <w:bookmarkEnd w:id="1307"/>
      <w:bookmarkEnd w:id="1308"/>
      <w:bookmarkEnd w:id="1309"/>
      <w:bookmarkEnd w:id="1310"/>
      <w:bookmarkEnd w:id="1311"/>
      <w:bookmarkEnd w:id="1312"/>
    </w:p>
    <w:p w14:paraId="70102062">
      <w:pPr>
        <w:keepNext/>
        <w:keepLines/>
        <w:autoSpaceDE w:val="0"/>
        <w:autoSpaceDN w:val="0"/>
        <w:adjustRightInd w:val="0"/>
        <w:spacing w:line="360" w:lineRule="auto"/>
        <w:ind w:firstLine="560" w:firstLineChars="200"/>
        <w:jc w:val="left"/>
        <w:textAlignment w:val="baseline"/>
        <w:rPr>
          <w:color w:val="auto"/>
          <w:sz w:val="28"/>
          <w:szCs w:val="28"/>
          <w:highlight w:val="none"/>
        </w:rPr>
      </w:pPr>
      <w:r>
        <w:rPr>
          <w:color w:val="auto"/>
          <w:sz w:val="28"/>
          <w:szCs w:val="28"/>
          <w:highlight w:val="none"/>
        </w:rPr>
        <w:t>（1）组织架构：在招标人主管部门统一领导下建立综合管理系统研发小组和维护小组，配备项目负责人、</w:t>
      </w:r>
      <w:r>
        <w:rPr>
          <w:rFonts w:hint="eastAsia"/>
          <w:color w:val="auto"/>
          <w:sz w:val="28"/>
          <w:szCs w:val="28"/>
          <w:highlight w:val="none"/>
          <w:lang w:val="en-US" w:eastAsia="zh-CN"/>
        </w:rPr>
        <w:t>项目技术负责人、</w:t>
      </w:r>
      <w:r>
        <w:rPr>
          <w:color w:val="auto"/>
          <w:sz w:val="28"/>
          <w:szCs w:val="28"/>
          <w:highlight w:val="none"/>
        </w:rPr>
        <w:t>系统研发人员、</w:t>
      </w:r>
      <w:r>
        <w:rPr>
          <w:rFonts w:hint="eastAsia"/>
          <w:color w:val="auto"/>
          <w:sz w:val="28"/>
          <w:szCs w:val="28"/>
          <w:highlight w:val="none"/>
          <w:lang w:val="en-US" w:eastAsia="zh-CN"/>
        </w:rPr>
        <w:t>无人机操作</w:t>
      </w:r>
      <w:r>
        <w:rPr>
          <w:color w:val="auto"/>
          <w:sz w:val="28"/>
          <w:szCs w:val="28"/>
          <w:highlight w:val="none"/>
        </w:rPr>
        <w:t>人员、技术维护</w:t>
      </w:r>
      <w:r>
        <w:rPr>
          <w:rFonts w:hint="eastAsia"/>
          <w:color w:val="auto"/>
          <w:sz w:val="28"/>
          <w:szCs w:val="28"/>
          <w:highlight w:val="none"/>
          <w:lang w:val="en-US" w:eastAsia="zh-CN"/>
        </w:rPr>
        <w:t>人员</w:t>
      </w:r>
      <w:r>
        <w:rPr>
          <w:color w:val="auto"/>
          <w:sz w:val="28"/>
          <w:szCs w:val="28"/>
          <w:highlight w:val="none"/>
        </w:rPr>
        <w:t>及</w:t>
      </w:r>
      <w:r>
        <w:rPr>
          <w:rFonts w:hint="eastAsia"/>
          <w:color w:val="auto"/>
          <w:sz w:val="28"/>
          <w:szCs w:val="28"/>
          <w:highlight w:val="none"/>
          <w:lang w:val="en-US" w:eastAsia="zh-CN"/>
        </w:rPr>
        <w:t>机场建设</w:t>
      </w:r>
      <w:r>
        <w:rPr>
          <w:color w:val="auto"/>
          <w:sz w:val="28"/>
          <w:szCs w:val="28"/>
          <w:highlight w:val="none"/>
        </w:rPr>
        <w:t>管理员等必要人员，项目建设期间研发小组需常驻东莞市，质保期维护小组需安排不少于</w:t>
      </w:r>
      <w:r>
        <w:rPr>
          <w:rFonts w:hint="eastAsia"/>
          <w:color w:val="auto"/>
          <w:sz w:val="28"/>
          <w:szCs w:val="28"/>
          <w:highlight w:val="none"/>
          <w:lang w:val="en-US" w:eastAsia="zh-CN"/>
        </w:rPr>
        <w:t>2</w:t>
      </w:r>
      <w:r>
        <w:rPr>
          <w:color w:val="auto"/>
          <w:sz w:val="28"/>
          <w:szCs w:val="28"/>
          <w:highlight w:val="none"/>
        </w:rPr>
        <w:t>名技术人员常驻东莞市。</w:t>
      </w:r>
    </w:p>
    <w:p w14:paraId="075A4755">
      <w:pPr>
        <w:spacing w:line="360" w:lineRule="auto"/>
        <w:ind w:firstLine="560" w:firstLineChars="200"/>
        <w:jc w:val="left"/>
        <w:rPr>
          <w:color w:val="auto"/>
          <w:sz w:val="28"/>
          <w:szCs w:val="28"/>
          <w:highlight w:val="none"/>
        </w:rPr>
      </w:pPr>
      <w:r>
        <w:rPr>
          <w:color w:val="auto"/>
          <w:sz w:val="28"/>
          <w:szCs w:val="28"/>
          <w:highlight w:val="none"/>
        </w:rPr>
        <w:t>（2）人员配置基本要求</w:t>
      </w:r>
    </w:p>
    <w:tbl>
      <w:tblPr>
        <w:tblStyle w:val="21"/>
        <w:tblW w:w="8878"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711"/>
        <w:gridCol w:w="1646"/>
        <w:gridCol w:w="1684"/>
        <w:gridCol w:w="2469"/>
        <w:gridCol w:w="727"/>
        <w:gridCol w:w="1641"/>
      </w:tblGrid>
      <w:tr w14:paraId="66A673B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730" w:hRule="atLeast"/>
          <w:jc w:val="center"/>
        </w:trPr>
        <w:tc>
          <w:tcPr>
            <w:tcW w:w="711" w:type="dxa"/>
            <w:noWrap w:val="0"/>
            <w:vAlign w:val="center"/>
          </w:tcPr>
          <w:p w14:paraId="62763A97">
            <w:pPr>
              <w:adjustRightInd w:val="0"/>
              <w:snapToGrid w:val="0"/>
              <w:spacing w:line="360" w:lineRule="auto"/>
              <w:jc w:val="center"/>
              <w:rPr>
                <w:b/>
                <w:bCs/>
                <w:color w:val="auto"/>
                <w:szCs w:val="21"/>
                <w:highlight w:val="none"/>
              </w:rPr>
            </w:pPr>
            <w:r>
              <w:rPr>
                <w:b/>
                <w:bCs/>
                <w:color w:val="auto"/>
                <w:szCs w:val="21"/>
                <w:highlight w:val="none"/>
              </w:rPr>
              <w:t>序号</w:t>
            </w:r>
          </w:p>
        </w:tc>
        <w:tc>
          <w:tcPr>
            <w:tcW w:w="1646" w:type="dxa"/>
            <w:noWrap w:val="0"/>
            <w:vAlign w:val="center"/>
          </w:tcPr>
          <w:p w14:paraId="2E789512">
            <w:pPr>
              <w:adjustRightInd w:val="0"/>
              <w:snapToGrid w:val="0"/>
              <w:spacing w:line="360" w:lineRule="auto"/>
              <w:jc w:val="center"/>
              <w:rPr>
                <w:b/>
                <w:bCs/>
                <w:color w:val="auto"/>
                <w:szCs w:val="21"/>
                <w:highlight w:val="none"/>
              </w:rPr>
            </w:pPr>
            <w:r>
              <w:rPr>
                <w:b/>
                <w:bCs/>
                <w:color w:val="auto"/>
                <w:szCs w:val="21"/>
                <w:highlight w:val="none"/>
              </w:rPr>
              <w:t>职  务</w:t>
            </w:r>
          </w:p>
        </w:tc>
        <w:tc>
          <w:tcPr>
            <w:tcW w:w="1684" w:type="dxa"/>
            <w:noWrap w:val="0"/>
            <w:vAlign w:val="center"/>
          </w:tcPr>
          <w:p w14:paraId="3CD8B27A">
            <w:pPr>
              <w:adjustRightInd w:val="0"/>
              <w:snapToGrid w:val="0"/>
              <w:spacing w:line="360" w:lineRule="auto"/>
              <w:jc w:val="center"/>
              <w:rPr>
                <w:b/>
                <w:bCs/>
                <w:color w:val="auto"/>
                <w:szCs w:val="21"/>
                <w:highlight w:val="none"/>
              </w:rPr>
            </w:pPr>
            <w:r>
              <w:rPr>
                <w:b/>
                <w:bCs/>
                <w:color w:val="auto"/>
                <w:szCs w:val="21"/>
                <w:highlight w:val="none"/>
              </w:rPr>
              <w:t>技术职称</w:t>
            </w:r>
          </w:p>
        </w:tc>
        <w:tc>
          <w:tcPr>
            <w:tcW w:w="2469" w:type="dxa"/>
            <w:noWrap w:val="0"/>
            <w:vAlign w:val="center"/>
          </w:tcPr>
          <w:p w14:paraId="74EDC262">
            <w:pPr>
              <w:adjustRightInd w:val="0"/>
              <w:snapToGrid w:val="0"/>
              <w:spacing w:line="360" w:lineRule="auto"/>
              <w:jc w:val="center"/>
              <w:rPr>
                <w:b/>
                <w:bCs/>
                <w:color w:val="auto"/>
                <w:szCs w:val="21"/>
                <w:highlight w:val="none"/>
              </w:rPr>
            </w:pPr>
            <w:r>
              <w:rPr>
                <w:b/>
                <w:bCs/>
                <w:color w:val="auto"/>
                <w:szCs w:val="21"/>
                <w:highlight w:val="none"/>
              </w:rPr>
              <w:t>职  责</w:t>
            </w:r>
          </w:p>
        </w:tc>
        <w:tc>
          <w:tcPr>
            <w:tcW w:w="727" w:type="dxa"/>
            <w:noWrap w:val="0"/>
            <w:vAlign w:val="center"/>
          </w:tcPr>
          <w:p w14:paraId="46FDF474">
            <w:pPr>
              <w:adjustRightInd w:val="0"/>
              <w:snapToGrid w:val="0"/>
              <w:spacing w:line="360" w:lineRule="auto"/>
              <w:jc w:val="center"/>
              <w:rPr>
                <w:b/>
                <w:bCs/>
                <w:color w:val="auto"/>
                <w:szCs w:val="21"/>
                <w:highlight w:val="none"/>
              </w:rPr>
            </w:pPr>
            <w:r>
              <w:rPr>
                <w:b/>
                <w:bCs/>
                <w:color w:val="auto"/>
                <w:szCs w:val="21"/>
                <w:highlight w:val="none"/>
              </w:rPr>
              <w:t>人数</w:t>
            </w:r>
          </w:p>
        </w:tc>
        <w:tc>
          <w:tcPr>
            <w:tcW w:w="1641" w:type="dxa"/>
            <w:noWrap w:val="0"/>
            <w:vAlign w:val="center"/>
          </w:tcPr>
          <w:p w14:paraId="63986948">
            <w:pPr>
              <w:adjustRightInd w:val="0"/>
              <w:snapToGrid w:val="0"/>
              <w:spacing w:line="360" w:lineRule="auto"/>
              <w:jc w:val="center"/>
              <w:rPr>
                <w:b/>
                <w:bCs/>
                <w:color w:val="auto"/>
                <w:szCs w:val="21"/>
                <w:highlight w:val="none"/>
              </w:rPr>
            </w:pPr>
            <w:r>
              <w:rPr>
                <w:b/>
                <w:bCs/>
                <w:color w:val="auto"/>
                <w:szCs w:val="21"/>
                <w:highlight w:val="none"/>
              </w:rPr>
              <w:t>备注</w:t>
            </w:r>
          </w:p>
        </w:tc>
      </w:tr>
      <w:tr w14:paraId="0337141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700" w:hRule="atLeast"/>
          <w:jc w:val="center"/>
        </w:trPr>
        <w:tc>
          <w:tcPr>
            <w:tcW w:w="711" w:type="dxa"/>
            <w:noWrap w:val="0"/>
            <w:vAlign w:val="center"/>
          </w:tcPr>
          <w:p w14:paraId="7A492C0D">
            <w:pPr>
              <w:adjustRightInd w:val="0"/>
              <w:snapToGrid w:val="0"/>
              <w:spacing w:line="360" w:lineRule="auto"/>
              <w:jc w:val="left"/>
              <w:rPr>
                <w:color w:val="auto"/>
                <w:szCs w:val="21"/>
                <w:highlight w:val="none"/>
              </w:rPr>
            </w:pPr>
            <w:r>
              <w:rPr>
                <w:color w:val="auto"/>
                <w:szCs w:val="21"/>
                <w:highlight w:val="none"/>
              </w:rPr>
              <w:t>1</w:t>
            </w:r>
          </w:p>
        </w:tc>
        <w:tc>
          <w:tcPr>
            <w:tcW w:w="1646" w:type="dxa"/>
            <w:noWrap w:val="0"/>
            <w:vAlign w:val="center"/>
          </w:tcPr>
          <w:p w14:paraId="44987670">
            <w:pPr>
              <w:adjustRightInd w:val="0"/>
              <w:snapToGrid w:val="0"/>
              <w:spacing w:line="360" w:lineRule="auto"/>
              <w:jc w:val="center"/>
              <w:rPr>
                <w:color w:val="auto"/>
                <w:szCs w:val="21"/>
                <w:highlight w:val="none"/>
              </w:rPr>
            </w:pPr>
            <w:r>
              <w:rPr>
                <w:color w:val="auto"/>
                <w:szCs w:val="21"/>
                <w:highlight w:val="none"/>
              </w:rPr>
              <w:t>项目负责人</w:t>
            </w:r>
          </w:p>
        </w:tc>
        <w:tc>
          <w:tcPr>
            <w:tcW w:w="1684" w:type="dxa"/>
            <w:noWrap w:val="0"/>
            <w:vAlign w:val="center"/>
          </w:tcPr>
          <w:p w14:paraId="765C7A8B">
            <w:pPr>
              <w:adjustRightInd w:val="0"/>
              <w:snapToGrid w:val="0"/>
              <w:spacing w:line="360" w:lineRule="auto"/>
              <w:jc w:val="center"/>
              <w:rPr>
                <w:color w:val="auto"/>
                <w:szCs w:val="21"/>
                <w:highlight w:val="none"/>
              </w:rPr>
            </w:pPr>
          </w:p>
        </w:tc>
        <w:tc>
          <w:tcPr>
            <w:tcW w:w="2469" w:type="dxa"/>
            <w:noWrap w:val="0"/>
            <w:vAlign w:val="center"/>
          </w:tcPr>
          <w:p w14:paraId="0545217F">
            <w:pPr>
              <w:adjustRightInd w:val="0"/>
              <w:snapToGrid w:val="0"/>
              <w:spacing w:line="360" w:lineRule="auto"/>
              <w:jc w:val="center"/>
              <w:rPr>
                <w:color w:val="auto"/>
                <w:szCs w:val="21"/>
                <w:highlight w:val="none"/>
              </w:rPr>
            </w:pPr>
            <w:r>
              <w:rPr>
                <w:color w:val="auto"/>
                <w:szCs w:val="21"/>
                <w:highlight w:val="none"/>
              </w:rPr>
              <w:t>负责对项目实施进行全面管理</w:t>
            </w:r>
          </w:p>
        </w:tc>
        <w:tc>
          <w:tcPr>
            <w:tcW w:w="727" w:type="dxa"/>
            <w:noWrap w:val="0"/>
            <w:vAlign w:val="center"/>
          </w:tcPr>
          <w:p w14:paraId="74ED707B">
            <w:pPr>
              <w:adjustRightInd w:val="0"/>
              <w:snapToGrid w:val="0"/>
              <w:spacing w:line="360" w:lineRule="auto"/>
              <w:jc w:val="center"/>
              <w:rPr>
                <w:color w:val="auto"/>
                <w:szCs w:val="21"/>
                <w:highlight w:val="none"/>
              </w:rPr>
            </w:pPr>
            <w:r>
              <w:rPr>
                <w:color w:val="auto"/>
                <w:szCs w:val="21"/>
                <w:highlight w:val="none"/>
              </w:rPr>
              <w:t>1</w:t>
            </w:r>
          </w:p>
        </w:tc>
        <w:tc>
          <w:tcPr>
            <w:tcW w:w="1641" w:type="dxa"/>
            <w:noWrap w:val="0"/>
            <w:vAlign w:val="center"/>
          </w:tcPr>
          <w:p w14:paraId="200A84F6">
            <w:pPr>
              <w:adjustRightInd w:val="0"/>
              <w:snapToGrid w:val="0"/>
              <w:spacing w:line="360" w:lineRule="auto"/>
              <w:rPr>
                <w:color w:val="auto"/>
                <w:szCs w:val="21"/>
                <w:highlight w:val="none"/>
              </w:rPr>
            </w:pPr>
          </w:p>
        </w:tc>
      </w:tr>
      <w:tr w14:paraId="112783A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700" w:hRule="atLeast"/>
          <w:jc w:val="center"/>
        </w:trPr>
        <w:tc>
          <w:tcPr>
            <w:tcW w:w="711" w:type="dxa"/>
            <w:noWrap w:val="0"/>
            <w:vAlign w:val="center"/>
          </w:tcPr>
          <w:p w14:paraId="51145289">
            <w:pPr>
              <w:adjustRightInd w:val="0"/>
              <w:snapToGrid w:val="0"/>
              <w:spacing w:line="360" w:lineRule="auto"/>
              <w:jc w:val="left"/>
              <w:rPr>
                <w:color w:val="auto"/>
                <w:szCs w:val="21"/>
                <w:highlight w:val="none"/>
              </w:rPr>
            </w:pPr>
            <w:r>
              <w:rPr>
                <w:rFonts w:hint="eastAsia"/>
                <w:color w:val="auto"/>
                <w:szCs w:val="21"/>
                <w:highlight w:val="none"/>
              </w:rPr>
              <w:t>2</w:t>
            </w:r>
          </w:p>
        </w:tc>
        <w:tc>
          <w:tcPr>
            <w:tcW w:w="1646" w:type="dxa"/>
            <w:noWrap w:val="0"/>
            <w:vAlign w:val="center"/>
          </w:tcPr>
          <w:p w14:paraId="1F9A890D">
            <w:pPr>
              <w:adjustRightInd w:val="0"/>
              <w:snapToGrid w:val="0"/>
              <w:spacing w:line="360" w:lineRule="auto"/>
              <w:jc w:val="center"/>
              <w:rPr>
                <w:color w:val="auto"/>
                <w:szCs w:val="21"/>
                <w:highlight w:val="none"/>
              </w:rPr>
            </w:pPr>
            <w:r>
              <w:rPr>
                <w:rFonts w:hint="eastAsia"/>
                <w:color w:val="auto"/>
                <w:szCs w:val="21"/>
                <w:highlight w:val="none"/>
              </w:rPr>
              <w:t>技术负责人</w:t>
            </w:r>
          </w:p>
        </w:tc>
        <w:tc>
          <w:tcPr>
            <w:tcW w:w="1684" w:type="dxa"/>
            <w:noWrap w:val="0"/>
            <w:vAlign w:val="center"/>
          </w:tcPr>
          <w:p w14:paraId="3AEC5EE1">
            <w:pPr>
              <w:adjustRightInd w:val="0"/>
              <w:snapToGrid w:val="0"/>
              <w:spacing w:line="360" w:lineRule="auto"/>
              <w:jc w:val="center"/>
              <w:rPr>
                <w:color w:val="auto"/>
                <w:szCs w:val="21"/>
                <w:highlight w:val="none"/>
              </w:rPr>
            </w:pPr>
          </w:p>
        </w:tc>
        <w:tc>
          <w:tcPr>
            <w:tcW w:w="2469" w:type="dxa"/>
            <w:noWrap w:val="0"/>
            <w:vAlign w:val="center"/>
          </w:tcPr>
          <w:p w14:paraId="18D0DAF1">
            <w:pPr>
              <w:adjustRightInd w:val="0"/>
              <w:snapToGrid w:val="0"/>
              <w:spacing w:line="360" w:lineRule="auto"/>
              <w:jc w:val="center"/>
              <w:rPr>
                <w:color w:val="auto"/>
                <w:szCs w:val="21"/>
                <w:highlight w:val="none"/>
              </w:rPr>
            </w:pPr>
            <w:r>
              <w:rPr>
                <w:rFonts w:hint="eastAsia"/>
                <w:color w:val="auto"/>
                <w:szCs w:val="21"/>
                <w:highlight w:val="none"/>
              </w:rPr>
              <w:t>负责对项目</w:t>
            </w:r>
            <w:r>
              <w:rPr>
                <w:color w:val="auto"/>
                <w:szCs w:val="21"/>
                <w:highlight w:val="none"/>
              </w:rPr>
              <w:t>技术把关</w:t>
            </w:r>
            <w:r>
              <w:rPr>
                <w:rFonts w:hint="eastAsia"/>
                <w:color w:val="auto"/>
                <w:szCs w:val="21"/>
                <w:highlight w:val="none"/>
              </w:rPr>
              <w:t>和</w:t>
            </w:r>
            <w:r>
              <w:rPr>
                <w:color w:val="auto"/>
                <w:szCs w:val="21"/>
                <w:highlight w:val="none"/>
              </w:rPr>
              <w:t>方案审查</w:t>
            </w:r>
            <w:r>
              <w:rPr>
                <w:rFonts w:hint="eastAsia"/>
                <w:color w:val="auto"/>
                <w:szCs w:val="21"/>
                <w:highlight w:val="none"/>
              </w:rPr>
              <w:t>、系统研发等技术管理</w:t>
            </w:r>
          </w:p>
        </w:tc>
        <w:tc>
          <w:tcPr>
            <w:tcW w:w="727" w:type="dxa"/>
            <w:noWrap w:val="0"/>
            <w:vAlign w:val="center"/>
          </w:tcPr>
          <w:p w14:paraId="16E1F128">
            <w:pPr>
              <w:adjustRightInd w:val="0"/>
              <w:snapToGrid w:val="0"/>
              <w:spacing w:line="360" w:lineRule="auto"/>
              <w:jc w:val="center"/>
              <w:rPr>
                <w:color w:val="auto"/>
                <w:szCs w:val="21"/>
                <w:highlight w:val="none"/>
              </w:rPr>
            </w:pPr>
            <w:r>
              <w:rPr>
                <w:rFonts w:hint="eastAsia"/>
                <w:color w:val="auto"/>
                <w:szCs w:val="21"/>
                <w:highlight w:val="none"/>
              </w:rPr>
              <w:t>1</w:t>
            </w:r>
          </w:p>
        </w:tc>
        <w:tc>
          <w:tcPr>
            <w:tcW w:w="1641" w:type="dxa"/>
            <w:noWrap w:val="0"/>
            <w:vAlign w:val="center"/>
          </w:tcPr>
          <w:p w14:paraId="1E22518A">
            <w:pPr>
              <w:adjustRightInd w:val="0"/>
              <w:snapToGrid w:val="0"/>
              <w:spacing w:line="360" w:lineRule="auto"/>
              <w:rPr>
                <w:color w:val="auto"/>
                <w:szCs w:val="21"/>
                <w:highlight w:val="none"/>
              </w:rPr>
            </w:pPr>
          </w:p>
        </w:tc>
      </w:tr>
      <w:tr w14:paraId="5764DA9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682" w:hRule="atLeast"/>
          <w:jc w:val="center"/>
        </w:trPr>
        <w:tc>
          <w:tcPr>
            <w:tcW w:w="711" w:type="dxa"/>
            <w:noWrap w:val="0"/>
            <w:vAlign w:val="center"/>
          </w:tcPr>
          <w:p w14:paraId="41C96F99">
            <w:pPr>
              <w:adjustRightInd w:val="0"/>
              <w:snapToGrid w:val="0"/>
              <w:spacing w:line="360" w:lineRule="auto"/>
              <w:jc w:val="left"/>
              <w:rPr>
                <w:color w:val="auto"/>
                <w:szCs w:val="21"/>
                <w:highlight w:val="none"/>
              </w:rPr>
            </w:pPr>
            <w:r>
              <w:rPr>
                <w:rFonts w:hint="eastAsia"/>
                <w:color w:val="auto"/>
                <w:szCs w:val="21"/>
                <w:highlight w:val="none"/>
              </w:rPr>
              <w:t>3</w:t>
            </w:r>
          </w:p>
        </w:tc>
        <w:tc>
          <w:tcPr>
            <w:tcW w:w="1646" w:type="dxa"/>
            <w:noWrap w:val="0"/>
            <w:vAlign w:val="center"/>
          </w:tcPr>
          <w:p w14:paraId="36745C0E">
            <w:pPr>
              <w:adjustRightInd w:val="0"/>
              <w:snapToGrid w:val="0"/>
              <w:spacing w:line="360" w:lineRule="auto"/>
              <w:jc w:val="center"/>
              <w:rPr>
                <w:color w:val="auto"/>
                <w:szCs w:val="21"/>
                <w:highlight w:val="none"/>
              </w:rPr>
            </w:pPr>
            <w:r>
              <w:rPr>
                <w:color w:val="auto"/>
                <w:szCs w:val="21"/>
                <w:highlight w:val="none"/>
              </w:rPr>
              <w:t>系统研发人员</w:t>
            </w:r>
          </w:p>
        </w:tc>
        <w:tc>
          <w:tcPr>
            <w:tcW w:w="1684" w:type="dxa"/>
            <w:noWrap w:val="0"/>
            <w:vAlign w:val="center"/>
          </w:tcPr>
          <w:p w14:paraId="49E3ED92">
            <w:pPr>
              <w:adjustRightInd w:val="0"/>
              <w:snapToGrid w:val="0"/>
              <w:spacing w:line="360" w:lineRule="auto"/>
              <w:jc w:val="center"/>
              <w:rPr>
                <w:color w:val="auto"/>
                <w:szCs w:val="21"/>
                <w:highlight w:val="none"/>
              </w:rPr>
            </w:pPr>
          </w:p>
        </w:tc>
        <w:tc>
          <w:tcPr>
            <w:tcW w:w="2469" w:type="dxa"/>
            <w:noWrap w:val="0"/>
            <w:vAlign w:val="center"/>
          </w:tcPr>
          <w:p w14:paraId="30CD1F76">
            <w:pPr>
              <w:adjustRightInd w:val="0"/>
              <w:snapToGrid w:val="0"/>
              <w:spacing w:line="360" w:lineRule="auto"/>
              <w:jc w:val="center"/>
              <w:rPr>
                <w:color w:val="auto"/>
                <w:szCs w:val="21"/>
                <w:highlight w:val="none"/>
              </w:rPr>
            </w:pPr>
            <w:r>
              <w:rPr>
                <w:color w:val="auto"/>
                <w:szCs w:val="21"/>
                <w:highlight w:val="none"/>
              </w:rPr>
              <w:t>负责系统开发（WEB/Android）等实施内容</w:t>
            </w:r>
          </w:p>
        </w:tc>
        <w:tc>
          <w:tcPr>
            <w:tcW w:w="727" w:type="dxa"/>
            <w:noWrap w:val="0"/>
            <w:vAlign w:val="center"/>
          </w:tcPr>
          <w:p w14:paraId="0B775350">
            <w:pPr>
              <w:adjustRightInd w:val="0"/>
              <w:snapToGrid w:val="0"/>
              <w:spacing w:line="360" w:lineRule="auto"/>
              <w:jc w:val="center"/>
              <w:rPr>
                <w:color w:val="auto"/>
                <w:szCs w:val="21"/>
                <w:highlight w:val="none"/>
              </w:rPr>
            </w:pPr>
            <w:r>
              <w:rPr>
                <w:rFonts w:hint="eastAsia"/>
                <w:color w:val="auto"/>
                <w:szCs w:val="21"/>
                <w:highlight w:val="none"/>
              </w:rPr>
              <w:t>4</w:t>
            </w:r>
          </w:p>
        </w:tc>
        <w:tc>
          <w:tcPr>
            <w:tcW w:w="1641" w:type="dxa"/>
            <w:noWrap w:val="0"/>
            <w:vAlign w:val="center"/>
          </w:tcPr>
          <w:p w14:paraId="0E666122">
            <w:pPr>
              <w:adjustRightInd w:val="0"/>
              <w:snapToGrid w:val="0"/>
              <w:spacing w:line="360" w:lineRule="auto"/>
              <w:rPr>
                <w:color w:val="auto"/>
                <w:szCs w:val="21"/>
                <w:highlight w:val="none"/>
              </w:rPr>
            </w:pPr>
          </w:p>
        </w:tc>
      </w:tr>
      <w:tr w14:paraId="729945E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1243" w:hRule="atLeast"/>
          <w:jc w:val="center"/>
        </w:trPr>
        <w:tc>
          <w:tcPr>
            <w:tcW w:w="711" w:type="dxa"/>
            <w:noWrap w:val="0"/>
            <w:vAlign w:val="center"/>
          </w:tcPr>
          <w:p w14:paraId="43223385">
            <w:pPr>
              <w:adjustRightInd w:val="0"/>
              <w:snapToGrid w:val="0"/>
              <w:spacing w:line="360" w:lineRule="auto"/>
              <w:jc w:val="left"/>
              <w:rPr>
                <w:color w:val="auto"/>
                <w:szCs w:val="21"/>
                <w:highlight w:val="none"/>
              </w:rPr>
            </w:pPr>
            <w:r>
              <w:rPr>
                <w:rFonts w:hint="eastAsia"/>
                <w:color w:val="auto"/>
                <w:szCs w:val="21"/>
                <w:highlight w:val="none"/>
              </w:rPr>
              <w:t>4</w:t>
            </w:r>
          </w:p>
        </w:tc>
        <w:tc>
          <w:tcPr>
            <w:tcW w:w="1646" w:type="dxa"/>
            <w:noWrap w:val="0"/>
            <w:vAlign w:val="center"/>
          </w:tcPr>
          <w:p w14:paraId="151CD700">
            <w:pPr>
              <w:adjustRightInd w:val="0"/>
              <w:snapToGrid w:val="0"/>
              <w:spacing w:line="360" w:lineRule="auto"/>
              <w:jc w:val="center"/>
              <w:rPr>
                <w:color w:val="auto"/>
                <w:szCs w:val="21"/>
                <w:highlight w:val="none"/>
              </w:rPr>
            </w:pPr>
            <w:r>
              <w:rPr>
                <w:rFonts w:hint="eastAsia"/>
                <w:color w:val="auto"/>
                <w:szCs w:val="21"/>
                <w:highlight w:val="none"/>
              </w:rPr>
              <w:t>无人机操作员</w:t>
            </w:r>
          </w:p>
        </w:tc>
        <w:tc>
          <w:tcPr>
            <w:tcW w:w="1684" w:type="dxa"/>
            <w:noWrap w:val="0"/>
            <w:vAlign w:val="center"/>
          </w:tcPr>
          <w:p w14:paraId="6DC1E208">
            <w:pPr>
              <w:adjustRightInd w:val="0"/>
              <w:snapToGrid w:val="0"/>
              <w:spacing w:line="360" w:lineRule="auto"/>
              <w:jc w:val="center"/>
              <w:rPr>
                <w:color w:val="auto"/>
                <w:szCs w:val="21"/>
                <w:highlight w:val="none"/>
              </w:rPr>
            </w:pPr>
          </w:p>
        </w:tc>
        <w:tc>
          <w:tcPr>
            <w:tcW w:w="2469" w:type="dxa"/>
            <w:noWrap w:val="0"/>
            <w:vAlign w:val="center"/>
          </w:tcPr>
          <w:p w14:paraId="200A15A7">
            <w:pPr>
              <w:adjustRightInd w:val="0"/>
              <w:snapToGrid w:val="0"/>
              <w:spacing w:line="360" w:lineRule="auto"/>
              <w:jc w:val="center"/>
              <w:rPr>
                <w:rFonts w:hint="default" w:eastAsia="宋体"/>
                <w:color w:val="auto"/>
                <w:szCs w:val="21"/>
                <w:highlight w:val="none"/>
                <w:lang w:val="en-US" w:eastAsia="zh-CN"/>
              </w:rPr>
            </w:pPr>
            <w:r>
              <w:rPr>
                <w:rFonts w:hint="eastAsia"/>
                <w:color w:val="auto"/>
                <w:szCs w:val="21"/>
                <w:highlight w:val="none"/>
              </w:rPr>
              <w:t>负责无人机场及无人机管理系统操作及管理、航线规划、航班编排</w:t>
            </w:r>
            <w:r>
              <w:rPr>
                <w:rFonts w:hint="eastAsia" w:eastAsia="宋体"/>
                <w:color w:val="auto"/>
                <w:szCs w:val="21"/>
                <w:highlight w:val="none"/>
                <w:lang w:eastAsia="zh-CN"/>
              </w:rPr>
              <w:t>、</w:t>
            </w:r>
            <w:r>
              <w:rPr>
                <w:rFonts w:hint="eastAsia" w:ascii="Times New Roman" w:eastAsia="宋体"/>
                <w:color w:val="auto"/>
                <w:szCs w:val="21"/>
                <w:highlight w:val="none"/>
                <w:lang w:val="en-US" w:eastAsia="zh-CN"/>
              </w:rPr>
              <w:t>人员培训工作</w:t>
            </w:r>
          </w:p>
        </w:tc>
        <w:tc>
          <w:tcPr>
            <w:tcW w:w="727" w:type="dxa"/>
            <w:noWrap w:val="0"/>
            <w:vAlign w:val="center"/>
          </w:tcPr>
          <w:p w14:paraId="035D4E5E">
            <w:pPr>
              <w:adjustRightInd w:val="0"/>
              <w:snapToGrid w:val="0"/>
              <w:spacing w:line="360" w:lineRule="auto"/>
              <w:jc w:val="center"/>
              <w:rPr>
                <w:color w:val="auto"/>
                <w:szCs w:val="21"/>
                <w:highlight w:val="none"/>
              </w:rPr>
            </w:pPr>
            <w:r>
              <w:rPr>
                <w:rFonts w:hint="eastAsia"/>
                <w:color w:val="auto"/>
                <w:szCs w:val="21"/>
                <w:highlight w:val="none"/>
              </w:rPr>
              <w:t>3</w:t>
            </w:r>
          </w:p>
        </w:tc>
        <w:tc>
          <w:tcPr>
            <w:tcW w:w="1641" w:type="dxa"/>
            <w:noWrap w:val="0"/>
            <w:vAlign w:val="center"/>
          </w:tcPr>
          <w:p w14:paraId="19ABD328">
            <w:pPr>
              <w:adjustRightInd w:val="0"/>
              <w:snapToGrid w:val="0"/>
              <w:spacing w:line="360" w:lineRule="auto"/>
              <w:rPr>
                <w:color w:val="auto"/>
                <w:szCs w:val="21"/>
                <w:highlight w:val="none"/>
              </w:rPr>
            </w:pPr>
          </w:p>
        </w:tc>
      </w:tr>
      <w:tr w14:paraId="4FC12D5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1243" w:hRule="atLeast"/>
          <w:jc w:val="center"/>
        </w:trPr>
        <w:tc>
          <w:tcPr>
            <w:tcW w:w="711" w:type="dxa"/>
            <w:noWrap w:val="0"/>
            <w:vAlign w:val="center"/>
          </w:tcPr>
          <w:p w14:paraId="70968F2A">
            <w:pPr>
              <w:adjustRightInd w:val="0"/>
              <w:snapToGrid w:val="0"/>
              <w:spacing w:line="360" w:lineRule="auto"/>
              <w:jc w:val="left"/>
              <w:rPr>
                <w:color w:val="auto"/>
                <w:szCs w:val="21"/>
                <w:highlight w:val="none"/>
              </w:rPr>
            </w:pPr>
            <w:r>
              <w:rPr>
                <w:rFonts w:hint="eastAsia"/>
                <w:color w:val="auto"/>
                <w:szCs w:val="21"/>
                <w:highlight w:val="none"/>
              </w:rPr>
              <w:t>5</w:t>
            </w:r>
          </w:p>
        </w:tc>
        <w:tc>
          <w:tcPr>
            <w:tcW w:w="1646" w:type="dxa"/>
            <w:noWrap w:val="0"/>
            <w:vAlign w:val="center"/>
          </w:tcPr>
          <w:p w14:paraId="6F423C19">
            <w:pPr>
              <w:adjustRightInd w:val="0"/>
              <w:snapToGrid w:val="0"/>
              <w:spacing w:line="360" w:lineRule="auto"/>
              <w:jc w:val="center"/>
              <w:rPr>
                <w:color w:val="auto"/>
                <w:szCs w:val="21"/>
                <w:highlight w:val="none"/>
              </w:rPr>
            </w:pPr>
            <w:r>
              <w:rPr>
                <w:color w:val="auto"/>
                <w:szCs w:val="21"/>
                <w:highlight w:val="none"/>
              </w:rPr>
              <w:t>技术维护人员</w:t>
            </w:r>
          </w:p>
        </w:tc>
        <w:tc>
          <w:tcPr>
            <w:tcW w:w="1684" w:type="dxa"/>
            <w:noWrap w:val="0"/>
            <w:vAlign w:val="center"/>
          </w:tcPr>
          <w:p w14:paraId="1EC860C1">
            <w:pPr>
              <w:adjustRightInd w:val="0"/>
              <w:snapToGrid w:val="0"/>
              <w:spacing w:line="360" w:lineRule="auto"/>
              <w:jc w:val="center"/>
              <w:rPr>
                <w:color w:val="auto"/>
                <w:szCs w:val="21"/>
                <w:highlight w:val="none"/>
              </w:rPr>
            </w:pPr>
          </w:p>
        </w:tc>
        <w:tc>
          <w:tcPr>
            <w:tcW w:w="2469" w:type="dxa"/>
            <w:noWrap w:val="0"/>
            <w:vAlign w:val="center"/>
          </w:tcPr>
          <w:p w14:paraId="616CCDFD">
            <w:pPr>
              <w:adjustRightInd w:val="0"/>
              <w:snapToGrid w:val="0"/>
              <w:spacing w:line="360" w:lineRule="auto"/>
              <w:jc w:val="center"/>
              <w:rPr>
                <w:color w:val="auto"/>
                <w:szCs w:val="21"/>
                <w:highlight w:val="none"/>
              </w:rPr>
            </w:pPr>
            <w:r>
              <w:rPr>
                <w:color w:val="auto"/>
                <w:szCs w:val="21"/>
                <w:highlight w:val="none"/>
              </w:rPr>
              <w:t>负责对系统</w:t>
            </w:r>
            <w:r>
              <w:rPr>
                <w:rFonts w:hint="eastAsia"/>
                <w:color w:val="auto"/>
                <w:szCs w:val="21"/>
                <w:highlight w:val="none"/>
              </w:rPr>
              <w:t>及</w:t>
            </w:r>
            <w:r>
              <w:rPr>
                <w:color w:val="auto"/>
                <w:szCs w:val="21"/>
                <w:highlight w:val="none"/>
              </w:rPr>
              <w:t>数据进行维护管理</w:t>
            </w:r>
            <w:r>
              <w:rPr>
                <w:rFonts w:hint="eastAsia"/>
                <w:color w:val="auto"/>
                <w:szCs w:val="21"/>
                <w:highlight w:val="none"/>
              </w:rPr>
              <w:t>，机场定期巡检，</w:t>
            </w:r>
            <w:r>
              <w:rPr>
                <w:color w:val="auto"/>
                <w:szCs w:val="21"/>
                <w:highlight w:val="none"/>
              </w:rPr>
              <w:t>监督数据按时按质上传</w:t>
            </w:r>
            <w:r>
              <w:rPr>
                <w:rFonts w:hint="eastAsia"/>
                <w:color w:val="auto"/>
                <w:szCs w:val="21"/>
                <w:highlight w:val="none"/>
              </w:rPr>
              <w:t>，</w:t>
            </w:r>
            <w:r>
              <w:rPr>
                <w:color w:val="auto"/>
                <w:szCs w:val="21"/>
                <w:highlight w:val="none"/>
              </w:rPr>
              <w:t>对</w:t>
            </w:r>
            <w:r>
              <w:rPr>
                <w:rFonts w:hint="eastAsia"/>
                <w:color w:val="auto"/>
                <w:szCs w:val="21"/>
                <w:highlight w:val="none"/>
              </w:rPr>
              <w:t>数据</w:t>
            </w:r>
            <w:r>
              <w:rPr>
                <w:color w:val="auto"/>
                <w:szCs w:val="21"/>
                <w:highlight w:val="none"/>
              </w:rPr>
              <w:t>信息进行分析评估</w:t>
            </w:r>
            <w:r>
              <w:rPr>
                <w:rFonts w:hint="eastAsia"/>
                <w:color w:val="auto"/>
                <w:szCs w:val="21"/>
                <w:highlight w:val="none"/>
              </w:rPr>
              <w:t>，及时解决突发故障及问题</w:t>
            </w:r>
          </w:p>
        </w:tc>
        <w:tc>
          <w:tcPr>
            <w:tcW w:w="727" w:type="dxa"/>
            <w:noWrap w:val="0"/>
            <w:vAlign w:val="center"/>
          </w:tcPr>
          <w:p w14:paraId="26BEE9F2">
            <w:pPr>
              <w:adjustRightInd w:val="0"/>
              <w:snapToGrid w:val="0"/>
              <w:spacing w:line="360" w:lineRule="auto"/>
              <w:jc w:val="center"/>
              <w:rPr>
                <w:color w:val="auto"/>
                <w:szCs w:val="21"/>
                <w:highlight w:val="none"/>
              </w:rPr>
            </w:pPr>
            <w:r>
              <w:rPr>
                <w:rFonts w:hint="eastAsia"/>
                <w:color w:val="auto"/>
                <w:szCs w:val="21"/>
                <w:highlight w:val="none"/>
              </w:rPr>
              <w:t>2</w:t>
            </w:r>
          </w:p>
        </w:tc>
        <w:tc>
          <w:tcPr>
            <w:tcW w:w="1641" w:type="dxa"/>
            <w:noWrap w:val="0"/>
            <w:vAlign w:val="center"/>
          </w:tcPr>
          <w:p w14:paraId="43F004BA">
            <w:pPr>
              <w:adjustRightInd w:val="0"/>
              <w:snapToGrid w:val="0"/>
              <w:spacing w:line="360" w:lineRule="auto"/>
              <w:rPr>
                <w:color w:val="auto"/>
                <w:szCs w:val="21"/>
                <w:highlight w:val="none"/>
              </w:rPr>
            </w:pPr>
          </w:p>
        </w:tc>
      </w:tr>
      <w:tr w14:paraId="32AA2FC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1243" w:hRule="atLeast"/>
          <w:jc w:val="center"/>
        </w:trPr>
        <w:tc>
          <w:tcPr>
            <w:tcW w:w="711" w:type="dxa"/>
            <w:noWrap w:val="0"/>
            <w:vAlign w:val="center"/>
          </w:tcPr>
          <w:p w14:paraId="222085B8">
            <w:pPr>
              <w:adjustRightInd w:val="0"/>
              <w:snapToGrid w:val="0"/>
              <w:spacing w:line="360" w:lineRule="auto"/>
              <w:jc w:val="left"/>
              <w:rPr>
                <w:color w:val="auto"/>
                <w:szCs w:val="21"/>
                <w:highlight w:val="none"/>
              </w:rPr>
            </w:pPr>
            <w:r>
              <w:rPr>
                <w:rFonts w:hint="eastAsia"/>
                <w:color w:val="auto"/>
                <w:szCs w:val="21"/>
                <w:highlight w:val="none"/>
              </w:rPr>
              <w:t>6</w:t>
            </w:r>
          </w:p>
        </w:tc>
        <w:tc>
          <w:tcPr>
            <w:tcW w:w="1646" w:type="dxa"/>
            <w:noWrap w:val="0"/>
            <w:vAlign w:val="center"/>
          </w:tcPr>
          <w:p w14:paraId="3A783285">
            <w:pPr>
              <w:adjustRightInd w:val="0"/>
              <w:snapToGrid w:val="0"/>
              <w:spacing w:line="360" w:lineRule="auto"/>
              <w:jc w:val="center"/>
              <w:rPr>
                <w:color w:val="auto"/>
                <w:szCs w:val="21"/>
                <w:highlight w:val="none"/>
              </w:rPr>
            </w:pPr>
            <w:r>
              <w:rPr>
                <w:rFonts w:hint="eastAsia"/>
                <w:color w:val="auto"/>
                <w:szCs w:val="21"/>
                <w:highlight w:val="none"/>
              </w:rPr>
              <w:t>机场建设</w:t>
            </w:r>
            <w:r>
              <w:rPr>
                <w:color w:val="auto"/>
                <w:szCs w:val="21"/>
                <w:highlight w:val="none"/>
              </w:rPr>
              <w:t>管理人员</w:t>
            </w:r>
          </w:p>
        </w:tc>
        <w:tc>
          <w:tcPr>
            <w:tcW w:w="1684" w:type="dxa"/>
            <w:noWrap w:val="0"/>
            <w:vAlign w:val="center"/>
          </w:tcPr>
          <w:p w14:paraId="63802643">
            <w:pPr>
              <w:adjustRightInd w:val="0"/>
              <w:snapToGrid w:val="0"/>
              <w:spacing w:line="360" w:lineRule="auto"/>
              <w:jc w:val="center"/>
              <w:rPr>
                <w:color w:val="auto"/>
                <w:szCs w:val="21"/>
                <w:highlight w:val="none"/>
              </w:rPr>
            </w:pPr>
          </w:p>
        </w:tc>
        <w:tc>
          <w:tcPr>
            <w:tcW w:w="2469" w:type="dxa"/>
            <w:noWrap w:val="0"/>
            <w:vAlign w:val="center"/>
          </w:tcPr>
          <w:p w14:paraId="691131A6">
            <w:pPr>
              <w:adjustRightInd w:val="0"/>
              <w:snapToGrid w:val="0"/>
              <w:spacing w:line="360" w:lineRule="auto"/>
              <w:jc w:val="center"/>
              <w:rPr>
                <w:color w:val="auto"/>
                <w:szCs w:val="21"/>
                <w:highlight w:val="none"/>
              </w:rPr>
            </w:pPr>
            <w:r>
              <w:rPr>
                <w:color w:val="auto"/>
                <w:szCs w:val="21"/>
                <w:highlight w:val="none"/>
              </w:rPr>
              <w:t>负责机场建设的施工管理和安全管理</w:t>
            </w:r>
          </w:p>
        </w:tc>
        <w:tc>
          <w:tcPr>
            <w:tcW w:w="727" w:type="dxa"/>
            <w:noWrap w:val="0"/>
            <w:vAlign w:val="center"/>
          </w:tcPr>
          <w:p w14:paraId="5F243997">
            <w:pPr>
              <w:adjustRightInd w:val="0"/>
              <w:snapToGrid w:val="0"/>
              <w:spacing w:line="360" w:lineRule="auto"/>
              <w:jc w:val="center"/>
              <w:rPr>
                <w:color w:val="auto"/>
                <w:szCs w:val="21"/>
                <w:highlight w:val="none"/>
              </w:rPr>
            </w:pPr>
            <w:r>
              <w:rPr>
                <w:rFonts w:hint="eastAsia"/>
                <w:color w:val="auto"/>
                <w:szCs w:val="21"/>
                <w:highlight w:val="none"/>
              </w:rPr>
              <w:t>2</w:t>
            </w:r>
          </w:p>
        </w:tc>
        <w:tc>
          <w:tcPr>
            <w:tcW w:w="1641" w:type="dxa"/>
            <w:noWrap w:val="0"/>
            <w:vAlign w:val="center"/>
          </w:tcPr>
          <w:p w14:paraId="7827F686">
            <w:pPr>
              <w:adjustRightInd w:val="0"/>
              <w:snapToGrid w:val="0"/>
              <w:spacing w:line="360" w:lineRule="auto"/>
              <w:rPr>
                <w:color w:val="auto"/>
                <w:szCs w:val="21"/>
                <w:highlight w:val="none"/>
              </w:rPr>
            </w:pPr>
          </w:p>
        </w:tc>
      </w:tr>
      <w:tr w14:paraId="3F2977E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598" w:hRule="atLeast"/>
          <w:jc w:val="center"/>
        </w:trPr>
        <w:tc>
          <w:tcPr>
            <w:tcW w:w="8878" w:type="dxa"/>
            <w:gridSpan w:val="6"/>
            <w:noWrap w:val="0"/>
            <w:vAlign w:val="center"/>
          </w:tcPr>
          <w:p w14:paraId="7FC1BD50">
            <w:pPr>
              <w:adjustRightInd w:val="0"/>
              <w:snapToGrid w:val="0"/>
              <w:spacing w:line="360" w:lineRule="auto"/>
              <w:jc w:val="center"/>
              <w:rPr>
                <w:color w:val="auto"/>
                <w:szCs w:val="21"/>
                <w:highlight w:val="none"/>
              </w:rPr>
            </w:pPr>
            <w:r>
              <w:rPr>
                <w:rFonts w:hint="eastAsia"/>
                <w:color w:val="auto"/>
                <w:szCs w:val="21"/>
                <w:highlight w:val="none"/>
                <w:lang w:val="en-US" w:eastAsia="zh-CN"/>
              </w:rPr>
              <w:t>以上人员均</w:t>
            </w:r>
            <w:r>
              <w:rPr>
                <w:rFonts w:hint="eastAsia"/>
                <w:b/>
                <w:bCs/>
                <w:color w:val="auto"/>
                <w:szCs w:val="21"/>
                <w:highlight w:val="none"/>
                <w:lang w:val="en-US" w:eastAsia="zh-CN"/>
              </w:rPr>
              <w:t>不可兼任</w:t>
            </w:r>
            <w:r>
              <w:rPr>
                <w:rFonts w:hint="eastAsia"/>
                <w:color w:val="auto"/>
                <w:szCs w:val="21"/>
                <w:highlight w:val="none"/>
                <w:lang w:val="en-US" w:eastAsia="zh-CN"/>
              </w:rPr>
              <w:t>，投标人须满足“人员配置基本要求”。</w:t>
            </w:r>
          </w:p>
        </w:tc>
      </w:tr>
    </w:tbl>
    <w:p w14:paraId="7861392B">
      <w:pPr>
        <w:spacing w:line="360" w:lineRule="auto"/>
        <w:ind w:firstLine="560" w:firstLineChars="200"/>
        <w:jc w:val="left"/>
        <w:rPr>
          <w:color w:val="auto"/>
          <w:sz w:val="28"/>
          <w:szCs w:val="28"/>
          <w:highlight w:val="none"/>
        </w:rPr>
      </w:pPr>
      <w:r>
        <w:rPr>
          <w:color w:val="auto"/>
          <w:sz w:val="28"/>
          <w:szCs w:val="28"/>
          <w:highlight w:val="none"/>
        </w:rPr>
        <w:t>（3）其他要求:</w:t>
      </w:r>
    </w:p>
    <w:p w14:paraId="1FE4E942">
      <w:pPr>
        <w:spacing w:line="360" w:lineRule="auto"/>
        <w:ind w:firstLine="560" w:firstLineChars="200"/>
        <w:jc w:val="left"/>
        <w:rPr>
          <w:color w:val="auto"/>
          <w:sz w:val="28"/>
          <w:szCs w:val="28"/>
          <w:highlight w:val="none"/>
        </w:rPr>
      </w:pPr>
      <w:r>
        <w:rPr>
          <w:color w:val="auto"/>
          <w:sz w:val="28"/>
          <w:szCs w:val="28"/>
          <w:highlight w:val="none"/>
        </w:rPr>
        <w:t>1）</w:t>
      </w:r>
      <w:r>
        <w:rPr>
          <w:rFonts w:hint="eastAsia" w:ascii="Times New Roman" w:eastAsia="宋体"/>
          <w:color w:val="auto"/>
          <w:sz w:val="28"/>
          <w:szCs w:val="28"/>
          <w:highlight w:val="none"/>
          <w:lang w:val="en-US" w:eastAsia="zh-CN"/>
        </w:rPr>
        <w:t>投标人</w:t>
      </w:r>
      <w:r>
        <w:rPr>
          <w:color w:val="auto"/>
          <w:sz w:val="28"/>
          <w:szCs w:val="28"/>
          <w:highlight w:val="none"/>
        </w:rPr>
        <w:t>应派具有资深轨道交通信息化建设经验的人员参加项目的实施，并且保证人员的稳定性。</w:t>
      </w:r>
    </w:p>
    <w:p w14:paraId="13BBE452">
      <w:pPr>
        <w:spacing w:line="360" w:lineRule="auto"/>
        <w:ind w:firstLine="560" w:firstLineChars="200"/>
        <w:jc w:val="left"/>
        <w:rPr>
          <w:color w:val="auto"/>
          <w:sz w:val="28"/>
          <w:szCs w:val="28"/>
          <w:highlight w:val="none"/>
        </w:rPr>
      </w:pPr>
      <w:r>
        <w:rPr>
          <w:rFonts w:hint="eastAsia" w:ascii="Times New Roman" w:eastAsia="宋体"/>
          <w:color w:val="auto"/>
          <w:sz w:val="28"/>
          <w:szCs w:val="28"/>
          <w:highlight w:val="none"/>
          <w:lang w:val="en-US" w:eastAsia="zh-CN"/>
        </w:rPr>
        <w:t>2</w:t>
      </w:r>
      <w:r>
        <w:rPr>
          <w:color w:val="auto"/>
          <w:sz w:val="28"/>
          <w:szCs w:val="28"/>
          <w:highlight w:val="none"/>
        </w:rPr>
        <w:t>）必须按照上表的要求派驻相关人员，办公场所、生活用房等费用自理。</w:t>
      </w:r>
    </w:p>
    <w:p w14:paraId="0E06F32D">
      <w:pPr>
        <w:keepNext/>
        <w:keepLines/>
        <w:adjustRightInd w:val="0"/>
        <w:spacing w:line="360" w:lineRule="auto"/>
        <w:jc w:val="left"/>
        <w:textAlignment w:val="baseline"/>
        <w:outlineLvl w:val="1"/>
        <w:rPr>
          <w:b/>
          <w:bCs/>
          <w:color w:val="auto"/>
          <w:sz w:val="28"/>
          <w:szCs w:val="28"/>
          <w:highlight w:val="none"/>
        </w:rPr>
      </w:pPr>
      <w:bookmarkStart w:id="1313" w:name="_Toc8402"/>
      <w:bookmarkStart w:id="1314" w:name="_Toc22615"/>
      <w:bookmarkStart w:id="1315" w:name="_Toc29983"/>
      <w:bookmarkStart w:id="1316" w:name="_Toc31797"/>
      <w:bookmarkStart w:id="1317" w:name="_Toc3398"/>
      <w:bookmarkStart w:id="1318" w:name="_Toc20455"/>
      <w:bookmarkStart w:id="1319" w:name="_Toc30534"/>
      <w:r>
        <w:rPr>
          <w:b/>
          <w:bCs/>
          <w:color w:val="auto"/>
          <w:sz w:val="28"/>
          <w:szCs w:val="28"/>
          <w:highlight w:val="none"/>
        </w:rPr>
        <w:t>9.2管理要求</w:t>
      </w:r>
      <w:bookmarkEnd w:id="1313"/>
      <w:bookmarkEnd w:id="1314"/>
      <w:bookmarkEnd w:id="1315"/>
      <w:bookmarkEnd w:id="1316"/>
      <w:bookmarkEnd w:id="1317"/>
      <w:bookmarkEnd w:id="1318"/>
      <w:bookmarkEnd w:id="1319"/>
    </w:p>
    <w:p w14:paraId="63F366C2">
      <w:pPr>
        <w:spacing w:line="360" w:lineRule="auto"/>
        <w:ind w:firstLine="560" w:firstLineChars="200"/>
        <w:jc w:val="left"/>
        <w:rPr>
          <w:color w:val="auto"/>
          <w:sz w:val="28"/>
          <w:szCs w:val="28"/>
          <w:highlight w:val="none"/>
        </w:rPr>
      </w:pPr>
      <w:r>
        <w:rPr>
          <w:color w:val="auto"/>
          <w:sz w:val="28"/>
          <w:szCs w:val="28"/>
          <w:highlight w:val="none"/>
        </w:rPr>
        <w:t>在项目实施和运作期间，受托方办公场所须离委托方较近（不超过2公里），办公场所及用品、食宿和交通等问题自行解决。</w:t>
      </w:r>
    </w:p>
    <w:p w14:paraId="3899448B">
      <w:pPr>
        <w:spacing w:line="360" w:lineRule="auto"/>
        <w:ind w:firstLine="560" w:firstLineChars="200"/>
        <w:jc w:val="left"/>
        <w:rPr>
          <w:color w:val="auto"/>
          <w:sz w:val="28"/>
          <w:szCs w:val="28"/>
          <w:highlight w:val="none"/>
        </w:rPr>
      </w:pPr>
      <w:r>
        <w:rPr>
          <w:color w:val="auto"/>
          <w:sz w:val="28"/>
          <w:szCs w:val="28"/>
          <w:highlight w:val="none"/>
        </w:rPr>
        <w:t>双方应严格遵循项目管理制度，按照项目管理的原则进行实施，建立一套科学、系统、规范和有效的项目管理体系和运作机制，如制定明确量化的系统应用目标、项目风险管理、项目进度管理、项目质量保证体系、实施绩效评价体系等，以对整个实施过程及各环节起到科学有效的控制、监督和保障作用，确保项目实施的质量和效率。</w:t>
      </w:r>
    </w:p>
    <w:p w14:paraId="52D02702">
      <w:pPr>
        <w:spacing w:line="360" w:lineRule="auto"/>
        <w:ind w:firstLine="560" w:firstLineChars="200"/>
        <w:jc w:val="left"/>
        <w:rPr>
          <w:color w:val="auto"/>
          <w:sz w:val="28"/>
          <w:szCs w:val="28"/>
          <w:highlight w:val="none"/>
        </w:rPr>
      </w:pPr>
      <w:r>
        <w:rPr>
          <w:color w:val="auto"/>
          <w:sz w:val="28"/>
          <w:szCs w:val="28"/>
          <w:highlight w:val="none"/>
        </w:rPr>
        <w:t>为配合整个项目的实施质量和效率，委托方项目组成员将会全程参与、积极配合完成系统实施工作。</w:t>
      </w:r>
    </w:p>
    <w:p w14:paraId="7555E8B7">
      <w:pPr>
        <w:keepNext/>
        <w:keepLines/>
        <w:adjustRightInd w:val="0"/>
        <w:spacing w:line="360" w:lineRule="auto"/>
        <w:jc w:val="left"/>
        <w:textAlignment w:val="baseline"/>
        <w:outlineLvl w:val="1"/>
        <w:rPr>
          <w:b/>
          <w:bCs/>
          <w:color w:val="auto"/>
          <w:sz w:val="28"/>
          <w:szCs w:val="28"/>
          <w:highlight w:val="none"/>
        </w:rPr>
      </w:pPr>
      <w:bookmarkStart w:id="1320" w:name="_Toc18429"/>
      <w:bookmarkStart w:id="1321" w:name="_Toc22829"/>
      <w:bookmarkStart w:id="1322" w:name="_Toc23752"/>
      <w:bookmarkStart w:id="1323" w:name="_Toc2265"/>
      <w:bookmarkStart w:id="1324" w:name="_Toc14708"/>
      <w:bookmarkStart w:id="1325" w:name="_Toc11843"/>
      <w:bookmarkStart w:id="1326" w:name="_Toc3977"/>
      <w:r>
        <w:rPr>
          <w:b/>
          <w:bCs/>
          <w:color w:val="auto"/>
          <w:sz w:val="28"/>
          <w:szCs w:val="28"/>
          <w:highlight w:val="none"/>
        </w:rPr>
        <w:t>9.3后续服务支持</w:t>
      </w:r>
      <w:bookmarkEnd w:id="1320"/>
      <w:bookmarkEnd w:id="1321"/>
      <w:bookmarkEnd w:id="1322"/>
      <w:bookmarkEnd w:id="1323"/>
      <w:bookmarkEnd w:id="1324"/>
      <w:bookmarkEnd w:id="1325"/>
      <w:bookmarkEnd w:id="1326"/>
    </w:p>
    <w:p w14:paraId="2F5F12BE">
      <w:pPr>
        <w:spacing w:line="360" w:lineRule="auto"/>
        <w:ind w:firstLine="560" w:firstLineChars="200"/>
        <w:jc w:val="left"/>
        <w:rPr>
          <w:color w:val="auto"/>
          <w:sz w:val="28"/>
          <w:szCs w:val="28"/>
          <w:highlight w:val="none"/>
        </w:rPr>
      </w:pPr>
      <w:r>
        <w:rPr>
          <w:color w:val="auto"/>
          <w:sz w:val="28"/>
          <w:szCs w:val="28"/>
          <w:highlight w:val="none"/>
        </w:rPr>
        <w:t>为保障系统稳定运作，协助进行系统升级、优化等工作，实施方在系统运行后要进行后续服务，后续支持服务的方式包括：热线电话、电子邮件、现场技术支持、软件修补包、协助进行系统集成等，按照项目日常质保要求执行。</w:t>
      </w:r>
      <w:bookmarkStart w:id="1327" w:name="_Toc324856257"/>
      <w:bookmarkStart w:id="1328" w:name="_Toc324845921"/>
      <w:bookmarkStart w:id="1329" w:name="_Toc463885894"/>
      <w:bookmarkStart w:id="1330" w:name="_Toc323028289"/>
      <w:bookmarkStart w:id="1331" w:name="_Toc464142798"/>
    </w:p>
    <w:p w14:paraId="021EB2B6">
      <w:pPr>
        <w:spacing w:line="360" w:lineRule="auto"/>
        <w:outlineLvl w:val="0"/>
        <w:rPr>
          <w:b/>
          <w:bCs/>
          <w:color w:val="auto"/>
          <w:sz w:val="28"/>
          <w:szCs w:val="28"/>
          <w:highlight w:val="none"/>
        </w:rPr>
      </w:pPr>
      <w:bookmarkStart w:id="1332" w:name="_Toc5354"/>
      <w:bookmarkStart w:id="1333" w:name="_Toc22103"/>
      <w:bookmarkStart w:id="1334" w:name="_Toc20966"/>
      <w:bookmarkStart w:id="1335" w:name="_Toc22219"/>
      <w:bookmarkStart w:id="1336" w:name="_Toc28747"/>
      <w:bookmarkStart w:id="1337" w:name="_Toc24112"/>
      <w:bookmarkStart w:id="1338" w:name="_Toc10646"/>
      <w:r>
        <w:rPr>
          <w:b/>
          <w:bCs/>
          <w:color w:val="auto"/>
          <w:sz w:val="28"/>
          <w:szCs w:val="28"/>
          <w:highlight w:val="none"/>
        </w:rPr>
        <w:t>10项目交付成果</w:t>
      </w:r>
      <w:bookmarkEnd w:id="1327"/>
      <w:bookmarkEnd w:id="1328"/>
      <w:bookmarkEnd w:id="1329"/>
      <w:bookmarkEnd w:id="1330"/>
      <w:bookmarkEnd w:id="1331"/>
      <w:bookmarkEnd w:id="1332"/>
      <w:bookmarkEnd w:id="1333"/>
      <w:bookmarkEnd w:id="1334"/>
      <w:bookmarkEnd w:id="1335"/>
      <w:bookmarkEnd w:id="1336"/>
      <w:bookmarkEnd w:id="1337"/>
      <w:bookmarkEnd w:id="1338"/>
    </w:p>
    <w:p w14:paraId="50FBE32B">
      <w:pPr>
        <w:spacing w:line="360" w:lineRule="auto"/>
        <w:ind w:firstLine="560" w:firstLineChars="200"/>
        <w:jc w:val="left"/>
        <w:rPr>
          <w:color w:val="auto"/>
          <w:sz w:val="28"/>
          <w:szCs w:val="28"/>
          <w:highlight w:val="none"/>
        </w:rPr>
      </w:pPr>
      <w:r>
        <w:rPr>
          <w:color w:val="auto"/>
          <w:sz w:val="28"/>
          <w:szCs w:val="28"/>
          <w:highlight w:val="none"/>
        </w:rPr>
        <w:t>项目成果物包括但不限于以下文档清单（以下文档的编写应符合东莞市轨道一号线建设发展有限公司有关信息系统实施管理、文档管理的规范和要求）：</w:t>
      </w:r>
    </w:p>
    <w:p w14:paraId="79E272D9">
      <w:pPr>
        <w:spacing w:line="360" w:lineRule="auto"/>
        <w:ind w:firstLine="560" w:firstLineChars="200"/>
        <w:jc w:val="left"/>
        <w:rPr>
          <w:color w:val="auto"/>
          <w:sz w:val="28"/>
          <w:szCs w:val="28"/>
          <w:highlight w:val="none"/>
        </w:rPr>
      </w:pPr>
      <w:r>
        <w:rPr>
          <w:color w:val="auto"/>
          <w:sz w:val="28"/>
          <w:szCs w:val="28"/>
          <w:highlight w:val="none"/>
        </w:rPr>
        <w:t>1）必须提供所有系统软件/应用软件的安装光盘介质等。</w:t>
      </w:r>
    </w:p>
    <w:p w14:paraId="1494F05B">
      <w:pPr>
        <w:spacing w:line="360" w:lineRule="auto"/>
        <w:ind w:firstLine="560" w:firstLineChars="200"/>
        <w:jc w:val="left"/>
        <w:rPr>
          <w:color w:val="auto"/>
          <w:sz w:val="28"/>
          <w:szCs w:val="28"/>
          <w:highlight w:val="none"/>
        </w:rPr>
      </w:pPr>
      <w:r>
        <w:rPr>
          <w:color w:val="auto"/>
          <w:sz w:val="28"/>
          <w:szCs w:val="28"/>
          <w:highlight w:val="none"/>
        </w:rPr>
        <w:t>2）项目所交付的应用系统软件环境必须包括生产环境（正式环境）、测试环境、开发环境，所有环境均能正常使用。</w:t>
      </w:r>
    </w:p>
    <w:p w14:paraId="54FF70B1">
      <w:pPr>
        <w:spacing w:line="360" w:lineRule="auto"/>
        <w:ind w:firstLine="560" w:firstLineChars="200"/>
        <w:jc w:val="left"/>
        <w:rPr>
          <w:color w:val="auto"/>
          <w:sz w:val="28"/>
          <w:szCs w:val="28"/>
          <w:highlight w:val="none"/>
        </w:rPr>
      </w:pPr>
      <w:r>
        <w:rPr>
          <w:color w:val="auto"/>
          <w:sz w:val="28"/>
          <w:szCs w:val="28"/>
          <w:highlight w:val="none"/>
        </w:rPr>
        <w:t>3）项目各阶段汇报时的汇报材料。</w:t>
      </w:r>
    </w:p>
    <w:p w14:paraId="23879F70">
      <w:pPr>
        <w:spacing w:line="360" w:lineRule="auto"/>
        <w:ind w:firstLine="560" w:firstLineChars="200"/>
        <w:jc w:val="left"/>
        <w:rPr>
          <w:color w:val="auto"/>
          <w:sz w:val="28"/>
          <w:szCs w:val="28"/>
          <w:highlight w:val="none"/>
        </w:rPr>
      </w:pPr>
      <w:r>
        <w:rPr>
          <w:color w:val="auto"/>
          <w:sz w:val="28"/>
          <w:szCs w:val="28"/>
          <w:highlight w:val="none"/>
        </w:rPr>
        <w:t>4）项目成果清单内容必须按照东莞轨道一号线公司要求打印成册。</w:t>
      </w:r>
    </w:p>
    <w:p w14:paraId="466CD90E">
      <w:pPr>
        <w:spacing w:line="360" w:lineRule="auto"/>
        <w:ind w:firstLine="560" w:firstLineChars="200"/>
        <w:jc w:val="left"/>
        <w:rPr>
          <w:color w:val="auto"/>
          <w:sz w:val="28"/>
          <w:szCs w:val="28"/>
          <w:highlight w:val="none"/>
        </w:rPr>
      </w:pPr>
      <w:r>
        <w:rPr>
          <w:color w:val="auto"/>
          <w:sz w:val="28"/>
          <w:szCs w:val="28"/>
          <w:highlight w:val="none"/>
        </w:rPr>
        <w:t>5）项目中若有采购第三方软、硬件，均需提供纸质许可证证明书及其他相关证明文件，包括但不限于：</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2587"/>
        <w:gridCol w:w="6583"/>
      </w:tblGrid>
      <w:tr w14:paraId="17D5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58627678">
            <w:pPr>
              <w:spacing w:line="360" w:lineRule="auto"/>
              <w:jc w:val="center"/>
              <w:rPr>
                <w:b/>
                <w:bCs/>
                <w:color w:val="auto"/>
                <w:szCs w:val="21"/>
                <w:highlight w:val="none"/>
              </w:rPr>
            </w:pPr>
            <w:r>
              <w:rPr>
                <w:b/>
                <w:bCs/>
                <w:color w:val="auto"/>
                <w:szCs w:val="21"/>
                <w:highlight w:val="none"/>
              </w:rPr>
              <w:t>序号</w:t>
            </w:r>
          </w:p>
        </w:tc>
        <w:tc>
          <w:tcPr>
            <w:tcW w:w="2438" w:type="dxa"/>
            <w:noWrap w:val="0"/>
            <w:vAlign w:val="top"/>
          </w:tcPr>
          <w:p w14:paraId="0F7963A1">
            <w:pPr>
              <w:spacing w:line="360" w:lineRule="auto"/>
              <w:jc w:val="center"/>
              <w:rPr>
                <w:b/>
                <w:bCs/>
                <w:color w:val="auto"/>
                <w:szCs w:val="21"/>
                <w:highlight w:val="none"/>
              </w:rPr>
            </w:pPr>
            <w:r>
              <w:rPr>
                <w:b/>
                <w:bCs/>
                <w:color w:val="auto"/>
                <w:szCs w:val="21"/>
                <w:highlight w:val="none"/>
              </w:rPr>
              <w:t>项目</w:t>
            </w:r>
          </w:p>
        </w:tc>
        <w:tc>
          <w:tcPr>
            <w:tcW w:w="6204" w:type="dxa"/>
            <w:noWrap w:val="0"/>
            <w:vAlign w:val="top"/>
          </w:tcPr>
          <w:p w14:paraId="7E624D27">
            <w:pPr>
              <w:spacing w:line="360" w:lineRule="auto"/>
              <w:jc w:val="center"/>
              <w:rPr>
                <w:b/>
                <w:bCs/>
                <w:color w:val="auto"/>
                <w:szCs w:val="21"/>
                <w:highlight w:val="none"/>
              </w:rPr>
            </w:pPr>
            <w:r>
              <w:rPr>
                <w:b/>
                <w:bCs/>
                <w:color w:val="auto"/>
                <w:szCs w:val="21"/>
                <w:highlight w:val="none"/>
              </w:rPr>
              <w:t>要求</w:t>
            </w:r>
          </w:p>
        </w:tc>
      </w:tr>
      <w:tr w14:paraId="62FC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287A721E">
            <w:pPr>
              <w:spacing w:line="360" w:lineRule="auto"/>
              <w:jc w:val="center"/>
              <w:rPr>
                <w:color w:val="auto"/>
                <w:szCs w:val="21"/>
                <w:highlight w:val="none"/>
              </w:rPr>
            </w:pPr>
            <w:r>
              <w:rPr>
                <w:color w:val="auto"/>
                <w:szCs w:val="21"/>
                <w:highlight w:val="none"/>
              </w:rPr>
              <w:t>1</w:t>
            </w:r>
          </w:p>
        </w:tc>
        <w:tc>
          <w:tcPr>
            <w:tcW w:w="2438" w:type="dxa"/>
            <w:noWrap w:val="0"/>
            <w:vAlign w:val="top"/>
          </w:tcPr>
          <w:p w14:paraId="3321A464">
            <w:pPr>
              <w:spacing w:line="360" w:lineRule="auto"/>
              <w:jc w:val="center"/>
              <w:rPr>
                <w:color w:val="auto"/>
                <w:szCs w:val="21"/>
                <w:highlight w:val="none"/>
              </w:rPr>
            </w:pPr>
            <w:r>
              <w:rPr>
                <w:color w:val="auto"/>
                <w:szCs w:val="21"/>
                <w:highlight w:val="none"/>
              </w:rPr>
              <w:t>《软件产品许可证》</w:t>
            </w:r>
          </w:p>
        </w:tc>
        <w:tc>
          <w:tcPr>
            <w:tcW w:w="6204" w:type="dxa"/>
            <w:noWrap w:val="0"/>
            <w:vAlign w:val="top"/>
          </w:tcPr>
          <w:p w14:paraId="2A924576">
            <w:pPr>
              <w:spacing w:line="360" w:lineRule="auto"/>
              <w:jc w:val="left"/>
              <w:rPr>
                <w:color w:val="auto"/>
                <w:szCs w:val="21"/>
                <w:highlight w:val="none"/>
              </w:rPr>
            </w:pPr>
            <w:r>
              <w:rPr>
                <w:color w:val="auto"/>
                <w:szCs w:val="21"/>
                <w:highlight w:val="none"/>
              </w:rPr>
              <w:t>由软件原厂商授予我司的关于该软件许可合法使用的证明文件</w:t>
            </w:r>
          </w:p>
        </w:tc>
      </w:tr>
      <w:tr w14:paraId="4C5F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3817B6C3">
            <w:pPr>
              <w:spacing w:line="360" w:lineRule="auto"/>
              <w:jc w:val="center"/>
              <w:rPr>
                <w:color w:val="auto"/>
                <w:szCs w:val="21"/>
                <w:highlight w:val="none"/>
              </w:rPr>
            </w:pPr>
            <w:r>
              <w:rPr>
                <w:color w:val="auto"/>
                <w:szCs w:val="21"/>
                <w:highlight w:val="none"/>
              </w:rPr>
              <w:t>2</w:t>
            </w:r>
          </w:p>
        </w:tc>
        <w:tc>
          <w:tcPr>
            <w:tcW w:w="2438" w:type="dxa"/>
            <w:noWrap w:val="0"/>
            <w:vAlign w:val="top"/>
          </w:tcPr>
          <w:p w14:paraId="2F348DC5">
            <w:pPr>
              <w:spacing w:line="360" w:lineRule="auto"/>
              <w:jc w:val="center"/>
              <w:rPr>
                <w:color w:val="auto"/>
                <w:szCs w:val="21"/>
                <w:highlight w:val="none"/>
              </w:rPr>
            </w:pPr>
            <w:r>
              <w:rPr>
                <w:color w:val="auto"/>
                <w:szCs w:val="21"/>
                <w:highlight w:val="none"/>
              </w:rPr>
              <w:t>《软件用户数许可证明》</w:t>
            </w:r>
          </w:p>
        </w:tc>
        <w:tc>
          <w:tcPr>
            <w:tcW w:w="6204" w:type="dxa"/>
            <w:noWrap w:val="0"/>
            <w:vAlign w:val="top"/>
          </w:tcPr>
          <w:p w14:paraId="2BA70F5A">
            <w:pPr>
              <w:spacing w:line="360" w:lineRule="auto"/>
              <w:jc w:val="left"/>
              <w:rPr>
                <w:color w:val="auto"/>
                <w:szCs w:val="21"/>
                <w:highlight w:val="none"/>
              </w:rPr>
            </w:pPr>
            <w:r>
              <w:rPr>
                <w:color w:val="auto"/>
                <w:szCs w:val="21"/>
                <w:highlight w:val="none"/>
              </w:rPr>
              <w:t>由软件原厂商授予我司的关于该软件许可合法用户数的证明文件；</w:t>
            </w:r>
          </w:p>
        </w:tc>
      </w:tr>
      <w:tr w14:paraId="2729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616391CE">
            <w:pPr>
              <w:spacing w:line="360" w:lineRule="auto"/>
              <w:jc w:val="center"/>
              <w:rPr>
                <w:color w:val="auto"/>
                <w:szCs w:val="21"/>
                <w:highlight w:val="none"/>
              </w:rPr>
            </w:pPr>
            <w:r>
              <w:rPr>
                <w:color w:val="auto"/>
                <w:szCs w:val="21"/>
                <w:highlight w:val="none"/>
              </w:rPr>
              <w:t>3</w:t>
            </w:r>
          </w:p>
        </w:tc>
        <w:tc>
          <w:tcPr>
            <w:tcW w:w="2438" w:type="dxa"/>
            <w:noWrap w:val="0"/>
            <w:vAlign w:val="top"/>
          </w:tcPr>
          <w:p w14:paraId="448E8FB1">
            <w:pPr>
              <w:spacing w:line="360" w:lineRule="auto"/>
              <w:jc w:val="center"/>
              <w:rPr>
                <w:color w:val="auto"/>
                <w:szCs w:val="21"/>
                <w:highlight w:val="none"/>
              </w:rPr>
            </w:pPr>
            <w:r>
              <w:rPr>
                <w:color w:val="auto"/>
                <w:szCs w:val="21"/>
                <w:highlight w:val="none"/>
              </w:rPr>
              <w:t>《软件服务确认证明》</w:t>
            </w:r>
          </w:p>
        </w:tc>
        <w:tc>
          <w:tcPr>
            <w:tcW w:w="6204" w:type="dxa"/>
            <w:noWrap w:val="0"/>
            <w:vAlign w:val="top"/>
          </w:tcPr>
          <w:p w14:paraId="2F22F773">
            <w:pPr>
              <w:spacing w:line="360" w:lineRule="auto"/>
              <w:jc w:val="left"/>
              <w:rPr>
                <w:color w:val="auto"/>
                <w:szCs w:val="21"/>
                <w:highlight w:val="none"/>
              </w:rPr>
            </w:pPr>
            <w:r>
              <w:rPr>
                <w:color w:val="auto"/>
                <w:szCs w:val="21"/>
                <w:highlight w:val="none"/>
              </w:rPr>
              <w:t>由软件原厂商授予我司的可享有与该软件产品相关的原厂商技术支持服务的证明文件</w:t>
            </w:r>
          </w:p>
        </w:tc>
      </w:tr>
      <w:tr w14:paraId="72FD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19191EF5">
            <w:pPr>
              <w:spacing w:line="360" w:lineRule="auto"/>
              <w:jc w:val="center"/>
              <w:rPr>
                <w:color w:val="auto"/>
                <w:szCs w:val="21"/>
                <w:highlight w:val="none"/>
              </w:rPr>
            </w:pPr>
            <w:r>
              <w:rPr>
                <w:color w:val="auto"/>
                <w:szCs w:val="21"/>
                <w:highlight w:val="none"/>
              </w:rPr>
              <w:t>4</w:t>
            </w:r>
          </w:p>
        </w:tc>
        <w:tc>
          <w:tcPr>
            <w:tcW w:w="2438" w:type="dxa"/>
            <w:noWrap w:val="0"/>
            <w:vAlign w:val="top"/>
          </w:tcPr>
          <w:p w14:paraId="4B17F5D7">
            <w:pPr>
              <w:spacing w:line="360" w:lineRule="auto"/>
              <w:jc w:val="center"/>
              <w:rPr>
                <w:color w:val="auto"/>
                <w:szCs w:val="21"/>
                <w:highlight w:val="none"/>
              </w:rPr>
            </w:pPr>
            <w:r>
              <w:rPr>
                <w:color w:val="auto"/>
                <w:szCs w:val="21"/>
                <w:highlight w:val="none"/>
              </w:rPr>
              <w:t>《硬件服务确认证明》</w:t>
            </w:r>
          </w:p>
        </w:tc>
        <w:tc>
          <w:tcPr>
            <w:tcW w:w="6204" w:type="dxa"/>
            <w:noWrap w:val="0"/>
            <w:vAlign w:val="top"/>
          </w:tcPr>
          <w:p w14:paraId="5420016C">
            <w:pPr>
              <w:spacing w:line="360" w:lineRule="auto"/>
              <w:jc w:val="left"/>
              <w:rPr>
                <w:color w:val="auto"/>
                <w:szCs w:val="21"/>
                <w:highlight w:val="none"/>
              </w:rPr>
            </w:pPr>
            <w:r>
              <w:rPr>
                <w:color w:val="auto"/>
                <w:szCs w:val="21"/>
                <w:highlight w:val="none"/>
              </w:rPr>
              <w:t>由硬件原厂商授予我司的可享有该硬件产品相关的维护服务证明文件；</w:t>
            </w:r>
          </w:p>
        </w:tc>
      </w:tr>
      <w:tr w14:paraId="71BD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553F3DD0">
            <w:pPr>
              <w:spacing w:line="360" w:lineRule="auto"/>
              <w:jc w:val="center"/>
              <w:rPr>
                <w:color w:val="auto"/>
                <w:szCs w:val="21"/>
                <w:highlight w:val="none"/>
              </w:rPr>
            </w:pPr>
            <w:r>
              <w:rPr>
                <w:color w:val="auto"/>
                <w:szCs w:val="21"/>
                <w:highlight w:val="none"/>
              </w:rPr>
              <w:t>5</w:t>
            </w:r>
          </w:p>
        </w:tc>
        <w:tc>
          <w:tcPr>
            <w:tcW w:w="2438" w:type="dxa"/>
            <w:noWrap w:val="0"/>
            <w:vAlign w:val="top"/>
          </w:tcPr>
          <w:p w14:paraId="2D99FA5D">
            <w:pPr>
              <w:spacing w:line="360" w:lineRule="auto"/>
              <w:jc w:val="center"/>
              <w:rPr>
                <w:color w:val="auto"/>
                <w:szCs w:val="21"/>
                <w:highlight w:val="none"/>
              </w:rPr>
            </w:pPr>
            <w:r>
              <w:rPr>
                <w:color w:val="auto"/>
                <w:szCs w:val="21"/>
                <w:highlight w:val="none"/>
              </w:rPr>
              <w:t>《信息系统安全保护确认证明》</w:t>
            </w:r>
          </w:p>
        </w:tc>
        <w:tc>
          <w:tcPr>
            <w:tcW w:w="6204" w:type="dxa"/>
            <w:noWrap w:val="0"/>
            <w:vAlign w:val="top"/>
          </w:tcPr>
          <w:p w14:paraId="5932E01E">
            <w:pPr>
              <w:spacing w:line="360" w:lineRule="auto"/>
              <w:jc w:val="left"/>
              <w:rPr>
                <w:color w:val="auto"/>
                <w:szCs w:val="21"/>
                <w:highlight w:val="none"/>
              </w:rPr>
            </w:pPr>
            <w:r>
              <w:rPr>
                <w:color w:val="auto"/>
                <w:szCs w:val="21"/>
                <w:highlight w:val="none"/>
              </w:rPr>
              <w:t>信息系统根据国家信息系统安全等级保护规定，属于二级或以上系统（及系统的故障会引起国家安全、社会秩序和企业法人利益损害的信息系统）需提供通过第三方测评的证明文件</w:t>
            </w:r>
          </w:p>
        </w:tc>
      </w:tr>
      <w:tr w14:paraId="1DC4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04E41788">
            <w:pPr>
              <w:spacing w:line="360" w:lineRule="auto"/>
              <w:jc w:val="center"/>
              <w:rPr>
                <w:color w:val="auto"/>
                <w:szCs w:val="21"/>
                <w:highlight w:val="none"/>
              </w:rPr>
            </w:pPr>
            <w:r>
              <w:rPr>
                <w:color w:val="auto"/>
                <w:szCs w:val="21"/>
                <w:highlight w:val="none"/>
              </w:rPr>
              <w:t>6</w:t>
            </w:r>
          </w:p>
        </w:tc>
        <w:tc>
          <w:tcPr>
            <w:tcW w:w="2438" w:type="dxa"/>
            <w:noWrap w:val="0"/>
            <w:vAlign w:val="top"/>
          </w:tcPr>
          <w:p w14:paraId="0F6415C4">
            <w:pPr>
              <w:spacing w:line="360" w:lineRule="auto"/>
              <w:jc w:val="center"/>
              <w:rPr>
                <w:color w:val="auto"/>
                <w:szCs w:val="21"/>
                <w:highlight w:val="none"/>
              </w:rPr>
            </w:pPr>
            <w:r>
              <w:rPr>
                <w:color w:val="auto"/>
                <w:szCs w:val="21"/>
                <w:highlight w:val="none"/>
              </w:rPr>
              <w:t>手动无人机</w:t>
            </w:r>
          </w:p>
        </w:tc>
        <w:tc>
          <w:tcPr>
            <w:tcW w:w="6204" w:type="dxa"/>
            <w:noWrap w:val="0"/>
            <w:vAlign w:val="top"/>
          </w:tcPr>
          <w:p w14:paraId="30732AEF">
            <w:pPr>
              <w:spacing w:line="360" w:lineRule="auto"/>
              <w:jc w:val="left"/>
              <w:rPr>
                <w:color w:val="auto"/>
                <w:szCs w:val="21"/>
                <w:highlight w:val="none"/>
              </w:rPr>
            </w:pPr>
            <w:r>
              <w:rPr>
                <w:color w:val="auto"/>
                <w:szCs w:val="21"/>
                <w:highlight w:val="none"/>
              </w:rPr>
              <w:t>合格证、操作说明及维护手册等</w:t>
            </w:r>
          </w:p>
        </w:tc>
      </w:tr>
      <w:tr w14:paraId="7CCF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455535AB">
            <w:pPr>
              <w:spacing w:line="360" w:lineRule="auto"/>
              <w:jc w:val="center"/>
              <w:rPr>
                <w:color w:val="auto"/>
                <w:szCs w:val="21"/>
                <w:highlight w:val="none"/>
              </w:rPr>
            </w:pPr>
            <w:r>
              <w:rPr>
                <w:color w:val="auto"/>
                <w:szCs w:val="21"/>
                <w:highlight w:val="none"/>
              </w:rPr>
              <w:t>7</w:t>
            </w:r>
          </w:p>
        </w:tc>
        <w:tc>
          <w:tcPr>
            <w:tcW w:w="2438" w:type="dxa"/>
            <w:noWrap w:val="0"/>
            <w:vAlign w:val="top"/>
          </w:tcPr>
          <w:p w14:paraId="4B03103B">
            <w:pPr>
              <w:spacing w:line="360" w:lineRule="auto"/>
              <w:jc w:val="center"/>
              <w:rPr>
                <w:color w:val="auto"/>
                <w:szCs w:val="21"/>
                <w:highlight w:val="none"/>
              </w:rPr>
            </w:pPr>
            <w:r>
              <w:rPr>
                <w:color w:val="auto"/>
                <w:szCs w:val="21"/>
                <w:highlight w:val="none"/>
              </w:rPr>
              <w:t>无人机自动化机场（每座机场含1台无人机）</w:t>
            </w:r>
          </w:p>
        </w:tc>
        <w:tc>
          <w:tcPr>
            <w:tcW w:w="6204" w:type="dxa"/>
            <w:noWrap w:val="0"/>
            <w:vAlign w:val="top"/>
          </w:tcPr>
          <w:p w14:paraId="6BEE2E66">
            <w:pPr>
              <w:spacing w:line="360" w:lineRule="auto"/>
              <w:jc w:val="left"/>
              <w:rPr>
                <w:color w:val="auto"/>
                <w:szCs w:val="21"/>
                <w:highlight w:val="none"/>
              </w:rPr>
            </w:pPr>
            <w:r>
              <w:rPr>
                <w:color w:val="auto"/>
                <w:szCs w:val="21"/>
                <w:highlight w:val="none"/>
              </w:rPr>
              <w:t>技术资料、验收资料、合格证、使用说明及维护手册等</w:t>
            </w:r>
          </w:p>
        </w:tc>
      </w:tr>
      <w:tr w14:paraId="1A67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25F8A8C7">
            <w:pPr>
              <w:spacing w:line="360" w:lineRule="auto"/>
              <w:jc w:val="center"/>
              <w:rPr>
                <w:color w:val="auto"/>
                <w:szCs w:val="21"/>
                <w:highlight w:val="none"/>
              </w:rPr>
            </w:pPr>
            <w:r>
              <w:rPr>
                <w:color w:val="auto"/>
                <w:szCs w:val="21"/>
                <w:highlight w:val="none"/>
              </w:rPr>
              <w:t>8</w:t>
            </w:r>
          </w:p>
        </w:tc>
        <w:tc>
          <w:tcPr>
            <w:tcW w:w="2438" w:type="dxa"/>
            <w:noWrap w:val="0"/>
            <w:vAlign w:val="top"/>
          </w:tcPr>
          <w:p w14:paraId="62212497">
            <w:pPr>
              <w:spacing w:line="360" w:lineRule="auto"/>
              <w:jc w:val="center"/>
              <w:rPr>
                <w:color w:val="auto"/>
                <w:szCs w:val="21"/>
                <w:highlight w:val="none"/>
              </w:rPr>
            </w:pPr>
            <w:r>
              <w:rPr>
                <w:color w:val="auto"/>
                <w:szCs w:val="21"/>
                <w:highlight w:val="none"/>
              </w:rPr>
              <w:t>巡检手动终端</w:t>
            </w:r>
          </w:p>
        </w:tc>
        <w:tc>
          <w:tcPr>
            <w:tcW w:w="6204" w:type="dxa"/>
            <w:noWrap w:val="0"/>
            <w:vAlign w:val="top"/>
          </w:tcPr>
          <w:p w14:paraId="7BABB4A1">
            <w:pPr>
              <w:spacing w:line="360" w:lineRule="auto"/>
              <w:jc w:val="left"/>
              <w:rPr>
                <w:color w:val="auto"/>
                <w:szCs w:val="21"/>
                <w:highlight w:val="none"/>
              </w:rPr>
            </w:pPr>
            <w:r>
              <w:rPr>
                <w:color w:val="auto"/>
                <w:szCs w:val="21"/>
                <w:highlight w:val="none"/>
              </w:rPr>
              <w:t>合格证及操作说明等</w:t>
            </w:r>
          </w:p>
        </w:tc>
      </w:tr>
      <w:tr w14:paraId="4DF7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1C14A7CB">
            <w:pPr>
              <w:spacing w:line="360" w:lineRule="auto"/>
              <w:jc w:val="center"/>
              <w:rPr>
                <w:color w:val="auto"/>
                <w:szCs w:val="21"/>
                <w:highlight w:val="none"/>
              </w:rPr>
            </w:pPr>
            <w:r>
              <w:rPr>
                <w:color w:val="auto"/>
                <w:szCs w:val="21"/>
                <w:highlight w:val="none"/>
              </w:rPr>
              <w:t>9</w:t>
            </w:r>
          </w:p>
        </w:tc>
        <w:tc>
          <w:tcPr>
            <w:tcW w:w="2438" w:type="dxa"/>
            <w:noWrap w:val="0"/>
            <w:vAlign w:val="top"/>
          </w:tcPr>
          <w:p w14:paraId="1BCFB8BD">
            <w:pPr>
              <w:spacing w:line="360" w:lineRule="auto"/>
              <w:jc w:val="center"/>
              <w:rPr>
                <w:rFonts w:hint="eastAsia" w:eastAsia="宋体"/>
                <w:color w:val="auto"/>
                <w:szCs w:val="21"/>
                <w:highlight w:val="none"/>
                <w:lang w:eastAsia="zh-CN"/>
              </w:rPr>
            </w:pPr>
            <w:r>
              <w:rPr>
                <w:rFonts w:hint="eastAsia" w:eastAsia="宋体"/>
                <w:color w:val="auto"/>
                <w:szCs w:val="21"/>
                <w:highlight w:val="none"/>
                <w:lang w:eastAsia="zh-CN"/>
              </w:rPr>
              <w:t>巡查电动自行车</w:t>
            </w:r>
          </w:p>
        </w:tc>
        <w:tc>
          <w:tcPr>
            <w:tcW w:w="6204" w:type="dxa"/>
            <w:noWrap w:val="0"/>
            <w:vAlign w:val="top"/>
          </w:tcPr>
          <w:p w14:paraId="284D0775">
            <w:pPr>
              <w:spacing w:line="360" w:lineRule="auto"/>
              <w:jc w:val="left"/>
              <w:rPr>
                <w:color w:val="auto"/>
                <w:szCs w:val="21"/>
                <w:highlight w:val="none"/>
              </w:rPr>
            </w:pPr>
            <w:r>
              <w:rPr>
                <w:color w:val="auto"/>
                <w:szCs w:val="21"/>
                <w:highlight w:val="none"/>
              </w:rPr>
              <w:t>合格证及使用说明等。</w:t>
            </w:r>
          </w:p>
        </w:tc>
      </w:tr>
    </w:tbl>
    <w:p w14:paraId="5602E0CF">
      <w:pPr>
        <w:spacing w:line="360" w:lineRule="auto"/>
        <w:ind w:firstLine="560" w:firstLineChars="200"/>
        <w:jc w:val="left"/>
        <w:rPr>
          <w:color w:val="auto"/>
          <w:sz w:val="28"/>
          <w:szCs w:val="28"/>
          <w:highlight w:val="none"/>
        </w:rPr>
      </w:pPr>
      <w:r>
        <w:rPr>
          <w:color w:val="auto"/>
          <w:sz w:val="28"/>
          <w:szCs w:val="28"/>
          <w:highlight w:val="none"/>
        </w:rPr>
        <w:t>6）《系统安装与配置报告》需包括但不限于如下内容：项目实施中涉及的服务器操作系统安装、集群安装配置、负载均衡策略配置；各子模块软、硬件安装要求，安装环境、软件名称、软件版本、安装步骤、安装图示，常见问题指南等；系统正确安装的确认，包括通过检查相关配置文件、数据库视图或执行相关操作以验证安装的各模块运行正常。</w:t>
      </w:r>
    </w:p>
    <w:p w14:paraId="39495EA1">
      <w:pPr>
        <w:spacing w:line="360" w:lineRule="auto"/>
        <w:ind w:firstLine="560" w:firstLineChars="200"/>
        <w:jc w:val="left"/>
        <w:rPr>
          <w:color w:val="auto"/>
          <w:sz w:val="28"/>
          <w:szCs w:val="28"/>
          <w:highlight w:val="none"/>
        </w:rPr>
      </w:pPr>
      <w:r>
        <w:rPr>
          <w:color w:val="auto"/>
          <w:sz w:val="28"/>
          <w:szCs w:val="28"/>
          <w:highlight w:val="none"/>
        </w:rPr>
        <w:t>7）《管理员使用说明书》需包括但不限于如下内容：说明系统所依赖的软件环境、系统依赖的服务及访问端口、服务的主要功能作用、系统的目录结构、文件及报表的存放路径；提供系统口令、数据库口令、系统服务器主机名、IP、数据库名称和系统配置文件的修改说明；系统覆盖操作：将正式环境的数据库、应用文件等最新数据更新到测试环境，达到正式环境和测试环境同步的操作。系统备份和恢复的策略、方法和操作步骤。</w:t>
      </w:r>
    </w:p>
    <w:p w14:paraId="5B377E6B">
      <w:pPr>
        <w:spacing w:line="360" w:lineRule="auto"/>
        <w:ind w:firstLine="560" w:firstLineChars="200"/>
        <w:jc w:val="left"/>
        <w:rPr>
          <w:color w:val="auto"/>
          <w:sz w:val="28"/>
          <w:szCs w:val="28"/>
          <w:highlight w:val="none"/>
        </w:rPr>
      </w:pPr>
      <w:r>
        <w:rPr>
          <w:color w:val="auto"/>
          <w:sz w:val="28"/>
          <w:szCs w:val="28"/>
          <w:highlight w:val="none"/>
        </w:rPr>
        <w:t>8）项目的主要交付文件应以中文书写，必须符合通用格式标准，包括但不限于以下内容：</w:t>
      </w:r>
    </w:p>
    <w:tbl>
      <w:tblPr>
        <w:tblStyle w:val="21"/>
        <w:tblW w:w="4974" w:type="pct"/>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2361"/>
        <w:gridCol w:w="6598"/>
      </w:tblGrid>
      <w:tr w14:paraId="051D338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795" w:type="dxa"/>
            <w:shd w:val="clear" w:color="auto" w:fill="FFFFFF"/>
            <w:noWrap w:val="0"/>
            <w:vAlign w:val="center"/>
          </w:tcPr>
          <w:p w14:paraId="3D6D71D3">
            <w:pPr>
              <w:adjustRightInd w:val="0"/>
              <w:spacing w:line="320" w:lineRule="exact"/>
              <w:jc w:val="center"/>
              <w:textAlignment w:val="baseline"/>
              <w:rPr>
                <w:b/>
                <w:bCs/>
                <w:color w:val="auto"/>
                <w:szCs w:val="21"/>
                <w:highlight w:val="none"/>
              </w:rPr>
            </w:pPr>
            <w:r>
              <w:rPr>
                <w:b/>
                <w:bCs/>
                <w:color w:val="auto"/>
                <w:szCs w:val="21"/>
                <w:highlight w:val="none"/>
              </w:rPr>
              <w:t>序号</w:t>
            </w:r>
          </w:p>
        </w:tc>
        <w:tc>
          <w:tcPr>
            <w:tcW w:w="2225" w:type="dxa"/>
            <w:shd w:val="clear" w:color="auto" w:fill="FFFFFF"/>
            <w:noWrap w:val="0"/>
            <w:vAlign w:val="center"/>
          </w:tcPr>
          <w:p w14:paraId="54790161">
            <w:pPr>
              <w:adjustRightInd w:val="0"/>
              <w:spacing w:line="320" w:lineRule="exact"/>
              <w:ind w:firstLine="422" w:firstLineChars="200"/>
              <w:textAlignment w:val="baseline"/>
              <w:rPr>
                <w:b/>
                <w:bCs/>
                <w:color w:val="auto"/>
                <w:szCs w:val="21"/>
                <w:highlight w:val="none"/>
              </w:rPr>
            </w:pPr>
            <w:r>
              <w:rPr>
                <w:b/>
                <w:bCs/>
                <w:color w:val="auto"/>
                <w:szCs w:val="21"/>
                <w:highlight w:val="none"/>
              </w:rPr>
              <w:t>项目阶段</w:t>
            </w:r>
          </w:p>
        </w:tc>
        <w:tc>
          <w:tcPr>
            <w:tcW w:w="6218" w:type="dxa"/>
            <w:shd w:val="clear" w:color="auto" w:fill="FFFFFF"/>
            <w:noWrap w:val="0"/>
            <w:vAlign w:val="center"/>
          </w:tcPr>
          <w:p w14:paraId="6CB3D967">
            <w:pPr>
              <w:adjustRightInd w:val="0"/>
              <w:spacing w:line="320" w:lineRule="exact"/>
              <w:ind w:firstLine="422" w:firstLineChars="200"/>
              <w:jc w:val="center"/>
              <w:textAlignment w:val="baseline"/>
              <w:rPr>
                <w:b/>
                <w:bCs/>
                <w:color w:val="auto"/>
                <w:szCs w:val="21"/>
                <w:highlight w:val="none"/>
              </w:rPr>
            </w:pPr>
            <w:r>
              <w:rPr>
                <w:b/>
                <w:bCs/>
                <w:color w:val="auto"/>
                <w:szCs w:val="21"/>
                <w:highlight w:val="none"/>
              </w:rPr>
              <w:t>项目成果</w:t>
            </w:r>
          </w:p>
        </w:tc>
      </w:tr>
      <w:tr w14:paraId="0F6A144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795" w:type="dxa"/>
            <w:noWrap w:val="0"/>
            <w:vAlign w:val="center"/>
          </w:tcPr>
          <w:p w14:paraId="2A402A09">
            <w:pPr>
              <w:spacing w:line="320" w:lineRule="exact"/>
              <w:jc w:val="center"/>
              <w:rPr>
                <w:color w:val="auto"/>
                <w:szCs w:val="21"/>
                <w:highlight w:val="none"/>
              </w:rPr>
            </w:pPr>
            <w:r>
              <w:rPr>
                <w:color w:val="auto"/>
                <w:szCs w:val="21"/>
                <w:highlight w:val="none"/>
              </w:rPr>
              <w:t>1</w:t>
            </w:r>
          </w:p>
        </w:tc>
        <w:tc>
          <w:tcPr>
            <w:tcW w:w="2225" w:type="dxa"/>
            <w:noWrap w:val="0"/>
            <w:vAlign w:val="center"/>
          </w:tcPr>
          <w:p w14:paraId="092CE2E3">
            <w:pPr>
              <w:spacing w:line="320" w:lineRule="exact"/>
              <w:ind w:firstLine="420" w:firstLineChars="200"/>
              <w:jc w:val="center"/>
              <w:rPr>
                <w:color w:val="auto"/>
                <w:szCs w:val="21"/>
                <w:highlight w:val="none"/>
              </w:rPr>
            </w:pPr>
            <w:r>
              <w:rPr>
                <w:color w:val="auto"/>
                <w:szCs w:val="21"/>
                <w:highlight w:val="none"/>
              </w:rPr>
              <w:t>项目启动</w:t>
            </w:r>
          </w:p>
        </w:tc>
        <w:tc>
          <w:tcPr>
            <w:tcW w:w="6218" w:type="dxa"/>
            <w:noWrap w:val="0"/>
            <w:vAlign w:val="center"/>
          </w:tcPr>
          <w:p w14:paraId="6942E6FA">
            <w:pPr>
              <w:spacing w:line="320" w:lineRule="exact"/>
              <w:jc w:val="left"/>
              <w:rPr>
                <w:color w:val="auto"/>
                <w:szCs w:val="21"/>
                <w:highlight w:val="none"/>
              </w:rPr>
            </w:pPr>
            <w:r>
              <w:rPr>
                <w:color w:val="auto"/>
                <w:szCs w:val="21"/>
                <w:highlight w:val="none"/>
              </w:rPr>
              <w:t>《项目管理工作说明书》</w:t>
            </w:r>
          </w:p>
        </w:tc>
      </w:tr>
      <w:tr w14:paraId="7261722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95" w:type="dxa"/>
            <w:noWrap w:val="0"/>
            <w:vAlign w:val="center"/>
          </w:tcPr>
          <w:p w14:paraId="16A2810A">
            <w:pPr>
              <w:spacing w:line="320" w:lineRule="exact"/>
              <w:jc w:val="center"/>
              <w:rPr>
                <w:color w:val="auto"/>
                <w:szCs w:val="21"/>
                <w:highlight w:val="none"/>
              </w:rPr>
            </w:pPr>
            <w:r>
              <w:rPr>
                <w:color w:val="auto"/>
                <w:szCs w:val="21"/>
                <w:highlight w:val="none"/>
              </w:rPr>
              <w:t>2</w:t>
            </w:r>
          </w:p>
        </w:tc>
        <w:tc>
          <w:tcPr>
            <w:tcW w:w="2225" w:type="dxa"/>
            <w:noWrap w:val="0"/>
            <w:vAlign w:val="center"/>
          </w:tcPr>
          <w:p w14:paraId="420D6567">
            <w:pPr>
              <w:spacing w:line="320" w:lineRule="exact"/>
              <w:jc w:val="center"/>
              <w:rPr>
                <w:color w:val="auto"/>
                <w:szCs w:val="21"/>
                <w:highlight w:val="none"/>
              </w:rPr>
            </w:pPr>
            <w:r>
              <w:rPr>
                <w:color w:val="auto"/>
                <w:szCs w:val="21"/>
                <w:highlight w:val="none"/>
              </w:rPr>
              <w:t>业务咨询及需求调研</w:t>
            </w:r>
          </w:p>
        </w:tc>
        <w:tc>
          <w:tcPr>
            <w:tcW w:w="6218" w:type="dxa"/>
            <w:noWrap w:val="0"/>
            <w:vAlign w:val="top"/>
          </w:tcPr>
          <w:p w14:paraId="678EFD26">
            <w:pPr>
              <w:pStyle w:val="32"/>
              <w:spacing w:line="320" w:lineRule="exact"/>
              <w:jc w:val="left"/>
              <w:rPr>
                <w:rFonts w:ascii="Times New Roman" w:hAnsi="Times New Roman"/>
                <w:color w:val="auto"/>
                <w:sz w:val="21"/>
                <w:szCs w:val="21"/>
                <w:highlight w:val="none"/>
              </w:rPr>
            </w:pPr>
            <w:r>
              <w:rPr>
                <w:rFonts w:ascii="Times New Roman" w:hAnsi="Times New Roman"/>
                <w:color w:val="auto"/>
                <w:sz w:val="21"/>
                <w:szCs w:val="21"/>
                <w:highlight w:val="none"/>
              </w:rPr>
              <w:t>《业务调研与需求分析报告》《项目需求管理列表》</w:t>
            </w:r>
          </w:p>
        </w:tc>
      </w:tr>
      <w:tr w14:paraId="0179581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795" w:type="dxa"/>
            <w:noWrap w:val="0"/>
            <w:vAlign w:val="center"/>
          </w:tcPr>
          <w:p w14:paraId="3E292E4A">
            <w:pPr>
              <w:spacing w:line="320" w:lineRule="exact"/>
              <w:jc w:val="center"/>
              <w:rPr>
                <w:color w:val="auto"/>
                <w:szCs w:val="21"/>
                <w:highlight w:val="none"/>
              </w:rPr>
            </w:pPr>
            <w:r>
              <w:rPr>
                <w:color w:val="auto"/>
                <w:szCs w:val="21"/>
                <w:highlight w:val="none"/>
              </w:rPr>
              <w:t>3</w:t>
            </w:r>
          </w:p>
        </w:tc>
        <w:tc>
          <w:tcPr>
            <w:tcW w:w="2225" w:type="dxa"/>
            <w:noWrap w:val="0"/>
            <w:vAlign w:val="center"/>
          </w:tcPr>
          <w:p w14:paraId="1C5ABE14">
            <w:pPr>
              <w:spacing w:line="320" w:lineRule="exact"/>
              <w:jc w:val="center"/>
              <w:rPr>
                <w:color w:val="auto"/>
                <w:szCs w:val="21"/>
                <w:highlight w:val="none"/>
              </w:rPr>
            </w:pPr>
            <w:r>
              <w:rPr>
                <w:color w:val="auto"/>
                <w:szCs w:val="21"/>
                <w:highlight w:val="none"/>
              </w:rPr>
              <w:t>方案设计</w:t>
            </w:r>
          </w:p>
        </w:tc>
        <w:tc>
          <w:tcPr>
            <w:tcW w:w="6218" w:type="dxa"/>
            <w:noWrap w:val="0"/>
            <w:vAlign w:val="center"/>
          </w:tcPr>
          <w:p w14:paraId="72FE2093">
            <w:pPr>
              <w:pStyle w:val="32"/>
              <w:spacing w:line="320" w:lineRule="exact"/>
              <w:rPr>
                <w:rFonts w:ascii="Times New Roman" w:hAnsi="Times New Roman"/>
                <w:color w:val="auto"/>
                <w:sz w:val="21"/>
                <w:szCs w:val="21"/>
                <w:highlight w:val="none"/>
              </w:rPr>
            </w:pPr>
            <w:r>
              <w:rPr>
                <w:rFonts w:ascii="Times New Roman" w:hAnsi="Times New Roman"/>
                <w:color w:val="auto"/>
                <w:sz w:val="21"/>
                <w:szCs w:val="21"/>
                <w:highlight w:val="none"/>
              </w:rPr>
              <w:t>《项目详细设计方案》</w:t>
            </w:r>
          </w:p>
          <w:p w14:paraId="37C8F189">
            <w:pPr>
              <w:spacing w:line="320" w:lineRule="exact"/>
              <w:jc w:val="left"/>
              <w:rPr>
                <w:color w:val="auto"/>
                <w:szCs w:val="21"/>
                <w:highlight w:val="none"/>
                <w:lang w:val="zh-CN"/>
              </w:rPr>
            </w:pPr>
            <w:r>
              <w:rPr>
                <w:color w:val="auto"/>
                <w:szCs w:val="21"/>
                <w:highlight w:val="none"/>
              </w:rPr>
              <w:t>（包括数据编码规范、管理流程设计、数据库设计等）</w:t>
            </w:r>
          </w:p>
        </w:tc>
      </w:tr>
      <w:tr w14:paraId="7E35C45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795" w:type="dxa"/>
            <w:noWrap w:val="0"/>
            <w:vAlign w:val="center"/>
          </w:tcPr>
          <w:p w14:paraId="549D49CA">
            <w:pPr>
              <w:spacing w:line="320" w:lineRule="exact"/>
              <w:jc w:val="center"/>
              <w:rPr>
                <w:color w:val="auto"/>
                <w:szCs w:val="21"/>
                <w:highlight w:val="none"/>
              </w:rPr>
            </w:pPr>
            <w:r>
              <w:rPr>
                <w:color w:val="auto"/>
                <w:szCs w:val="21"/>
                <w:highlight w:val="none"/>
              </w:rPr>
              <w:t>4</w:t>
            </w:r>
          </w:p>
        </w:tc>
        <w:tc>
          <w:tcPr>
            <w:tcW w:w="2225" w:type="dxa"/>
            <w:noWrap w:val="0"/>
            <w:vAlign w:val="center"/>
          </w:tcPr>
          <w:p w14:paraId="62A6EA4F">
            <w:pPr>
              <w:spacing w:before="120" w:beforeLines="50" w:after="120" w:afterLines="50" w:line="320" w:lineRule="exact"/>
              <w:jc w:val="center"/>
              <w:rPr>
                <w:color w:val="auto"/>
                <w:szCs w:val="21"/>
                <w:highlight w:val="none"/>
              </w:rPr>
            </w:pPr>
            <w:r>
              <w:rPr>
                <w:color w:val="auto"/>
                <w:szCs w:val="21"/>
                <w:highlight w:val="none"/>
              </w:rPr>
              <w:t>开发与集成</w:t>
            </w:r>
          </w:p>
        </w:tc>
        <w:tc>
          <w:tcPr>
            <w:tcW w:w="6218" w:type="dxa"/>
            <w:noWrap w:val="0"/>
            <w:vAlign w:val="top"/>
          </w:tcPr>
          <w:p w14:paraId="34B02B7F">
            <w:pPr>
              <w:pStyle w:val="32"/>
              <w:spacing w:line="320" w:lineRule="exact"/>
              <w:rPr>
                <w:rFonts w:ascii="Times New Roman" w:hAnsi="Times New Roman"/>
                <w:color w:val="auto"/>
                <w:sz w:val="21"/>
                <w:szCs w:val="21"/>
                <w:highlight w:val="none"/>
              </w:rPr>
            </w:pPr>
            <w:r>
              <w:rPr>
                <w:rFonts w:ascii="Times New Roman" w:hAnsi="Times New Roman"/>
                <w:color w:val="auto"/>
                <w:sz w:val="21"/>
                <w:szCs w:val="21"/>
                <w:highlight w:val="none"/>
              </w:rPr>
              <w:t>《系统开发与集成工作报告》《系统应用集成接口开发文档》</w:t>
            </w:r>
          </w:p>
          <w:p w14:paraId="776CFB42">
            <w:pPr>
              <w:pStyle w:val="32"/>
              <w:spacing w:line="320" w:lineRule="exact"/>
              <w:rPr>
                <w:rFonts w:ascii="Times New Roman" w:hAnsi="Times New Roman"/>
                <w:color w:val="auto"/>
                <w:sz w:val="21"/>
                <w:szCs w:val="21"/>
                <w:highlight w:val="none"/>
              </w:rPr>
            </w:pPr>
            <w:r>
              <w:rPr>
                <w:rFonts w:ascii="Times New Roman" w:hAnsi="Times New Roman"/>
                <w:color w:val="auto"/>
                <w:sz w:val="21"/>
                <w:szCs w:val="21"/>
                <w:highlight w:val="none"/>
              </w:rPr>
              <w:t>软件安装包的阶段性发布版、最终发布版</w:t>
            </w:r>
          </w:p>
        </w:tc>
      </w:tr>
      <w:tr w14:paraId="2F21872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795" w:type="dxa"/>
            <w:noWrap w:val="0"/>
            <w:vAlign w:val="center"/>
          </w:tcPr>
          <w:p w14:paraId="029A37D7">
            <w:pPr>
              <w:spacing w:line="320" w:lineRule="exact"/>
              <w:jc w:val="center"/>
              <w:rPr>
                <w:color w:val="auto"/>
                <w:szCs w:val="21"/>
                <w:highlight w:val="none"/>
              </w:rPr>
            </w:pPr>
            <w:r>
              <w:rPr>
                <w:color w:val="auto"/>
                <w:szCs w:val="21"/>
                <w:highlight w:val="none"/>
              </w:rPr>
              <w:t>5</w:t>
            </w:r>
          </w:p>
        </w:tc>
        <w:tc>
          <w:tcPr>
            <w:tcW w:w="2225" w:type="dxa"/>
            <w:noWrap w:val="0"/>
            <w:vAlign w:val="center"/>
          </w:tcPr>
          <w:p w14:paraId="2C065832">
            <w:pPr>
              <w:spacing w:line="320" w:lineRule="exact"/>
              <w:jc w:val="center"/>
              <w:rPr>
                <w:color w:val="auto"/>
                <w:szCs w:val="21"/>
                <w:highlight w:val="none"/>
              </w:rPr>
            </w:pPr>
            <w:r>
              <w:rPr>
                <w:color w:val="auto"/>
                <w:szCs w:val="21"/>
                <w:highlight w:val="none"/>
              </w:rPr>
              <w:t>供货、安装配置</w:t>
            </w:r>
          </w:p>
        </w:tc>
        <w:tc>
          <w:tcPr>
            <w:tcW w:w="6218" w:type="dxa"/>
            <w:noWrap w:val="0"/>
            <w:vAlign w:val="center"/>
          </w:tcPr>
          <w:p w14:paraId="7E6254CB">
            <w:pPr>
              <w:pStyle w:val="32"/>
              <w:spacing w:line="320" w:lineRule="exact"/>
              <w:rPr>
                <w:rFonts w:ascii="Times New Roman" w:hAnsi="Times New Roman"/>
                <w:color w:val="auto"/>
                <w:sz w:val="21"/>
                <w:szCs w:val="21"/>
                <w:highlight w:val="none"/>
              </w:rPr>
            </w:pPr>
            <w:r>
              <w:rPr>
                <w:rFonts w:ascii="Times New Roman" w:hAnsi="Times New Roman"/>
                <w:color w:val="auto"/>
                <w:sz w:val="21"/>
                <w:szCs w:val="21"/>
                <w:highlight w:val="none"/>
              </w:rPr>
              <w:t>《项目硬件产品供货报告》</w:t>
            </w:r>
          </w:p>
          <w:p w14:paraId="0AA88A46">
            <w:pPr>
              <w:pStyle w:val="32"/>
              <w:spacing w:line="320" w:lineRule="exact"/>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《项目软件产品供货报告》</w:t>
            </w:r>
            <w:r>
              <w:rPr>
                <w:rFonts w:hint="eastAsia" w:ascii="Times New Roman" w:hAnsi="Times New Roman"/>
                <w:color w:val="auto"/>
                <w:sz w:val="21"/>
                <w:szCs w:val="21"/>
                <w:highlight w:val="none"/>
                <w:lang w:eastAsia="zh-CN"/>
              </w:rPr>
              <w:t>（如有）</w:t>
            </w:r>
          </w:p>
          <w:p w14:paraId="3C097F2E">
            <w:pPr>
              <w:spacing w:line="320" w:lineRule="exact"/>
              <w:jc w:val="left"/>
              <w:rPr>
                <w:color w:val="auto"/>
                <w:highlight w:val="none"/>
                <w:lang w:val="zh-CN"/>
              </w:rPr>
            </w:pPr>
            <w:r>
              <w:rPr>
                <w:color w:val="auto"/>
                <w:szCs w:val="21"/>
                <w:highlight w:val="none"/>
              </w:rPr>
              <w:t>《系统安装与配置报告》《管理员使用说明书》</w:t>
            </w:r>
          </w:p>
        </w:tc>
      </w:tr>
      <w:tr w14:paraId="388D115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795" w:type="dxa"/>
            <w:noWrap w:val="0"/>
            <w:vAlign w:val="center"/>
          </w:tcPr>
          <w:p w14:paraId="7DD5BAFB">
            <w:pPr>
              <w:spacing w:line="320" w:lineRule="exact"/>
              <w:jc w:val="center"/>
              <w:rPr>
                <w:color w:val="auto"/>
                <w:szCs w:val="21"/>
                <w:highlight w:val="none"/>
              </w:rPr>
            </w:pPr>
            <w:r>
              <w:rPr>
                <w:color w:val="auto"/>
                <w:szCs w:val="21"/>
                <w:highlight w:val="none"/>
              </w:rPr>
              <w:t>6</w:t>
            </w:r>
          </w:p>
        </w:tc>
        <w:tc>
          <w:tcPr>
            <w:tcW w:w="2225" w:type="dxa"/>
            <w:noWrap w:val="0"/>
            <w:vAlign w:val="center"/>
          </w:tcPr>
          <w:p w14:paraId="086AE00B">
            <w:pPr>
              <w:spacing w:line="320" w:lineRule="exact"/>
              <w:jc w:val="center"/>
              <w:rPr>
                <w:color w:val="auto"/>
                <w:szCs w:val="21"/>
                <w:highlight w:val="none"/>
              </w:rPr>
            </w:pPr>
            <w:r>
              <w:rPr>
                <w:color w:val="auto"/>
                <w:szCs w:val="21"/>
                <w:highlight w:val="none"/>
              </w:rPr>
              <w:t>测试与联调</w:t>
            </w:r>
          </w:p>
        </w:tc>
        <w:tc>
          <w:tcPr>
            <w:tcW w:w="6218" w:type="dxa"/>
            <w:noWrap w:val="0"/>
            <w:vAlign w:val="center"/>
          </w:tcPr>
          <w:p w14:paraId="2AE4E0A6">
            <w:pPr>
              <w:pStyle w:val="32"/>
              <w:spacing w:line="320" w:lineRule="exact"/>
              <w:rPr>
                <w:rFonts w:ascii="Times New Roman" w:hAnsi="Times New Roman"/>
                <w:color w:val="auto"/>
                <w:sz w:val="21"/>
                <w:szCs w:val="21"/>
                <w:highlight w:val="none"/>
              </w:rPr>
            </w:pPr>
            <w:r>
              <w:rPr>
                <w:rFonts w:ascii="Times New Roman" w:hAnsi="Times New Roman"/>
                <w:color w:val="auto"/>
                <w:sz w:val="21"/>
                <w:szCs w:val="21"/>
                <w:highlight w:val="none"/>
              </w:rPr>
              <w:t>《系统联调测试报告》《用户确认测试报告》《第三方测评报告》</w:t>
            </w:r>
          </w:p>
        </w:tc>
      </w:tr>
      <w:tr w14:paraId="77AD702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795" w:type="dxa"/>
            <w:noWrap w:val="0"/>
            <w:vAlign w:val="center"/>
          </w:tcPr>
          <w:p w14:paraId="1C7D5735">
            <w:pPr>
              <w:spacing w:line="320" w:lineRule="exact"/>
              <w:jc w:val="center"/>
              <w:rPr>
                <w:color w:val="auto"/>
                <w:szCs w:val="21"/>
                <w:highlight w:val="none"/>
              </w:rPr>
            </w:pPr>
            <w:r>
              <w:rPr>
                <w:color w:val="auto"/>
                <w:szCs w:val="21"/>
                <w:highlight w:val="none"/>
              </w:rPr>
              <w:t>7</w:t>
            </w:r>
          </w:p>
        </w:tc>
        <w:tc>
          <w:tcPr>
            <w:tcW w:w="2225" w:type="dxa"/>
            <w:noWrap w:val="0"/>
            <w:vAlign w:val="center"/>
          </w:tcPr>
          <w:p w14:paraId="735CEC37">
            <w:pPr>
              <w:spacing w:line="320" w:lineRule="exact"/>
              <w:jc w:val="center"/>
              <w:rPr>
                <w:color w:val="auto"/>
                <w:szCs w:val="21"/>
                <w:highlight w:val="none"/>
              </w:rPr>
            </w:pPr>
            <w:r>
              <w:rPr>
                <w:color w:val="auto"/>
                <w:szCs w:val="21"/>
                <w:highlight w:val="none"/>
              </w:rPr>
              <w:t>系统初始化</w:t>
            </w:r>
          </w:p>
        </w:tc>
        <w:tc>
          <w:tcPr>
            <w:tcW w:w="6218" w:type="dxa"/>
            <w:noWrap w:val="0"/>
            <w:vAlign w:val="center"/>
          </w:tcPr>
          <w:p w14:paraId="708138B8">
            <w:pPr>
              <w:spacing w:line="320" w:lineRule="exact"/>
              <w:jc w:val="left"/>
              <w:rPr>
                <w:color w:val="auto"/>
                <w:szCs w:val="21"/>
                <w:highlight w:val="none"/>
              </w:rPr>
            </w:pPr>
            <w:r>
              <w:rPr>
                <w:color w:val="auto"/>
                <w:szCs w:val="21"/>
                <w:highlight w:val="none"/>
              </w:rPr>
              <w:t>《系统初始化报告》</w:t>
            </w:r>
          </w:p>
        </w:tc>
      </w:tr>
      <w:tr w14:paraId="48302F4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534" w:hRule="atLeast"/>
          <w:jc w:val="center"/>
        </w:trPr>
        <w:tc>
          <w:tcPr>
            <w:tcW w:w="795" w:type="dxa"/>
            <w:noWrap w:val="0"/>
            <w:vAlign w:val="center"/>
          </w:tcPr>
          <w:p w14:paraId="74B40F11">
            <w:pPr>
              <w:spacing w:line="320" w:lineRule="exact"/>
              <w:jc w:val="center"/>
              <w:rPr>
                <w:color w:val="auto"/>
                <w:szCs w:val="21"/>
                <w:highlight w:val="none"/>
              </w:rPr>
            </w:pPr>
            <w:r>
              <w:rPr>
                <w:color w:val="auto"/>
                <w:szCs w:val="21"/>
                <w:highlight w:val="none"/>
              </w:rPr>
              <w:t>8</w:t>
            </w:r>
          </w:p>
        </w:tc>
        <w:tc>
          <w:tcPr>
            <w:tcW w:w="2225" w:type="dxa"/>
            <w:noWrap w:val="0"/>
            <w:vAlign w:val="center"/>
          </w:tcPr>
          <w:p w14:paraId="2B686D6A">
            <w:pPr>
              <w:spacing w:line="320" w:lineRule="exact"/>
              <w:jc w:val="center"/>
              <w:rPr>
                <w:color w:val="auto"/>
                <w:szCs w:val="21"/>
                <w:highlight w:val="none"/>
              </w:rPr>
            </w:pPr>
            <w:r>
              <w:rPr>
                <w:color w:val="auto"/>
                <w:szCs w:val="21"/>
                <w:highlight w:val="none"/>
              </w:rPr>
              <w:t>上线试运行/初步验收</w:t>
            </w:r>
          </w:p>
        </w:tc>
        <w:tc>
          <w:tcPr>
            <w:tcW w:w="6218" w:type="dxa"/>
            <w:noWrap w:val="0"/>
            <w:vAlign w:val="center"/>
          </w:tcPr>
          <w:p w14:paraId="5100505F">
            <w:pPr>
              <w:pStyle w:val="32"/>
              <w:spacing w:line="320" w:lineRule="exact"/>
              <w:rPr>
                <w:rFonts w:ascii="Times New Roman" w:hAnsi="Times New Roman"/>
                <w:color w:val="auto"/>
                <w:sz w:val="21"/>
                <w:szCs w:val="21"/>
                <w:highlight w:val="none"/>
              </w:rPr>
            </w:pPr>
            <w:r>
              <w:rPr>
                <w:rFonts w:ascii="Times New Roman" w:hAnsi="Times New Roman"/>
                <w:color w:val="auto"/>
                <w:sz w:val="21"/>
                <w:szCs w:val="21"/>
                <w:highlight w:val="none"/>
              </w:rPr>
              <w:t>《用户使用说明书》《系统上线试运行报告》</w:t>
            </w:r>
          </w:p>
          <w:p w14:paraId="3FB65297">
            <w:pPr>
              <w:pStyle w:val="32"/>
              <w:spacing w:line="320" w:lineRule="exact"/>
              <w:rPr>
                <w:rFonts w:ascii="Times New Roman" w:hAnsi="Times New Roman"/>
                <w:color w:val="auto"/>
                <w:sz w:val="21"/>
                <w:szCs w:val="21"/>
                <w:highlight w:val="none"/>
              </w:rPr>
            </w:pPr>
            <w:r>
              <w:rPr>
                <w:rFonts w:ascii="Times New Roman" w:hAnsi="Times New Roman"/>
                <w:color w:val="auto"/>
                <w:sz w:val="21"/>
                <w:szCs w:val="21"/>
                <w:highlight w:val="none"/>
              </w:rPr>
              <w:t>《运维移交报告（手册）》《项目初步验收报告》</w:t>
            </w:r>
          </w:p>
          <w:p w14:paraId="7860FB52">
            <w:pPr>
              <w:spacing w:line="320" w:lineRule="exact"/>
              <w:jc w:val="left"/>
              <w:rPr>
                <w:color w:val="auto"/>
                <w:szCs w:val="21"/>
                <w:highlight w:val="none"/>
              </w:rPr>
            </w:pPr>
            <w:r>
              <w:rPr>
                <w:color w:val="auto"/>
                <w:szCs w:val="21"/>
                <w:highlight w:val="none"/>
              </w:rPr>
              <w:t>要求的其他管理规范、数据标准、技术标准、集成SDK文档、软件授权书等。</w:t>
            </w:r>
          </w:p>
        </w:tc>
      </w:tr>
      <w:tr w14:paraId="5DB1CD1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795" w:type="dxa"/>
            <w:noWrap w:val="0"/>
            <w:vAlign w:val="center"/>
          </w:tcPr>
          <w:p w14:paraId="02486B8D">
            <w:pPr>
              <w:spacing w:line="320" w:lineRule="exact"/>
              <w:jc w:val="center"/>
              <w:rPr>
                <w:color w:val="auto"/>
                <w:szCs w:val="21"/>
                <w:highlight w:val="none"/>
              </w:rPr>
            </w:pPr>
            <w:r>
              <w:rPr>
                <w:color w:val="auto"/>
                <w:szCs w:val="21"/>
                <w:highlight w:val="none"/>
              </w:rPr>
              <w:t>9</w:t>
            </w:r>
          </w:p>
        </w:tc>
        <w:tc>
          <w:tcPr>
            <w:tcW w:w="2225" w:type="dxa"/>
            <w:noWrap w:val="0"/>
            <w:vAlign w:val="center"/>
          </w:tcPr>
          <w:p w14:paraId="7221C1F2">
            <w:pPr>
              <w:spacing w:before="120" w:beforeLines="50" w:after="120" w:afterLines="50" w:line="320" w:lineRule="exact"/>
              <w:jc w:val="center"/>
              <w:rPr>
                <w:color w:val="auto"/>
                <w:szCs w:val="21"/>
                <w:highlight w:val="none"/>
              </w:rPr>
            </w:pPr>
            <w:r>
              <w:rPr>
                <w:color w:val="auto"/>
                <w:szCs w:val="21"/>
                <w:highlight w:val="none"/>
              </w:rPr>
              <w:t>系统维护</w:t>
            </w:r>
          </w:p>
        </w:tc>
        <w:tc>
          <w:tcPr>
            <w:tcW w:w="6218" w:type="dxa"/>
            <w:noWrap w:val="0"/>
            <w:vAlign w:val="center"/>
          </w:tcPr>
          <w:p w14:paraId="40CE0F8E">
            <w:pPr>
              <w:pStyle w:val="32"/>
              <w:spacing w:line="320" w:lineRule="exact"/>
              <w:rPr>
                <w:rFonts w:ascii="Times New Roman" w:hAnsi="Times New Roman"/>
                <w:color w:val="auto"/>
                <w:sz w:val="21"/>
                <w:szCs w:val="21"/>
                <w:highlight w:val="none"/>
              </w:rPr>
            </w:pPr>
            <w:r>
              <w:rPr>
                <w:rFonts w:ascii="Times New Roman" w:hAnsi="Times New Roman"/>
                <w:color w:val="auto"/>
                <w:sz w:val="21"/>
                <w:szCs w:val="21"/>
                <w:highlight w:val="none"/>
              </w:rPr>
              <w:t>《系统运维报告》《系统应用培训手册》</w:t>
            </w:r>
          </w:p>
        </w:tc>
      </w:tr>
      <w:tr w14:paraId="6FE56B7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95" w:type="dxa"/>
            <w:noWrap w:val="0"/>
            <w:vAlign w:val="center"/>
          </w:tcPr>
          <w:p w14:paraId="635722B7">
            <w:pPr>
              <w:spacing w:line="320" w:lineRule="exact"/>
              <w:ind w:firstLine="210" w:firstLineChars="100"/>
              <w:jc w:val="left"/>
              <w:rPr>
                <w:color w:val="auto"/>
                <w:szCs w:val="21"/>
                <w:highlight w:val="none"/>
              </w:rPr>
            </w:pPr>
            <w:r>
              <w:rPr>
                <w:color w:val="auto"/>
                <w:szCs w:val="21"/>
                <w:highlight w:val="none"/>
              </w:rPr>
              <w:t>10</w:t>
            </w:r>
          </w:p>
        </w:tc>
        <w:tc>
          <w:tcPr>
            <w:tcW w:w="2225" w:type="dxa"/>
            <w:noWrap w:val="0"/>
            <w:vAlign w:val="center"/>
          </w:tcPr>
          <w:p w14:paraId="03FD8A6C">
            <w:pPr>
              <w:spacing w:line="320" w:lineRule="exact"/>
              <w:jc w:val="center"/>
              <w:rPr>
                <w:color w:val="auto"/>
                <w:szCs w:val="21"/>
                <w:highlight w:val="none"/>
              </w:rPr>
            </w:pPr>
            <w:r>
              <w:rPr>
                <w:color w:val="auto"/>
                <w:szCs w:val="21"/>
                <w:highlight w:val="none"/>
              </w:rPr>
              <w:t>项目最终验收</w:t>
            </w:r>
          </w:p>
        </w:tc>
        <w:tc>
          <w:tcPr>
            <w:tcW w:w="6218" w:type="dxa"/>
            <w:noWrap w:val="0"/>
            <w:vAlign w:val="center"/>
          </w:tcPr>
          <w:p w14:paraId="1A40BE0C">
            <w:pPr>
              <w:spacing w:line="320" w:lineRule="exact"/>
              <w:jc w:val="left"/>
              <w:rPr>
                <w:color w:val="auto"/>
                <w:szCs w:val="21"/>
                <w:highlight w:val="none"/>
              </w:rPr>
            </w:pPr>
            <w:r>
              <w:rPr>
                <w:color w:val="auto"/>
                <w:szCs w:val="21"/>
                <w:highlight w:val="none"/>
              </w:rPr>
              <w:t>《项目最终验收报告》</w:t>
            </w:r>
          </w:p>
        </w:tc>
      </w:tr>
    </w:tbl>
    <w:p w14:paraId="786B5A36">
      <w:pPr>
        <w:spacing w:line="360" w:lineRule="auto"/>
        <w:outlineLvl w:val="0"/>
        <w:rPr>
          <w:b/>
          <w:bCs/>
          <w:color w:val="auto"/>
          <w:sz w:val="28"/>
          <w:szCs w:val="28"/>
          <w:highlight w:val="none"/>
        </w:rPr>
      </w:pPr>
      <w:bookmarkStart w:id="1339" w:name="_Toc18036"/>
      <w:bookmarkStart w:id="1340" w:name="_Toc25279"/>
      <w:bookmarkStart w:id="1341" w:name="_Toc2024"/>
      <w:bookmarkStart w:id="1342" w:name="_Toc4633"/>
      <w:bookmarkStart w:id="1343" w:name="_Toc2097"/>
      <w:bookmarkStart w:id="1344" w:name="_Toc30795"/>
      <w:bookmarkStart w:id="1345" w:name="_Toc11736"/>
      <w:r>
        <w:rPr>
          <w:b/>
          <w:bCs/>
          <w:color w:val="auto"/>
          <w:sz w:val="28"/>
          <w:szCs w:val="28"/>
          <w:highlight w:val="none"/>
        </w:rPr>
        <w:t>11项目总体进度计划</w:t>
      </w:r>
      <w:bookmarkEnd w:id="1339"/>
      <w:bookmarkEnd w:id="1340"/>
      <w:bookmarkEnd w:id="1341"/>
      <w:bookmarkEnd w:id="1342"/>
      <w:bookmarkEnd w:id="1343"/>
      <w:bookmarkEnd w:id="1344"/>
      <w:bookmarkEnd w:id="1345"/>
    </w:p>
    <w:p w14:paraId="68DD88C0">
      <w:pPr>
        <w:spacing w:line="360" w:lineRule="auto"/>
        <w:ind w:firstLine="560" w:firstLineChars="200"/>
        <w:jc w:val="left"/>
        <w:rPr>
          <w:color w:val="auto"/>
          <w:sz w:val="28"/>
          <w:szCs w:val="28"/>
          <w:highlight w:val="none"/>
        </w:rPr>
      </w:pPr>
      <w:r>
        <w:rPr>
          <w:color w:val="auto"/>
          <w:sz w:val="28"/>
          <w:szCs w:val="28"/>
          <w:highlight w:val="none"/>
        </w:rPr>
        <w:t>项目</w:t>
      </w:r>
      <w:r>
        <w:rPr>
          <w:rFonts w:hint="eastAsia"/>
          <w:color w:val="auto"/>
          <w:sz w:val="28"/>
          <w:szCs w:val="28"/>
          <w:highlight w:val="none"/>
        </w:rPr>
        <w:t>合同</w:t>
      </w:r>
      <w:r>
        <w:rPr>
          <w:color w:val="auto"/>
          <w:sz w:val="28"/>
          <w:szCs w:val="28"/>
          <w:highlight w:val="none"/>
        </w:rPr>
        <w:t>签订后</w:t>
      </w:r>
      <w:r>
        <w:rPr>
          <w:rFonts w:hint="eastAsia"/>
          <w:color w:val="auto"/>
          <w:sz w:val="28"/>
          <w:szCs w:val="28"/>
          <w:highlight w:val="none"/>
        </w:rPr>
        <w:t>3</w:t>
      </w:r>
      <w:r>
        <w:rPr>
          <w:color w:val="auto"/>
          <w:sz w:val="28"/>
          <w:szCs w:val="28"/>
          <w:highlight w:val="none"/>
        </w:rPr>
        <w:t>个月内</w:t>
      </w:r>
      <w:r>
        <w:rPr>
          <w:rFonts w:hint="eastAsia"/>
          <w:color w:val="auto"/>
          <w:sz w:val="28"/>
          <w:szCs w:val="28"/>
          <w:highlight w:val="none"/>
        </w:rPr>
        <w:t>无人机自助巡查系统满足使用要求，1号线初期开通运营前地保综合管理</w:t>
      </w:r>
      <w:r>
        <w:rPr>
          <w:color w:val="auto"/>
          <w:sz w:val="28"/>
          <w:szCs w:val="28"/>
          <w:highlight w:val="none"/>
        </w:rPr>
        <w:t>系统建设工作满足使用要求，质保期3年</w:t>
      </w:r>
      <w:r>
        <w:rPr>
          <w:rFonts w:hint="eastAsia"/>
          <w:color w:val="auto"/>
          <w:sz w:val="28"/>
          <w:szCs w:val="28"/>
          <w:highlight w:val="none"/>
        </w:rPr>
        <w:t>，质保期从</w:t>
      </w:r>
      <w:r>
        <w:rPr>
          <w:rFonts w:hint="eastAsia"/>
          <w:color w:val="auto"/>
          <w:sz w:val="28"/>
          <w:szCs w:val="28"/>
          <w:highlight w:val="none"/>
          <w:lang w:val="en-US" w:eastAsia="zh-CN"/>
        </w:rPr>
        <w:t>预</w:t>
      </w:r>
      <w:r>
        <w:rPr>
          <w:rFonts w:hint="eastAsia"/>
          <w:color w:val="auto"/>
          <w:sz w:val="28"/>
          <w:szCs w:val="28"/>
          <w:highlight w:val="none"/>
        </w:rPr>
        <w:t>验收合格之日开始。</w:t>
      </w:r>
    </w:p>
    <w:p w14:paraId="4F62E46F">
      <w:pPr>
        <w:spacing w:line="360" w:lineRule="auto"/>
        <w:jc w:val="left"/>
        <w:outlineLvl w:val="0"/>
        <w:rPr>
          <w:b/>
          <w:bCs/>
          <w:color w:val="auto"/>
          <w:sz w:val="28"/>
          <w:szCs w:val="28"/>
          <w:highlight w:val="none"/>
        </w:rPr>
      </w:pPr>
      <w:bookmarkStart w:id="1346" w:name="_Toc890762015"/>
      <w:bookmarkStart w:id="1347" w:name="_Toc778"/>
      <w:bookmarkStart w:id="1348" w:name="_Toc14539"/>
      <w:bookmarkStart w:id="1349" w:name="_Toc20560"/>
      <w:bookmarkStart w:id="1350" w:name="_Toc1454229393"/>
      <w:bookmarkStart w:id="1351" w:name="_Toc802917832"/>
      <w:bookmarkStart w:id="1352" w:name="_Toc21764"/>
      <w:bookmarkStart w:id="1353" w:name="_Toc32026"/>
      <w:bookmarkStart w:id="1354" w:name="_Toc29365"/>
      <w:bookmarkStart w:id="1355" w:name="_Toc2107037457"/>
      <w:bookmarkStart w:id="1356" w:name="_Toc10309"/>
      <w:r>
        <w:rPr>
          <w:b/>
          <w:bCs/>
          <w:color w:val="auto"/>
          <w:sz w:val="28"/>
          <w:szCs w:val="28"/>
          <w:highlight w:val="none"/>
        </w:rPr>
        <w:t>1</w:t>
      </w:r>
      <w:r>
        <w:rPr>
          <w:rFonts w:hint="eastAsia"/>
          <w:b/>
          <w:bCs/>
          <w:color w:val="auto"/>
          <w:sz w:val="28"/>
          <w:szCs w:val="28"/>
          <w:highlight w:val="none"/>
        </w:rPr>
        <w:t>2</w:t>
      </w:r>
      <w:r>
        <w:rPr>
          <w:b/>
          <w:bCs/>
          <w:color w:val="auto"/>
          <w:sz w:val="28"/>
          <w:szCs w:val="28"/>
          <w:highlight w:val="none"/>
        </w:rPr>
        <w:t>工程量清单</w:t>
      </w:r>
      <w:bookmarkEnd w:id="1346"/>
      <w:bookmarkEnd w:id="1347"/>
      <w:bookmarkEnd w:id="1348"/>
      <w:bookmarkEnd w:id="1349"/>
      <w:bookmarkEnd w:id="1350"/>
      <w:bookmarkEnd w:id="1351"/>
      <w:bookmarkEnd w:id="1352"/>
      <w:bookmarkEnd w:id="1353"/>
      <w:bookmarkEnd w:id="1354"/>
      <w:bookmarkEnd w:id="1355"/>
      <w:bookmarkEnd w:id="1356"/>
    </w:p>
    <w:tbl>
      <w:tblPr>
        <w:tblStyle w:val="21"/>
        <w:tblW w:w="4998" w:type="pct"/>
        <w:tblInd w:w="0" w:type="dxa"/>
        <w:tblLayout w:type="autofit"/>
        <w:tblCellMar>
          <w:top w:w="0" w:type="dxa"/>
          <w:left w:w="108" w:type="dxa"/>
          <w:bottom w:w="0" w:type="dxa"/>
          <w:right w:w="108" w:type="dxa"/>
        </w:tblCellMar>
      </w:tblPr>
      <w:tblGrid>
        <w:gridCol w:w="495"/>
        <w:gridCol w:w="737"/>
        <w:gridCol w:w="2101"/>
        <w:gridCol w:w="4936"/>
        <w:gridCol w:w="788"/>
        <w:gridCol w:w="792"/>
      </w:tblGrid>
      <w:tr w14:paraId="5FF83D9C">
        <w:tblPrEx>
          <w:tblCellMar>
            <w:top w:w="0" w:type="dxa"/>
            <w:left w:w="108" w:type="dxa"/>
            <w:bottom w:w="0" w:type="dxa"/>
            <w:right w:w="108" w:type="dxa"/>
          </w:tblCellMar>
        </w:tblPrEx>
        <w:trPr>
          <w:trHeight w:val="83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CA55C4F">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440" w:type="pct"/>
            <w:gridSpan w:val="2"/>
            <w:tcBorders>
              <w:top w:val="single" w:color="000000" w:sz="4" w:space="0"/>
              <w:left w:val="single" w:color="000000" w:sz="4" w:space="0"/>
              <w:bottom w:val="single" w:color="000000" w:sz="4" w:space="0"/>
              <w:right w:val="single" w:color="000000" w:sz="4" w:space="0"/>
            </w:tcBorders>
            <w:noWrap w:val="0"/>
            <w:vAlign w:val="center"/>
          </w:tcPr>
          <w:p w14:paraId="0621B5F2">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项目</w:t>
            </w:r>
          </w:p>
        </w:tc>
        <w:tc>
          <w:tcPr>
            <w:tcW w:w="2505" w:type="pct"/>
            <w:tcBorders>
              <w:top w:val="single" w:color="000000" w:sz="4" w:space="0"/>
              <w:left w:val="single" w:color="000000" w:sz="4" w:space="0"/>
              <w:bottom w:val="single" w:color="000000" w:sz="4" w:space="0"/>
              <w:right w:val="single" w:color="000000" w:sz="4" w:space="0"/>
            </w:tcBorders>
            <w:noWrap w:val="0"/>
            <w:vAlign w:val="center"/>
          </w:tcPr>
          <w:p w14:paraId="7338C284">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系统功能</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37F4A78A">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单位</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745B660D">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数量</w:t>
            </w:r>
          </w:p>
        </w:tc>
      </w:tr>
      <w:tr w14:paraId="16D0CCD5">
        <w:tblPrEx>
          <w:tblCellMar>
            <w:top w:w="0" w:type="dxa"/>
            <w:left w:w="108" w:type="dxa"/>
            <w:bottom w:w="0" w:type="dxa"/>
            <w:right w:w="108" w:type="dxa"/>
          </w:tblCellMar>
        </w:tblPrEx>
        <w:trPr>
          <w:trHeight w:val="402" w:hRule="atLeast"/>
        </w:trPr>
        <w:tc>
          <w:tcPr>
            <w:tcW w:w="251" w:type="pct"/>
            <w:tcBorders>
              <w:top w:val="single" w:color="auto" w:sz="4" w:space="0"/>
              <w:left w:val="single" w:color="auto" w:sz="4" w:space="0"/>
              <w:bottom w:val="single" w:color="auto" w:sz="4" w:space="0"/>
              <w:right w:val="single" w:color="auto" w:sz="4" w:space="0"/>
            </w:tcBorders>
            <w:noWrap w:val="0"/>
            <w:vAlign w:val="center"/>
          </w:tcPr>
          <w:p w14:paraId="663D39BD">
            <w:pPr>
              <w:jc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val="en-US" w:eastAsia="zh-CN" w:bidi="ar"/>
              </w:rPr>
              <w:t>1</w:t>
            </w:r>
          </w:p>
        </w:tc>
        <w:tc>
          <w:tcPr>
            <w:tcW w:w="374" w:type="pct"/>
            <w:vMerge w:val="restart"/>
            <w:tcBorders>
              <w:top w:val="single" w:color="auto" w:sz="4" w:space="0"/>
              <w:left w:val="single" w:color="auto" w:sz="4" w:space="0"/>
              <w:right w:val="single" w:color="auto" w:sz="4" w:space="0"/>
            </w:tcBorders>
            <w:noWrap w:val="0"/>
            <w:vAlign w:val="center"/>
          </w:tcPr>
          <w:p w14:paraId="60F5A511">
            <w:pPr>
              <w:widowControl/>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软</w:t>
            </w:r>
          </w:p>
          <w:p w14:paraId="6C8EF3B1">
            <w:pPr>
              <w:widowControl/>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件</w:t>
            </w:r>
          </w:p>
          <w:p w14:paraId="134B9099">
            <w:pPr>
              <w:widowControl/>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开</w:t>
            </w:r>
          </w:p>
          <w:p w14:paraId="10C1AC12">
            <w:pPr>
              <w:widowControl/>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发</w:t>
            </w:r>
          </w:p>
          <w:p w14:paraId="4B70AA6E">
            <w:pPr>
              <w:widowControl/>
              <w:jc w:val="center"/>
              <w:textAlignment w:val="center"/>
              <w:rPr>
                <w:rFonts w:hint="eastAsia" w:ascii="宋体" w:hAnsi="宋体" w:cs="宋体"/>
                <w:b/>
                <w:bCs/>
                <w:color w:val="auto"/>
                <w:kern w:val="0"/>
                <w:szCs w:val="21"/>
                <w:highlight w:val="none"/>
                <w:lang w:eastAsia="zh-CN" w:bidi="ar"/>
              </w:rPr>
            </w:pPr>
            <w:r>
              <w:rPr>
                <w:rFonts w:hint="eastAsia" w:ascii="宋体" w:hAnsi="宋体" w:cs="宋体"/>
                <w:b/>
                <w:bCs/>
                <w:color w:val="auto"/>
                <w:kern w:val="0"/>
                <w:szCs w:val="21"/>
                <w:highlight w:val="none"/>
                <w:lang w:eastAsia="zh-CN" w:bidi="ar"/>
              </w:rPr>
              <w:t>、</w:t>
            </w:r>
          </w:p>
          <w:p w14:paraId="4FE340F4">
            <w:pPr>
              <w:widowControl/>
              <w:jc w:val="center"/>
              <w:textAlignment w:val="center"/>
              <w:rPr>
                <w:rFonts w:hint="eastAsia" w:ascii="宋体" w:hAnsi="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采</w:t>
            </w:r>
          </w:p>
          <w:p w14:paraId="059B78A5">
            <w:pPr>
              <w:widowControl/>
              <w:jc w:val="center"/>
              <w:textAlignment w:val="center"/>
              <w:rPr>
                <w:rFonts w:hint="eastAsia" w:ascii="宋体" w:hAnsi="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购</w:t>
            </w:r>
          </w:p>
          <w:p w14:paraId="5C42E452">
            <w:pPr>
              <w:widowControl/>
              <w:jc w:val="center"/>
              <w:textAlignment w:val="center"/>
              <w:rPr>
                <w:rFonts w:hint="eastAsia" w:ascii="宋体" w:hAnsi="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w:t>
            </w:r>
          </w:p>
          <w:p w14:paraId="7B19AAA1">
            <w:pPr>
              <w:widowControl/>
              <w:jc w:val="center"/>
              <w:textAlignment w:val="center"/>
              <w:rPr>
                <w:rFonts w:hint="eastAsia" w:ascii="宋体" w:hAnsi="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测</w:t>
            </w:r>
          </w:p>
          <w:p w14:paraId="7C1E8F63">
            <w:pPr>
              <w:widowControl/>
              <w:jc w:val="center"/>
              <w:textAlignment w:val="center"/>
              <w:rPr>
                <w:rFonts w:hint="default" w:ascii="宋体" w:hAnsi="宋体" w:cs="宋体"/>
                <w:b/>
                <w:bCs/>
                <w:color w:val="auto"/>
                <w:kern w:val="0"/>
                <w:szCs w:val="21"/>
                <w:highlight w:val="none"/>
                <w:lang w:val="en-US" w:bidi="ar"/>
              </w:rPr>
            </w:pPr>
            <w:r>
              <w:rPr>
                <w:rFonts w:hint="eastAsia" w:ascii="宋体" w:hAnsi="宋体" w:cs="宋体"/>
                <w:b/>
                <w:bCs/>
                <w:color w:val="auto"/>
                <w:kern w:val="0"/>
                <w:szCs w:val="21"/>
                <w:highlight w:val="none"/>
                <w:lang w:val="en-US" w:eastAsia="zh-CN" w:bidi="ar"/>
              </w:rPr>
              <w:t>评</w:t>
            </w:r>
          </w:p>
          <w:p w14:paraId="7BDC451F">
            <w:pPr>
              <w:jc w:val="center"/>
              <w:rPr>
                <w:rFonts w:hint="default" w:ascii="宋体" w:hAnsi="宋体" w:eastAsia="宋体" w:cs="宋体"/>
                <w:b/>
                <w:bCs/>
                <w:color w:val="auto"/>
                <w:szCs w:val="21"/>
                <w:highlight w:val="none"/>
                <w:lang w:val="en-US" w:eastAsia="zh-CN"/>
              </w:rPr>
            </w:pPr>
          </w:p>
        </w:tc>
        <w:tc>
          <w:tcPr>
            <w:tcW w:w="1065" w:type="pct"/>
            <w:tcBorders>
              <w:top w:val="single" w:color="000000" w:sz="4" w:space="0"/>
              <w:left w:val="single" w:color="auto" w:sz="4" w:space="0"/>
              <w:bottom w:val="single" w:color="000000" w:sz="4" w:space="0"/>
              <w:right w:val="single" w:color="000000" w:sz="4" w:space="0"/>
            </w:tcBorders>
            <w:noWrap w:val="0"/>
            <w:vAlign w:val="center"/>
          </w:tcPr>
          <w:p w14:paraId="70FF511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地保综合管理系统</w:t>
            </w:r>
          </w:p>
        </w:tc>
        <w:tc>
          <w:tcPr>
            <w:tcW w:w="2505" w:type="pct"/>
            <w:tcBorders>
              <w:top w:val="single" w:color="000000" w:sz="4" w:space="0"/>
              <w:left w:val="single" w:color="000000" w:sz="4" w:space="0"/>
              <w:right w:val="single" w:color="000000" w:sz="4" w:space="0"/>
            </w:tcBorders>
            <w:noWrap w:val="0"/>
            <w:vAlign w:val="center"/>
          </w:tcPr>
          <w:p w14:paraId="309BE97C">
            <w:pPr>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门户网站</w:t>
            </w:r>
            <w:r>
              <w:rPr>
                <w:rFonts w:hint="eastAsia" w:ascii="宋体" w:hAnsi="宋体" w:cs="宋体"/>
                <w:color w:val="auto"/>
                <w:kern w:val="0"/>
                <w:szCs w:val="21"/>
                <w:highlight w:val="none"/>
                <w:lang w:eastAsia="zh-CN" w:bidi="ar"/>
              </w:rPr>
              <w:t>建设（包括保护区信息、法律法规、办事指南、最新公告和网上办事功能）</w:t>
            </w:r>
            <w:r>
              <w:rPr>
                <w:rFonts w:hint="eastAsia" w:ascii="宋体" w:hAnsi="宋体" w:cs="宋体"/>
                <w:color w:val="auto"/>
                <w:kern w:val="0"/>
                <w:szCs w:val="21"/>
                <w:highlight w:val="none"/>
                <w:lang w:val="en-US" w:eastAsia="zh-CN" w:bidi="ar"/>
              </w:rPr>
              <w:t>和综合管理系统电脑端和移动端APP的建设，包含综合信息管理、项目管理、巡查管理、</w:t>
            </w:r>
            <w:r>
              <w:rPr>
                <w:rFonts w:hint="eastAsia" w:ascii="宋体" w:hAnsi="宋体" w:cs="宋体"/>
                <w:color w:val="auto"/>
                <w:kern w:val="0"/>
                <w:szCs w:val="21"/>
                <w:highlight w:val="none"/>
                <w:lang w:bidi="ar"/>
              </w:rPr>
              <w:t>GIS地图服务</w:t>
            </w:r>
            <w:r>
              <w:rPr>
                <w:rFonts w:hint="eastAsia" w:ascii="宋体" w:hAnsi="宋体" w:cs="宋体"/>
                <w:color w:val="auto"/>
                <w:kern w:val="0"/>
                <w:szCs w:val="21"/>
                <w:highlight w:val="none"/>
                <w:lang w:eastAsia="zh-CN" w:bidi="ar"/>
              </w:rPr>
              <w:t>、监测管理、风险识别与隐患排查等模块的开发建设、</w:t>
            </w:r>
            <w:r>
              <w:rPr>
                <w:rFonts w:hint="eastAsia" w:ascii="宋体" w:hAnsi="宋体" w:cs="宋体"/>
                <w:color w:val="auto"/>
                <w:kern w:val="0"/>
                <w:szCs w:val="21"/>
                <w:highlight w:val="none"/>
                <w:lang w:val="en-US" w:eastAsia="zh-CN" w:bidi="ar"/>
              </w:rPr>
              <w:t>与其他系统平台集成、系统拓展扩容、系统服务、系统培训、质保期维护、等保测评等</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5FE3E57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74648BC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138036A4">
        <w:tblPrEx>
          <w:tblCellMar>
            <w:top w:w="0" w:type="dxa"/>
            <w:left w:w="108" w:type="dxa"/>
            <w:bottom w:w="0" w:type="dxa"/>
            <w:right w:w="108" w:type="dxa"/>
          </w:tblCellMar>
        </w:tblPrEx>
        <w:trPr>
          <w:trHeight w:val="771" w:hRule="atLeast"/>
        </w:trPr>
        <w:tc>
          <w:tcPr>
            <w:tcW w:w="251" w:type="pct"/>
            <w:tcBorders>
              <w:top w:val="single" w:color="auto" w:sz="4" w:space="0"/>
              <w:left w:val="single" w:color="auto" w:sz="4" w:space="0"/>
              <w:bottom w:val="single" w:color="auto" w:sz="4" w:space="0"/>
              <w:right w:val="single" w:color="auto" w:sz="4" w:space="0"/>
            </w:tcBorders>
            <w:noWrap w:val="0"/>
            <w:vAlign w:val="center"/>
          </w:tcPr>
          <w:p w14:paraId="3C17C5A3">
            <w:pPr>
              <w:widowControl/>
              <w:jc w:val="center"/>
              <w:textAlignment w:val="center"/>
              <w:rPr>
                <w:rFonts w:hint="eastAsia" w:ascii="宋体" w:hAnsi="宋体" w:eastAsia="宋体" w:cs="宋体"/>
                <w:b/>
                <w:bCs/>
                <w:color w:val="auto"/>
                <w:szCs w:val="21"/>
                <w:highlight w:val="none"/>
                <w:lang w:eastAsia="zh-CN"/>
              </w:rPr>
            </w:pPr>
            <w:r>
              <w:rPr>
                <w:rFonts w:hint="eastAsia" w:ascii="宋体" w:hAnsi="宋体" w:cs="宋体"/>
                <w:b/>
                <w:bCs/>
                <w:color w:val="auto"/>
                <w:kern w:val="0"/>
                <w:szCs w:val="21"/>
                <w:highlight w:val="none"/>
                <w:lang w:val="en-US" w:eastAsia="zh-CN" w:bidi="ar"/>
              </w:rPr>
              <w:t>2</w:t>
            </w:r>
          </w:p>
        </w:tc>
        <w:tc>
          <w:tcPr>
            <w:tcW w:w="374" w:type="pct"/>
            <w:vMerge w:val="continue"/>
            <w:tcBorders>
              <w:left w:val="single" w:color="auto" w:sz="4" w:space="0"/>
              <w:right w:val="single" w:color="auto" w:sz="4" w:space="0"/>
            </w:tcBorders>
            <w:noWrap w:val="0"/>
            <w:vAlign w:val="center"/>
          </w:tcPr>
          <w:p w14:paraId="64842609">
            <w:pPr>
              <w:jc w:val="center"/>
              <w:rPr>
                <w:rFonts w:hint="eastAsia" w:ascii="宋体" w:hAnsi="宋体" w:cs="宋体"/>
                <w:b/>
                <w:bCs/>
                <w:color w:val="auto"/>
                <w:szCs w:val="21"/>
                <w:highlight w:val="none"/>
              </w:rPr>
            </w:pPr>
          </w:p>
        </w:tc>
        <w:tc>
          <w:tcPr>
            <w:tcW w:w="1065" w:type="pct"/>
            <w:tcBorders>
              <w:top w:val="single" w:color="000000" w:sz="4" w:space="0"/>
              <w:left w:val="single" w:color="auto" w:sz="4" w:space="0"/>
              <w:bottom w:val="single" w:color="000000" w:sz="4" w:space="0"/>
              <w:right w:val="single" w:color="000000" w:sz="4" w:space="0"/>
            </w:tcBorders>
            <w:noWrap w:val="0"/>
            <w:vAlign w:val="center"/>
          </w:tcPr>
          <w:p w14:paraId="6076B63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无人机巡查管理平台</w:t>
            </w:r>
          </w:p>
        </w:tc>
        <w:tc>
          <w:tcPr>
            <w:tcW w:w="2505" w:type="pct"/>
            <w:tcBorders>
              <w:top w:val="single" w:color="000000" w:sz="4" w:space="0"/>
              <w:left w:val="single" w:color="000000" w:sz="4" w:space="0"/>
              <w:bottom w:val="single" w:color="000000" w:sz="4" w:space="0"/>
              <w:right w:val="single" w:color="000000" w:sz="4" w:space="0"/>
            </w:tcBorders>
            <w:noWrap w:val="0"/>
            <w:vAlign w:val="center"/>
          </w:tcPr>
          <w:p w14:paraId="15554EB1">
            <w:pPr>
              <w:widowControl/>
              <w:jc w:val="left"/>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包含无人机平台管理、无人机巡查监控、巡查任务管理、设备管理、风险识别和风险管理等模块建设开发、无人机智能AI诊断复核、系统服务、人员培训、航线规划、空域申请质保期维护、等保测评等</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3D85DA5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09DCFFE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0D03C3DA">
        <w:tblPrEx>
          <w:tblCellMar>
            <w:top w:w="0" w:type="dxa"/>
            <w:left w:w="108" w:type="dxa"/>
            <w:bottom w:w="0" w:type="dxa"/>
            <w:right w:w="108" w:type="dxa"/>
          </w:tblCellMar>
        </w:tblPrEx>
        <w:trPr>
          <w:trHeight w:val="771" w:hRule="atLeast"/>
        </w:trPr>
        <w:tc>
          <w:tcPr>
            <w:tcW w:w="251" w:type="pct"/>
            <w:tcBorders>
              <w:top w:val="single" w:color="auto" w:sz="4" w:space="0"/>
              <w:left w:val="single" w:color="auto" w:sz="4" w:space="0"/>
              <w:bottom w:val="single" w:color="auto" w:sz="4" w:space="0"/>
              <w:right w:val="single" w:color="auto" w:sz="4" w:space="0"/>
            </w:tcBorders>
            <w:noWrap w:val="0"/>
            <w:vAlign w:val="center"/>
          </w:tcPr>
          <w:p w14:paraId="63A6BABF">
            <w:pPr>
              <w:widowControl/>
              <w:jc w:val="center"/>
              <w:textAlignment w:val="center"/>
              <w:rPr>
                <w:rFonts w:hint="default" w:ascii="宋体" w:hAnsi="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3</w:t>
            </w:r>
          </w:p>
        </w:tc>
        <w:tc>
          <w:tcPr>
            <w:tcW w:w="374" w:type="pct"/>
            <w:vMerge w:val="continue"/>
            <w:tcBorders>
              <w:left w:val="single" w:color="auto" w:sz="4" w:space="0"/>
              <w:right w:val="single" w:color="auto" w:sz="4" w:space="0"/>
            </w:tcBorders>
            <w:noWrap w:val="0"/>
            <w:vAlign w:val="center"/>
          </w:tcPr>
          <w:p w14:paraId="4176D0B1">
            <w:pPr>
              <w:jc w:val="center"/>
              <w:rPr>
                <w:rFonts w:hint="eastAsia" w:ascii="宋体" w:hAnsi="宋体" w:eastAsia="宋体" w:cs="宋体"/>
                <w:b/>
                <w:bCs/>
                <w:color w:val="auto"/>
                <w:kern w:val="2"/>
                <w:sz w:val="21"/>
                <w:szCs w:val="21"/>
                <w:highlight w:val="none"/>
                <w:lang w:val="en-US" w:eastAsia="zh-CN" w:bidi="ar-SA"/>
              </w:rPr>
            </w:pPr>
          </w:p>
        </w:tc>
        <w:tc>
          <w:tcPr>
            <w:tcW w:w="1065" w:type="pct"/>
            <w:tcBorders>
              <w:top w:val="single" w:color="000000" w:sz="4" w:space="0"/>
              <w:left w:val="single" w:color="auto" w:sz="4" w:space="0"/>
              <w:bottom w:val="single" w:color="000000" w:sz="4" w:space="0"/>
              <w:right w:val="single" w:color="000000" w:sz="4" w:space="0"/>
            </w:tcBorders>
            <w:noWrap w:val="0"/>
            <w:vAlign w:val="center"/>
          </w:tcPr>
          <w:p w14:paraId="3FF21271">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信创数据库</w:t>
            </w:r>
          </w:p>
        </w:tc>
        <w:tc>
          <w:tcPr>
            <w:tcW w:w="2505" w:type="pct"/>
            <w:tcBorders>
              <w:top w:val="single" w:color="000000" w:sz="4" w:space="0"/>
              <w:left w:val="single" w:color="000000" w:sz="4" w:space="0"/>
              <w:bottom w:val="single" w:color="000000" w:sz="4" w:space="0"/>
              <w:right w:val="single" w:color="000000" w:sz="4" w:space="0"/>
            </w:tcBorders>
            <w:noWrap w:val="0"/>
            <w:vAlign w:val="center"/>
          </w:tcPr>
          <w:p w14:paraId="6D303F0C">
            <w:pPr>
              <w:widowControl/>
              <w:jc w:val="left"/>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通过国家安全可靠测评的数据库：</w:t>
            </w:r>
          </w:p>
          <w:p w14:paraId="1CF88716">
            <w:pPr>
              <w:widowControl/>
              <w:jc w:val="left"/>
              <w:textAlignment w:val="center"/>
              <w:rPr>
                <w:rFonts w:hint="default" w:ascii="宋体" w:hAnsi="宋体" w:cs="宋体"/>
                <w:color w:val="auto"/>
                <w:kern w:val="0"/>
                <w:szCs w:val="21"/>
                <w:highlight w:val="none"/>
                <w:lang w:val="en-US" w:eastAsia="zh-CN" w:bidi="ar"/>
              </w:rPr>
            </w:pPr>
            <w:r>
              <w:rPr>
                <w:rFonts w:hint="default" w:ascii="宋体" w:hAnsi="宋体" w:cs="宋体"/>
                <w:color w:val="auto"/>
                <w:kern w:val="0"/>
                <w:szCs w:val="21"/>
                <w:highlight w:val="none"/>
                <w:lang w:val="en-US" w:eastAsia="zh-CN" w:bidi="ar"/>
              </w:rPr>
              <w:t>满足投标人设计的硬件架构涉及的所有虚拟机服务器的数据库（如：达梦、羲和</w:t>
            </w:r>
            <w:r>
              <w:rPr>
                <w:rFonts w:hint="eastAsia" w:ascii="宋体" w:hAnsi="宋体" w:cs="宋体"/>
                <w:color w:val="auto"/>
                <w:kern w:val="0"/>
                <w:szCs w:val="21"/>
                <w:highlight w:val="none"/>
                <w:lang w:val="en-US" w:eastAsia="zh-CN" w:bidi="ar"/>
              </w:rPr>
              <w:t>、</w:t>
            </w:r>
            <w:r>
              <w:rPr>
                <w:rFonts w:hint="default" w:ascii="宋体" w:hAnsi="宋体" w:cs="宋体"/>
                <w:color w:val="auto"/>
                <w:kern w:val="0"/>
                <w:szCs w:val="21"/>
                <w:highlight w:val="none"/>
                <w:lang w:val="en-US" w:eastAsia="zh-CN" w:bidi="ar"/>
              </w:rPr>
              <w:t>Halo、GaussDB、人大金仓</w:t>
            </w:r>
            <w:r>
              <w:rPr>
                <w:rFonts w:hint="eastAsia" w:ascii="宋体" w:hAnsi="宋体" w:cs="宋体"/>
                <w:color w:val="auto"/>
                <w:kern w:val="0"/>
                <w:szCs w:val="21"/>
                <w:highlight w:val="none"/>
                <w:lang w:val="en-US" w:eastAsia="zh-CN" w:bidi="ar"/>
              </w:rPr>
              <w:t>、</w:t>
            </w:r>
            <w:r>
              <w:rPr>
                <w:rFonts w:hint="default" w:ascii="宋体" w:hAnsi="宋体" w:cs="宋体"/>
                <w:color w:val="auto"/>
                <w:kern w:val="0"/>
                <w:szCs w:val="21"/>
                <w:highlight w:val="none"/>
                <w:lang w:val="en-US" w:eastAsia="zh-CN" w:bidi="ar"/>
              </w:rPr>
              <w:t>阿里 OceanBase 等主流数据库）及中间件安装数量，3年或以上官方技术支持服务。</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1E8C4323">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73CFAED8">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w:t>
            </w:r>
          </w:p>
        </w:tc>
      </w:tr>
      <w:tr w14:paraId="5B1F21CA">
        <w:tblPrEx>
          <w:tblCellMar>
            <w:top w:w="0" w:type="dxa"/>
            <w:left w:w="108" w:type="dxa"/>
            <w:bottom w:w="0" w:type="dxa"/>
            <w:right w:w="108" w:type="dxa"/>
          </w:tblCellMar>
        </w:tblPrEx>
        <w:trPr>
          <w:trHeight w:val="771" w:hRule="atLeast"/>
        </w:trPr>
        <w:tc>
          <w:tcPr>
            <w:tcW w:w="251" w:type="pct"/>
            <w:tcBorders>
              <w:top w:val="single" w:color="auto" w:sz="4" w:space="0"/>
              <w:left w:val="single" w:color="auto" w:sz="4" w:space="0"/>
              <w:bottom w:val="single" w:color="auto" w:sz="4" w:space="0"/>
              <w:right w:val="single" w:color="auto" w:sz="4" w:space="0"/>
            </w:tcBorders>
            <w:noWrap w:val="0"/>
            <w:vAlign w:val="center"/>
          </w:tcPr>
          <w:p w14:paraId="475388D2">
            <w:pPr>
              <w:widowControl/>
              <w:jc w:val="center"/>
              <w:textAlignment w:val="center"/>
              <w:rPr>
                <w:rFonts w:hint="default" w:ascii="宋体" w:hAnsi="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4</w:t>
            </w:r>
          </w:p>
        </w:tc>
        <w:tc>
          <w:tcPr>
            <w:tcW w:w="374" w:type="pct"/>
            <w:vMerge w:val="continue"/>
            <w:tcBorders>
              <w:left w:val="single" w:color="auto" w:sz="4" w:space="0"/>
              <w:right w:val="single" w:color="auto" w:sz="4" w:space="0"/>
            </w:tcBorders>
            <w:noWrap w:val="0"/>
            <w:vAlign w:val="center"/>
          </w:tcPr>
          <w:p w14:paraId="5E33CBC1">
            <w:pPr>
              <w:jc w:val="center"/>
              <w:rPr>
                <w:rFonts w:hint="eastAsia" w:ascii="宋体" w:hAnsi="宋体" w:cs="宋体"/>
                <w:b/>
                <w:bCs/>
                <w:color w:val="auto"/>
                <w:szCs w:val="21"/>
                <w:highlight w:val="none"/>
              </w:rPr>
            </w:pPr>
          </w:p>
        </w:tc>
        <w:tc>
          <w:tcPr>
            <w:tcW w:w="1065" w:type="pct"/>
            <w:tcBorders>
              <w:top w:val="single" w:color="000000" w:sz="4" w:space="0"/>
              <w:left w:val="single" w:color="auto" w:sz="4" w:space="0"/>
              <w:bottom w:val="single" w:color="000000" w:sz="4" w:space="0"/>
              <w:right w:val="single" w:color="000000" w:sz="4" w:space="0"/>
            </w:tcBorders>
            <w:noWrap w:val="0"/>
            <w:vAlign w:val="center"/>
          </w:tcPr>
          <w:p w14:paraId="7806D1E4">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信创服务器操作系统</w:t>
            </w:r>
          </w:p>
        </w:tc>
        <w:tc>
          <w:tcPr>
            <w:tcW w:w="2505" w:type="pct"/>
            <w:tcBorders>
              <w:top w:val="single" w:color="000000" w:sz="4" w:space="0"/>
              <w:left w:val="single" w:color="000000" w:sz="4" w:space="0"/>
              <w:bottom w:val="single" w:color="000000" w:sz="4" w:space="0"/>
              <w:right w:val="single" w:color="000000" w:sz="4" w:space="0"/>
            </w:tcBorders>
            <w:noWrap w:val="0"/>
            <w:vAlign w:val="center"/>
          </w:tcPr>
          <w:p w14:paraId="653E98CC">
            <w:pPr>
              <w:widowControl/>
              <w:jc w:val="left"/>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通过国家安全可靠测评的操作系统：</w:t>
            </w:r>
          </w:p>
          <w:p w14:paraId="381D8C53">
            <w:pPr>
              <w:widowControl/>
              <w:jc w:val="left"/>
              <w:textAlignment w:val="center"/>
              <w:rPr>
                <w:rFonts w:hint="default" w:ascii="宋体" w:hAnsi="宋体" w:cs="宋体"/>
                <w:color w:val="auto"/>
                <w:kern w:val="0"/>
                <w:szCs w:val="21"/>
                <w:highlight w:val="none"/>
                <w:lang w:val="en-US" w:eastAsia="zh-CN" w:bidi="ar"/>
              </w:rPr>
            </w:pPr>
            <w:r>
              <w:rPr>
                <w:rFonts w:hint="default" w:ascii="宋体" w:hAnsi="宋体" w:cs="宋体"/>
                <w:color w:val="auto"/>
                <w:kern w:val="0"/>
                <w:szCs w:val="21"/>
                <w:highlight w:val="none"/>
                <w:lang w:val="en-US" w:eastAsia="zh-CN" w:bidi="ar"/>
              </w:rPr>
              <w:t>满足投标人设计的硬件架构涉及的所有虚拟机服务器的操作系统（如：麒麟/统信/中科等国内主流操作系统）安装数量，3 年或以上官方技术支持服务。</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556BC00A">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497DC73E">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w:t>
            </w:r>
          </w:p>
        </w:tc>
      </w:tr>
      <w:tr w14:paraId="5D7D1818">
        <w:tblPrEx>
          <w:tblCellMar>
            <w:top w:w="0" w:type="dxa"/>
            <w:left w:w="108" w:type="dxa"/>
            <w:bottom w:w="0" w:type="dxa"/>
            <w:right w:w="108" w:type="dxa"/>
          </w:tblCellMar>
        </w:tblPrEx>
        <w:trPr>
          <w:trHeight w:val="771" w:hRule="atLeast"/>
        </w:trPr>
        <w:tc>
          <w:tcPr>
            <w:tcW w:w="251" w:type="pct"/>
            <w:tcBorders>
              <w:top w:val="single" w:color="auto" w:sz="4" w:space="0"/>
              <w:left w:val="single" w:color="auto" w:sz="4" w:space="0"/>
              <w:bottom w:val="single" w:color="auto" w:sz="4" w:space="0"/>
              <w:right w:val="single" w:color="auto" w:sz="4" w:space="0"/>
            </w:tcBorders>
            <w:noWrap w:val="0"/>
            <w:vAlign w:val="center"/>
          </w:tcPr>
          <w:p w14:paraId="6C174625">
            <w:pPr>
              <w:widowControl/>
              <w:jc w:val="center"/>
              <w:textAlignment w:val="center"/>
              <w:rPr>
                <w:rFonts w:hint="default" w:ascii="宋体" w:hAnsi="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5</w:t>
            </w:r>
          </w:p>
        </w:tc>
        <w:tc>
          <w:tcPr>
            <w:tcW w:w="374" w:type="pct"/>
            <w:vMerge w:val="continue"/>
            <w:tcBorders>
              <w:left w:val="single" w:color="auto" w:sz="4" w:space="0"/>
              <w:bottom w:val="single" w:color="auto" w:sz="4" w:space="0"/>
              <w:right w:val="single" w:color="auto" w:sz="4" w:space="0"/>
            </w:tcBorders>
            <w:noWrap w:val="0"/>
            <w:vAlign w:val="center"/>
          </w:tcPr>
          <w:p w14:paraId="7EA375A1">
            <w:pPr>
              <w:jc w:val="center"/>
              <w:rPr>
                <w:rFonts w:hint="default" w:ascii="宋体" w:hAnsi="宋体" w:eastAsia="宋体" w:cs="宋体"/>
                <w:b/>
                <w:bCs/>
                <w:color w:val="auto"/>
                <w:szCs w:val="21"/>
                <w:highlight w:val="none"/>
                <w:lang w:val="en-US" w:eastAsia="zh-CN"/>
              </w:rPr>
            </w:pPr>
          </w:p>
        </w:tc>
        <w:tc>
          <w:tcPr>
            <w:tcW w:w="1065" w:type="pct"/>
            <w:tcBorders>
              <w:top w:val="single" w:color="000000" w:sz="4" w:space="0"/>
              <w:left w:val="single" w:color="auto" w:sz="4" w:space="0"/>
              <w:bottom w:val="single" w:color="000000" w:sz="4" w:space="0"/>
              <w:right w:val="single" w:color="000000" w:sz="4" w:space="0"/>
            </w:tcBorders>
            <w:noWrap w:val="0"/>
            <w:vAlign w:val="center"/>
          </w:tcPr>
          <w:p w14:paraId="523E2AB5">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第三方软件测评</w:t>
            </w:r>
          </w:p>
        </w:tc>
        <w:tc>
          <w:tcPr>
            <w:tcW w:w="2505" w:type="pct"/>
            <w:tcBorders>
              <w:top w:val="single" w:color="000000" w:sz="4" w:space="0"/>
              <w:left w:val="single" w:color="000000" w:sz="4" w:space="0"/>
              <w:bottom w:val="single" w:color="000000" w:sz="4" w:space="0"/>
              <w:right w:val="single" w:color="000000" w:sz="4" w:space="0"/>
            </w:tcBorders>
            <w:noWrap w:val="0"/>
            <w:vAlign w:val="center"/>
          </w:tcPr>
          <w:p w14:paraId="58136CA1">
            <w:pPr>
              <w:widowControl/>
              <w:jc w:val="left"/>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需达到二级等保要求。</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5DF22E95">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475124DA">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w:t>
            </w:r>
          </w:p>
        </w:tc>
      </w:tr>
      <w:tr w14:paraId="1B28B2D9">
        <w:tblPrEx>
          <w:tblCellMar>
            <w:top w:w="0" w:type="dxa"/>
            <w:left w:w="108" w:type="dxa"/>
            <w:bottom w:w="0" w:type="dxa"/>
            <w:right w:w="108" w:type="dxa"/>
          </w:tblCellMar>
        </w:tblPrEx>
        <w:trPr>
          <w:trHeight w:val="771" w:hRule="atLeast"/>
        </w:trPr>
        <w:tc>
          <w:tcPr>
            <w:tcW w:w="251" w:type="pct"/>
            <w:tcBorders>
              <w:top w:val="single" w:color="auto" w:sz="4" w:space="0"/>
              <w:left w:val="single" w:color="auto" w:sz="4" w:space="0"/>
              <w:bottom w:val="single" w:color="auto" w:sz="4" w:space="0"/>
              <w:right w:val="single" w:color="auto" w:sz="4" w:space="0"/>
            </w:tcBorders>
            <w:noWrap w:val="0"/>
            <w:vAlign w:val="center"/>
          </w:tcPr>
          <w:p w14:paraId="4794D5E7">
            <w:pPr>
              <w:widowControl/>
              <w:jc w:val="center"/>
              <w:textAlignment w:val="center"/>
              <w:rPr>
                <w:rFonts w:hint="default" w:ascii="宋体" w:hAnsi="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6</w:t>
            </w:r>
          </w:p>
        </w:tc>
        <w:tc>
          <w:tcPr>
            <w:tcW w:w="374" w:type="pct"/>
            <w:tcBorders>
              <w:left w:val="single" w:color="auto" w:sz="4" w:space="0"/>
              <w:bottom w:val="single" w:color="auto" w:sz="4" w:space="0"/>
              <w:right w:val="single" w:color="auto" w:sz="4" w:space="0"/>
            </w:tcBorders>
            <w:noWrap w:val="0"/>
            <w:vAlign w:val="center"/>
          </w:tcPr>
          <w:p w14:paraId="2E4ECB08">
            <w:pPr>
              <w:jc w:val="center"/>
              <w:rPr>
                <w:rFonts w:hint="default" w:ascii="宋体" w:hAnsi="宋体" w:eastAsia="宋体" w:cs="宋体"/>
                <w:b/>
                <w:bCs/>
                <w:color w:val="auto"/>
                <w:szCs w:val="21"/>
                <w:highlight w:val="none"/>
                <w:lang w:val="en-US" w:eastAsia="zh-CN"/>
              </w:rPr>
            </w:pPr>
          </w:p>
        </w:tc>
        <w:tc>
          <w:tcPr>
            <w:tcW w:w="1065" w:type="pct"/>
            <w:tcBorders>
              <w:top w:val="single" w:color="000000" w:sz="4" w:space="0"/>
              <w:left w:val="single" w:color="auto" w:sz="4" w:space="0"/>
              <w:bottom w:val="single" w:color="000000" w:sz="4" w:space="0"/>
              <w:right w:val="single" w:color="000000" w:sz="4" w:space="0"/>
            </w:tcBorders>
            <w:noWrap w:val="0"/>
            <w:vAlign w:val="center"/>
          </w:tcPr>
          <w:p w14:paraId="650088EA">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培训取证</w:t>
            </w:r>
          </w:p>
        </w:tc>
        <w:tc>
          <w:tcPr>
            <w:tcW w:w="2505" w:type="pct"/>
            <w:tcBorders>
              <w:top w:val="single" w:color="000000" w:sz="4" w:space="0"/>
              <w:left w:val="single" w:color="000000" w:sz="4" w:space="0"/>
              <w:bottom w:val="single" w:color="000000" w:sz="4" w:space="0"/>
              <w:right w:val="single" w:color="000000" w:sz="4" w:space="0"/>
            </w:tcBorders>
            <w:noWrap w:val="0"/>
            <w:vAlign w:val="center"/>
          </w:tcPr>
          <w:p w14:paraId="054BD4C2">
            <w:pPr>
              <w:widowControl/>
              <w:jc w:val="left"/>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需协助招标人开展无人机操作员资格证取证工作（CAAC）</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17938879">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人</w:t>
            </w: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10CF0167">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w:t>
            </w:r>
          </w:p>
        </w:tc>
      </w:tr>
      <w:tr w14:paraId="05F08224">
        <w:tblPrEx>
          <w:tblCellMar>
            <w:top w:w="0" w:type="dxa"/>
            <w:left w:w="108" w:type="dxa"/>
            <w:bottom w:w="0" w:type="dxa"/>
            <w:right w:w="108" w:type="dxa"/>
          </w:tblCellMar>
        </w:tblPrEx>
        <w:trPr>
          <w:trHeight w:val="620" w:hRule="atLeast"/>
        </w:trPr>
        <w:tc>
          <w:tcPr>
            <w:tcW w:w="251" w:type="pct"/>
            <w:tcBorders>
              <w:top w:val="single" w:color="auto" w:sz="4" w:space="0"/>
              <w:left w:val="single" w:color="000000" w:sz="4" w:space="0"/>
              <w:bottom w:val="single" w:color="000000" w:sz="4" w:space="0"/>
              <w:right w:val="single" w:color="000000" w:sz="4" w:space="0"/>
            </w:tcBorders>
            <w:noWrap w:val="0"/>
            <w:vAlign w:val="center"/>
          </w:tcPr>
          <w:p w14:paraId="30F7E894">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kern w:val="0"/>
                <w:szCs w:val="21"/>
                <w:highlight w:val="none"/>
                <w:lang w:val="en-US" w:eastAsia="zh-CN" w:bidi="ar"/>
              </w:rPr>
              <w:t>7</w:t>
            </w:r>
          </w:p>
        </w:tc>
        <w:tc>
          <w:tcPr>
            <w:tcW w:w="374" w:type="pct"/>
            <w:vMerge w:val="restart"/>
            <w:tcBorders>
              <w:top w:val="single" w:color="auto" w:sz="4" w:space="0"/>
              <w:left w:val="single" w:color="000000" w:sz="4" w:space="0"/>
              <w:bottom w:val="single" w:color="000000" w:sz="4" w:space="0"/>
              <w:right w:val="single" w:color="000000" w:sz="4" w:space="0"/>
            </w:tcBorders>
            <w:noWrap w:val="0"/>
            <w:vAlign w:val="center"/>
          </w:tcPr>
          <w:p w14:paraId="02924F3E">
            <w:pPr>
              <w:widowControl/>
              <w:jc w:val="center"/>
              <w:textAlignment w:val="center"/>
              <w:rPr>
                <w:rFonts w:hint="eastAsia" w:ascii="宋体" w:hAnsi="宋体" w:cs="宋体"/>
                <w:b/>
                <w:bCs/>
                <w:color w:val="auto"/>
                <w:kern w:val="0"/>
                <w:szCs w:val="21"/>
                <w:highlight w:val="none"/>
                <w:lang w:bidi="ar"/>
              </w:rPr>
            </w:pPr>
          </w:p>
          <w:p w14:paraId="0DB74EDB">
            <w:pPr>
              <w:widowControl/>
              <w:jc w:val="center"/>
              <w:textAlignment w:val="center"/>
              <w:rPr>
                <w:rFonts w:hint="eastAsia" w:ascii="宋体" w:hAnsi="宋体" w:cs="宋体"/>
                <w:b/>
                <w:bCs/>
                <w:color w:val="auto"/>
                <w:kern w:val="0"/>
                <w:szCs w:val="21"/>
                <w:highlight w:val="none"/>
                <w:lang w:bidi="ar"/>
              </w:rPr>
            </w:pPr>
          </w:p>
          <w:p w14:paraId="0B036225">
            <w:pPr>
              <w:widowControl/>
              <w:jc w:val="center"/>
              <w:textAlignment w:val="center"/>
              <w:rPr>
                <w:rFonts w:hint="eastAsia" w:ascii="宋体" w:hAnsi="宋体" w:cs="宋体"/>
                <w:b/>
                <w:bCs/>
                <w:color w:val="auto"/>
                <w:kern w:val="0"/>
                <w:szCs w:val="21"/>
                <w:highlight w:val="none"/>
                <w:lang w:bidi="ar"/>
              </w:rPr>
            </w:pPr>
          </w:p>
          <w:p w14:paraId="2366F241">
            <w:pPr>
              <w:widowControl/>
              <w:jc w:val="center"/>
              <w:textAlignment w:val="center"/>
              <w:rPr>
                <w:rFonts w:hint="eastAsia" w:ascii="宋体" w:hAnsi="宋体" w:cs="宋体"/>
                <w:b/>
                <w:bCs/>
                <w:color w:val="auto"/>
                <w:kern w:val="0"/>
                <w:szCs w:val="21"/>
                <w:highlight w:val="none"/>
                <w:lang w:bidi="ar"/>
              </w:rPr>
            </w:pPr>
          </w:p>
          <w:p w14:paraId="21C33B17">
            <w:pPr>
              <w:widowControl/>
              <w:jc w:val="center"/>
              <w:textAlignment w:val="center"/>
              <w:rPr>
                <w:rFonts w:hint="eastAsia" w:ascii="宋体" w:hAnsi="宋体" w:cs="宋体"/>
                <w:b/>
                <w:bCs/>
                <w:color w:val="auto"/>
                <w:kern w:val="0"/>
                <w:szCs w:val="21"/>
                <w:highlight w:val="none"/>
                <w:lang w:bidi="ar"/>
              </w:rPr>
            </w:pPr>
          </w:p>
          <w:p w14:paraId="25492FF1">
            <w:pPr>
              <w:widowControl/>
              <w:jc w:val="center"/>
              <w:textAlignment w:val="center"/>
              <w:rPr>
                <w:rFonts w:hint="eastAsia" w:ascii="宋体" w:hAnsi="宋体" w:cs="宋体"/>
                <w:b/>
                <w:bCs/>
                <w:color w:val="auto"/>
                <w:kern w:val="0"/>
                <w:szCs w:val="21"/>
                <w:highlight w:val="none"/>
                <w:lang w:bidi="ar"/>
              </w:rPr>
            </w:pPr>
          </w:p>
          <w:p w14:paraId="0F7ACFAC">
            <w:pPr>
              <w:widowControl/>
              <w:jc w:val="center"/>
              <w:textAlignment w:val="center"/>
              <w:rPr>
                <w:rFonts w:hint="eastAsia" w:ascii="宋体" w:hAnsi="宋体" w:cs="宋体"/>
                <w:b/>
                <w:bCs/>
                <w:color w:val="auto"/>
                <w:kern w:val="0"/>
                <w:szCs w:val="21"/>
                <w:highlight w:val="none"/>
                <w:lang w:bidi="ar"/>
              </w:rPr>
            </w:pPr>
          </w:p>
          <w:p w14:paraId="1DD20C55">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硬件采购</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4E21769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无人机场</w:t>
            </w:r>
          </w:p>
        </w:tc>
        <w:tc>
          <w:tcPr>
            <w:tcW w:w="2505" w:type="pct"/>
            <w:tcBorders>
              <w:top w:val="single" w:color="000000" w:sz="4" w:space="0"/>
              <w:left w:val="single" w:color="000000" w:sz="4" w:space="0"/>
              <w:bottom w:val="single" w:color="000000" w:sz="4" w:space="0"/>
              <w:right w:val="single" w:color="000000" w:sz="4" w:space="0"/>
            </w:tcBorders>
            <w:noWrap w:val="0"/>
            <w:vAlign w:val="center"/>
          </w:tcPr>
          <w:p w14:paraId="08F3AFE7">
            <w:pPr>
              <w:widowControl/>
              <w:jc w:val="left"/>
              <w:textAlignment w:val="center"/>
              <w:rPr>
                <w:rFonts w:hint="eastAsia" w:ascii="宋体" w:hAnsi="宋体" w:cs="宋体"/>
                <w:color w:val="auto"/>
                <w:kern w:val="0"/>
                <w:szCs w:val="21"/>
                <w:highlight w:val="none"/>
                <w:lang w:eastAsia="zh-CN" w:bidi="ar"/>
              </w:rPr>
            </w:pPr>
            <w:r>
              <w:rPr>
                <w:rFonts w:hint="eastAsia" w:ascii="宋体" w:hAnsi="宋体" w:cs="宋体"/>
                <w:color w:val="auto"/>
                <w:kern w:val="0"/>
                <w:szCs w:val="21"/>
                <w:highlight w:val="none"/>
                <w:lang w:bidi="ar"/>
              </w:rPr>
              <w:t>自动化机场：具备</w:t>
            </w:r>
            <w:r>
              <w:rPr>
                <w:rFonts w:hint="eastAsia" w:ascii="宋体" w:hAnsi="宋体" w:cs="宋体"/>
                <w:color w:val="auto"/>
                <w:kern w:val="0"/>
                <w:szCs w:val="21"/>
                <w:highlight w:val="none"/>
                <w:lang w:eastAsia="zh-CN" w:bidi="ar"/>
              </w:rPr>
              <w:t>快速充电、</w:t>
            </w:r>
            <w:r>
              <w:rPr>
                <w:rFonts w:hint="eastAsia" w:ascii="宋体" w:hAnsi="宋体" w:cs="宋体"/>
                <w:color w:val="auto"/>
                <w:kern w:val="0"/>
                <w:szCs w:val="21"/>
                <w:highlight w:val="none"/>
                <w:lang w:bidi="ar"/>
              </w:rPr>
              <w:t>自动收纳、无线充电、视频监控</w:t>
            </w:r>
            <w:r>
              <w:rPr>
                <w:rFonts w:hint="eastAsia" w:ascii="宋体" w:hAnsi="宋体" w:cs="宋体"/>
                <w:color w:val="auto"/>
                <w:kern w:val="0"/>
                <w:szCs w:val="21"/>
                <w:highlight w:val="none"/>
                <w:lang w:eastAsia="zh-CN" w:bidi="ar"/>
              </w:rPr>
              <w:t>、内置传感器、内置空调</w:t>
            </w:r>
            <w:r>
              <w:rPr>
                <w:rFonts w:hint="eastAsia" w:ascii="宋体" w:hAnsi="宋体" w:cs="宋体"/>
                <w:color w:val="auto"/>
                <w:kern w:val="0"/>
                <w:szCs w:val="21"/>
                <w:highlight w:val="none"/>
                <w:lang w:bidi="ar"/>
              </w:rPr>
              <w:t>等功能</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包含机场</w:t>
            </w:r>
            <w:r>
              <w:rPr>
                <w:rFonts w:hint="eastAsia" w:ascii="宋体" w:hAnsi="宋体" w:cs="宋体"/>
                <w:color w:val="auto"/>
                <w:kern w:val="0"/>
                <w:szCs w:val="21"/>
                <w:highlight w:val="none"/>
                <w:lang w:eastAsia="zh-CN" w:bidi="ar"/>
              </w:rPr>
              <w:t>基础建设、</w:t>
            </w:r>
            <w:r>
              <w:rPr>
                <w:rFonts w:hint="eastAsia" w:ascii="宋体" w:hAnsi="宋体" w:cs="宋体"/>
                <w:color w:val="auto"/>
                <w:kern w:val="0"/>
                <w:szCs w:val="21"/>
                <w:highlight w:val="none"/>
                <w:lang w:bidi="ar"/>
              </w:rPr>
              <w:t>安装、</w:t>
            </w:r>
            <w:r>
              <w:rPr>
                <w:rFonts w:hint="eastAsia" w:ascii="宋体" w:hAnsi="宋体" w:cs="宋体"/>
                <w:color w:val="auto"/>
                <w:kern w:val="0"/>
                <w:szCs w:val="21"/>
                <w:highlight w:val="none"/>
                <w:lang w:val="en-US" w:eastAsia="zh-CN" w:bidi="ar"/>
              </w:rPr>
              <w:t>无人机场至所在车站机房的</w:t>
            </w:r>
            <w:r>
              <w:rPr>
                <w:rFonts w:hint="eastAsia" w:ascii="宋体" w:hAnsi="宋体" w:cs="宋体"/>
                <w:color w:val="auto"/>
                <w:kern w:val="0"/>
                <w:szCs w:val="21"/>
                <w:highlight w:val="none"/>
                <w:lang w:bidi="ar"/>
              </w:rPr>
              <w:t>网络</w:t>
            </w:r>
            <w:r>
              <w:rPr>
                <w:rFonts w:hint="eastAsia" w:ascii="宋体" w:hAnsi="宋体" w:cs="宋体"/>
                <w:color w:val="auto"/>
                <w:kern w:val="0"/>
                <w:szCs w:val="21"/>
                <w:highlight w:val="none"/>
                <w:lang w:val="en-US" w:eastAsia="zh-CN" w:bidi="ar"/>
              </w:rPr>
              <w:t>布设、</w:t>
            </w:r>
            <w:r>
              <w:rPr>
                <w:rFonts w:hint="eastAsia" w:ascii="宋体" w:hAnsi="宋体" w:cs="宋体"/>
                <w:color w:val="auto"/>
                <w:kern w:val="0"/>
                <w:szCs w:val="21"/>
                <w:highlight w:val="none"/>
                <w:lang w:bidi="ar"/>
              </w:rPr>
              <w:t>取电施工、</w:t>
            </w:r>
            <w:r>
              <w:rPr>
                <w:rFonts w:hint="eastAsia" w:ascii="宋体" w:hAnsi="宋体" w:cs="宋体"/>
                <w:color w:val="auto"/>
                <w:kern w:val="0"/>
                <w:szCs w:val="21"/>
                <w:highlight w:val="none"/>
                <w:lang w:eastAsia="zh-CN" w:bidi="ar"/>
              </w:rPr>
              <w:t>防雷施工、</w:t>
            </w:r>
            <w:r>
              <w:rPr>
                <w:rFonts w:hint="eastAsia" w:ascii="宋体" w:hAnsi="宋体" w:cs="宋体"/>
                <w:color w:val="auto"/>
                <w:kern w:val="0"/>
                <w:szCs w:val="21"/>
                <w:highlight w:val="none"/>
                <w:lang w:bidi="ar"/>
              </w:rPr>
              <w:t>调试、试飞等</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并包含质保期内</w:t>
            </w:r>
            <w:r>
              <w:rPr>
                <w:rFonts w:hint="eastAsia" w:ascii="宋体" w:hAnsi="宋体" w:cs="宋体"/>
                <w:color w:val="auto"/>
                <w:kern w:val="0"/>
                <w:szCs w:val="21"/>
                <w:highlight w:val="none"/>
                <w:lang w:bidi="ar"/>
              </w:rPr>
              <w:t>自动无人机场硬件快修换新服务</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14E3D0F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1FB0643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r>
      <w:tr w14:paraId="1BF9A8CC">
        <w:tblPrEx>
          <w:tblCellMar>
            <w:top w:w="0" w:type="dxa"/>
            <w:left w:w="108" w:type="dxa"/>
            <w:bottom w:w="0" w:type="dxa"/>
            <w:right w:w="108" w:type="dxa"/>
          </w:tblCellMar>
        </w:tblPrEx>
        <w:trPr>
          <w:trHeight w:val="84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4B07A44">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8</w:t>
            </w:r>
          </w:p>
        </w:tc>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988A92">
            <w:pPr>
              <w:jc w:val="center"/>
              <w:rPr>
                <w:rFonts w:hint="eastAsia" w:ascii="宋体" w:hAnsi="宋体" w:cs="宋体"/>
                <w:b/>
                <w:bCs/>
                <w:color w:val="auto"/>
                <w:szCs w:val="21"/>
                <w:highlight w:val="none"/>
              </w:rPr>
            </w:pPr>
          </w:p>
        </w:tc>
        <w:tc>
          <w:tcPr>
            <w:tcW w:w="1065" w:type="pct"/>
            <w:vMerge w:val="restart"/>
            <w:tcBorders>
              <w:top w:val="single" w:color="000000" w:sz="4" w:space="0"/>
              <w:left w:val="single" w:color="000000" w:sz="4" w:space="0"/>
              <w:bottom w:val="single" w:color="000000" w:sz="4" w:space="0"/>
              <w:right w:val="single" w:color="000000" w:sz="4" w:space="0"/>
            </w:tcBorders>
            <w:noWrap w:val="0"/>
            <w:vAlign w:val="center"/>
          </w:tcPr>
          <w:p w14:paraId="0E01DE7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无人机</w:t>
            </w:r>
          </w:p>
        </w:tc>
        <w:tc>
          <w:tcPr>
            <w:tcW w:w="2505" w:type="pct"/>
            <w:tcBorders>
              <w:top w:val="single" w:color="000000" w:sz="4" w:space="0"/>
              <w:left w:val="single" w:color="000000" w:sz="4" w:space="0"/>
              <w:bottom w:val="single" w:color="000000" w:sz="4" w:space="0"/>
              <w:right w:val="single" w:color="000000" w:sz="4" w:space="0"/>
            </w:tcBorders>
            <w:noWrap w:val="0"/>
            <w:vAlign w:val="center"/>
          </w:tcPr>
          <w:p w14:paraId="185A9404">
            <w:pPr>
              <w:widowControl/>
              <w:jc w:val="left"/>
              <w:textAlignment w:val="center"/>
              <w:rPr>
                <w:rFonts w:hint="eastAsia"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无人机：具备远程喊话、应急调度、自动避障、</w:t>
            </w:r>
            <w:r>
              <w:rPr>
                <w:rFonts w:hint="eastAsia" w:ascii="宋体" w:hAnsi="宋体" w:cs="宋体"/>
                <w:color w:val="auto"/>
                <w:kern w:val="0"/>
                <w:szCs w:val="21"/>
                <w:highlight w:val="none"/>
                <w:lang w:eastAsia="zh-CN" w:bidi="ar"/>
              </w:rPr>
              <w:t>精准降落、</w:t>
            </w:r>
            <w:r>
              <w:rPr>
                <w:rFonts w:hint="eastAsia" w:ascii="宋体" w:hAnsi="宋体" w:cs="宋体"/>
                <w:color w:val="auto"/>
                <w:kern w:val="0"/>
                <w:szCs w:val="21"/>
                <w:highlight w:val="none"/>
                <w:lang w:bidi="ar"/>
              </w:rPr>
              <w:t>降落伞防护、夜视等功能</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并包含质保期内</w:t>
            </w:r>
            <w:r>
              <w:rPr>
                <w:rFonts w:hint="eastAsia" w:ascii="宋体" w:hAnsi="宋体" w:cs="宋体"/>
                <w:color w:val="auto"/>
                <w:kern w:val="0"/>
                <w:szCs w:val="21"/>
                <w:highlight w:val="none"/>
                <w:lang w:bidi="ar"/>
              </w:rPr>
              <w:t>无人机硬件快修换新服务</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质保期内</w:t>
            </w:r>
            <w:r>
              <w:rPr>
                <w:rFonts w:hint="eastAsia" w:ascii="宋体" w:hAnsi="宋体" w:cs="宋体"/>
                <w:color w:val="auto"/>
                <w:kern w:val="0"/>
                <w:szCs w:val="21"/>
                <w:highlight w:val="none"/>
                <w:lang w:bidi="ar"/>
              </w:rPr>
              <w:t>每架无人机电池更</w:t>
            </w:r>
            <w:r>
              <w:rPr>
                <w:rFonts w:hint="eastAsia" w:ascii="宋体" w:hAnsi="宋体" w:cs="宋体"/>
                <w:color w:val="auto"/>
                <w:kern w:val="0"/>
                <w:szCs w:val="21"/>
                <w:highlight w:val="none"/>
                <w:lang w:val="en-US" w:eastAsia="zh-CN" w:bidi="ar"/>
              </w:rPr>
              <w:t>换，</w:t>
            </w:r>
            <w:r>
              <w:rPr>
                <w:rFonts w:hint="eastAsia" w:ascii="宋体" w:hAnsi="宋体" w:cs="宋体"/>
                <w:color w:val="auto"/>
                <w:kern w:val="0"/>
                <w:szCs w:val="21"/>
                <w:highlight w:val="none"/>
                <w:lang w:bidi="ar"/>
              </w:rPr>
              <w:t>桨叶更换</w:t>
            </w:r>
            <w:r>
              <w:rPr>
                <w:rFonts w:hint="eastAsia" w:ascii="宋体" w:hAnsi="宋体" w:cs="宋体"/>
                <w:color w:val="auto"/>
                <w:kern w:val="0"/>
                <w:szCs w:val="21"/>
                <w:highlight w:val="none"/>
                <w:lang w:val="en-US" w:eastAsia="zh-CN" w:bidi="ar"/>
              </w:rPr>
              <w:t>等</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4FB3E34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7EC8D38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r>
      <w:tr w14:paraId="69838B9C">
        <w:tblPrEx>
          <w:tblCellMar>
            <w:top w:w="0" w:type="dxa"/>
            <w:left w:w="108" w:type="dxa"/>
            <w:bottom w:w="0" w:type="dxa"/>
            <w:right w:w="108" w:type="dxa"/>
          </w:tblCellMar>
        </w:tblPrEx>
        <w:trPr>
          <w:trHeight w:val="4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1465E3D">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9</w:t>
            </w:r>
          </w:p>
        </w:tc>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68EC90">
            <w:pPr>
              <w:jc w:val="center"/>
              <w:rPr>
                <w:rFonts w:hint="eastAsia" w:ascii="宋体" w:hAnsi="宋体" w:cs="宋体"/>
                <w:b/>
                <w:bCs/>
                <w:color w:val="auto"/>
                <w:szCs w:val="21"/>
                <w:highlight w:val="none"/>
              </w:rPr>
            </w:pPr>
          </w:p>
        </w:tc>
        <w:tc>
          <w:tcPr>
            <w:tcW w:w="10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FEBF1F">
            <w:pPr>
              <w:jc w:val="center"/>
              <w:rPr>
                <w:rFonts w:hint="eastAsia" w:ascii="宋体" w:hAnsi="宋体" w:cs="宋体"/>
                <w:color w:val="auto"/>
                <w:szCs w:val="21"/>
                <w:highlight w:val="none"/>
              </w:rPr>
            </w:pPr>
          </w:p>
        </w:tc>
        <w:tc>
          <w:tcPr>
            <w:tcW w:w="2505" w:type="pct"/>
            <w:tcBorders>
              <w:top w:val="single" w:color="000000" w:sz="4" w:space="0"/>
              <w:left w:val="single" w:color="000000" w:sz="4" w:space="0"/>
              <w:bottom w:val="single" w:color="000000" w:sz="4" w:space="0"/>
              <w:right w:val="single" w:color="000000" w:sz="4" w:space="0"/>
            </w:tcBorders>
            <w:noWrap w:val="0"/>
            <w:vAlign w:val="center"/>
          </w:tcPr>
          <w:p w14:paraId="09E45C3B">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手动无人机，45分钟的续航能力，20公里图传距离轻型无人机。包含质保期内</w:t>
            </w:r>
            <w:r>
              <w:rPr>
                <w:rFonts w:hint="eastAsia" w:ascii="宋体" w:hAnsi="宋体" w:cs="宋体"/>
                <w:color w:val="auto"/>
                <w:kern w:val="0"/>
                <w:szCs w:val="21"/>
                <w:highlight w:val="none"/>
                <w:lang w:bidi="ar"/>
              </w:rPr>
              <w:t>无人机硬件快修换新服务</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质保期内</w:t>
            </w:r>
            <w:r>
              <w:rPr>
                <w:rFonts w:hint="eastAsia" w:ascii="宋体" w:hAnsi="宋体" w:cs="宋体"/>
                <w:color w:val="auto"/>
                <w:kern w:val="0"/>
                <w:szCs w:val="21"/>
                <w:highlight w:val="none"/>
                <w:lang w:bidi="ar"/>
              </w:rPr>
              <w:t>每架无人机电池更</w:t>
            </w:r>
            <w:r>
              <w:rPr>
                <w:rFonts w:hint="eastAsia" w:ascii="宋体" w:hAnsi="宋体" w:cs="宋体"/>
                <w:color w:val="auto"/>
                <w:kern w:val="0"/>
                <w:szCs w:val="21"/>
                <w:highlight w:val="none"/>
                <w:lang w:val="en-US" w:eastAsia="zh-CN" w:bidi="ar"/>
              </w:rPr>
              <w:t>换，</w:t>
            </w:r>
            <w:r>
              <w:rPr>
                <w:rFonts w:hint="eastAsia" w:ascii="宋体" w:hAnsi="宋体" w:cs="宋体"/>
                <w:color w:val="auto"/>
                <w:kern w:val="0"/>
                <w:szCs w:val="21"/>
                <w:highlight w:val="none"/>
                <w:lang w:bidi="ar"/>
              </w:rPr>
              <w:t>桨叶更换</w:t>
            </w:r>
            <w:r>
              <w:rPr>
                <w:rFonts w:hint="eastAsia" w:ascii="宋体" w:hAnsi="宋体" w:cs="宋体"/>
                <w:color w:val="auto"/>
                <w:kern w:val="0"/>
                <w:szCs w:val="21"/>
                <w:highlight w:val="none"/>
                <w:lang w:val="en-US" w:eastAsia="zh-CN" w:bidi="ar"/>
              </w:rPr>
              <w:t>等</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21FE73F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3C66B60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r>
      <w:tr w14:paraId="6E87A7CB">
        <w:tblPrEx>
          <w:tblCellMar>
            <w:top w:w="0" w:type="dxa"/>
            <w:left w:w="108" w:type="dxa"/>
            <w:bottom w:w="0" w:type="dxa"/>
            <w:right w:w="108" w:type="dxa"/>
          </w:tblCellMar>
        </w:tblPrEx>
        <w:trPr>
          <w:trHeight w:val="46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407722B">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10</w:t>
            </w:r>
          </w:p>
        </w:tc>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C4CEBD">
            <w:pPr>
              <w:jc w:val="center"/>
              <w:rPr>
                <w:rFonts w:hint="eastAsia" w:ascii="宋体" w:hAnsi="宋体" w:cs="宋体"/>
                <w:b/>
                <w:bCs/>
                <w:color w:val="auto"/>
                <w:szCs w:val="21"/>
                <w:highlight w:val="none"/>
              </w:rPr>
            </w:pP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12ED46D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机载喊话器</w:t>
            </w:r>
          </w:p>
        </w:tc>
        <w:tc>
          <w:tcPr>
            <w:tcW w:w="2505" w:type="pct"/>
            <w:tcBorders>
              <w:top w:val="single" w:color="000000" w:sz="4" w:space="0"/>
              <w:left w:val="single" w:color="000000" w:sz="4" w:space="0"/>
              <w:bottom w:val="single" w:color="000000" w:sz="4" w:space="0"/>
              <w:right w:val="single" w:color="000000" w:sz="4" w:space="0"/>
            </w:tcBorders>
            <w:noWrap w:val="0"/>
            <w:vAlign w:val="center"/>
          </w:tcPr>
          <w:p w14:paraId="0D78E1F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适配自动无人机的机载喊话器</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6E8E24B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4E6235A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r>
      <w:tr w14:paraId="1051C97F">
        <w:tblPrEx>
          <w:tblCellMar>
            <w:top w:w="0" w:type="dxa"/>
            <w:left w:w="108" w:type="dxa"/>
            <w:bottom w:w="0" w:type="dxa"/>
            <w:right w:w="108" w:type="dxa"/>
          </w:tblCellMar>
        </w:tblPrEx>
        <w:trPr>
          <w:trHeight w:val="118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AFC9998">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11</w:t>
            </w:r>
          </w:p>
        </w:tc>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4A5C23">
            <w:pPr>
              <w:jc w:val="center"/>
              <w:rPr>
                <w:rFonts w:hint="eastAsia" w:ascii="宋体" w:hAnsi="宋体" w:cs="宋体"/>
                <w:b/>
                <w:bCs/>
                <w:color w:val="auto"/>
                <w:szCs w:val="21"/>
                <w:highlight w:val="none"/>
              </w:rPr>
            </w:pP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1C656D6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无人机内存卡</w:t>
            </w:r>
          </w:p>
        </w:tc>
        <w:tc>
          <w:tcPr>
            <w:tcW w:w="2505" w:type="pct"/>
            <w:tcBorders>
              <w:top w:val="single" w:color="000000" w:sz="4" w:space="0"/>
              <w:left w:val="single" w:color="000000" w:sz="4" w:space="0"/>
              <w:bottom w:val="single" w:color="000000" w:sz="4" w:space="0"/>
              <w:right w:val="single" w:color="000000" w:sz="4" w:space="0"/>
            </w:tcBorders>
            <w:noWrap w:val="0"/>
            <w:vAlign w:val="center"/>
          </w:tcPr>
          <w:p w14:paraId="43F01ECD">
            <w:pPr>
              <w:widowControl/>
              <w:jc w:val="left"/>
              <w:textAlignment w:val="center"/>
              <w:rPr>
                <w:rFonts w:hint="eastAsia" w:ascii="宋体" w:hAnsi="宋体" w:cs="宋体"/>
                <w:color w:val="auto"/>
                <w:szCs w:val="21"/>
                <w:highlight w:val="none"/>
              </w:rPr>
            </w:pPr>
            <w:r>
              <w:rPr>
                <w:rStyle w:val="30"/>
                <w:color w:val="auto"/>
                <w:sz w:val="21"/>
                <w:szCs w:val="21"/>
                <w:highlight w:val="none"/>
                <w:lang w:bidi="ar"/>
              </w:rPr>
              <w:t>10</w:t>
            </w:r>
            <w:r>
              <w:rPr>
                <w:rStyle w:val="35"/>
                <w:rFonts w:ascii="宋体" w:hAnsi="宋体" w:eastAsia="宋体" w:cs="宋体"/>
                <w:color w:val="auto"/>
                <w:sz w:val="21"/>
                <w:szCs w:val="21"/>
                <w:highlight w:val="none"/>
                <w:lang w:bidi="ar"/>
              </w:rPr>
              <w:t>台机场内的无人机及2台手持飞行无人机均需配备TF内存卡，需满足为U3/Class10/V30及以上的存储卡，单张容量不得低于128G</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1B006F9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15E2CF3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r>
      <w:tr w14:paraId="132C283F">
        <w:tblPrEx>
          <w:tblCellMar>
            <w:top w:w="0" w:type="dxa"/>
            <w:left w:w="108" w:type="dxa"/>
            <w:bottom w:w="0" w:type="dxa"/>
            <w:right w:w="108" w:type="dxa"/>
          </w:tblCellMar>
        </w:tblPrEx>
        <w:trPr>
          <w:trHeight w:val="54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51D884F">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12</w:t>
            </w:r>
          </w:p>
        </w:tc>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C9DBE9">
            <w:pPr>
              <w:jc w:val="center"/>
              <w:rPr>
                <w:rFonts w:hint="eastAsia" w:ascii="宋体" w:hAnsi="宋体" w:cs="宋体"/>
                <w:b/>
                <w:bCs/>
                <w:color w:val="auto"/>
                <w:szCs w:val="21"/>
                <w:highlight w:val="none"/>
              </w:rPr>
            </w:pP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264FEFF8">
            <w:pPr>
              <w:widowControl/>
              <w:jc w:val="center"/>
              <w:textAlignment w:val="center"/>
              <w:rPr>
                <w:rFonts w:hint="eastAsia" w:ascii="宋体" w:hAnsi="宋体" w:cs="宋体"/>
                <w:color w:val="auto"/>
                <w:szCs w:val="21"/>
                <w:highlight w:val="none"/>
              </w:rPr>
            </w:pPr>
            <w:r>
              <w:rPr>
                <w:rStyle w:val="30"/>
                <w:color w:val="auto"/>
                <w:sz w:val="21"/>
                <w:szCs w:val="21"/>
                <w:highlight w:val="none"/>
                <w:lang w:bidi="ar"/>
              </w:rPr>
              <w:t>4G</w:t>
            </w:r>
            <w:r>
              <w:rPr>
                <w:rStyle w:val="36"/>
                <w:rFonts w:ascii="宋体" w:hAnsi="宋体" w:eastAsia="宋体" w:cs="宋体"/>
                <w:color w:val="auto"/>
                <w:highlight w:val="none"/>
                <w:lang w:bidi="ar"/>
              </w:rPr>
              <w:t>通信模块</w:t>
            </w:r>
          </w:p>
        </w:tc>
        <w:tc>
          <w:tcPr>
            <w:tcW w:w="2505" w:type="pct"/>
            <w:tcBorders>
              <w:top w:val="single" w:color="000000" w:sz="4" w:space="0"/>
              <w:left w:val="single" w:color="000000" w:sz="4" w:space="0"/>
              <w:bottom w:val="single" w:color="000000" w:sz="4" w:space="0"/>
              <w:right w:val="single" w:color="000000" w:sz="4" w:space="0"/>
            </w:tcBorders>
            <w:noWrap w:val="0"/>
            <w:vAlign w:val="center"/>
          </w:tcPr>
          <w:p w14:paraId="180FF73B">
            <w:pPr>
              <w:widowControl/>
              <w:jc w:val="left"/>
              <w:textAlignment w:val="center"/>
              <w:rPr>
                <w:rFonts w:hint="eastAsia" w:ascii="宋体" w:hAnsi="宋体" w:cs="宋体"/>
                <w:color w:val="auto"/>
                <w:szCs w:val="21"/>
                <w:highlight w:val="none"/>
              </w:rPr>
            </w:pPr>
            <w:r>
              <w:rPr>
                <w:rStyle w:val="30"/>
                <w:color w:val="auto"/>
                <w:sz w:val="21"/>
                <w:szCs w:val="21"/>
                <w:highlight w:val="none"/>
                <w:lang w:bidi="ar"/>
              </w:rPr>
              <w:t>所有自动无人机、自动机场各装</w:t>
            </w:r>
            <w:r>
              <w:rPr>
                <w:rStyle w:val="36"/>
                <w:rFonts w:ascii="宋体" w:hAnsi="宋体" w:eastAsia="宋体" w:cs="宋体"/>
                <w:color w:val="auto"/>
                <w:highlight w:val="none"/>
                <w:lang w:bidi="ar"/>
              </w:rPr>
              <w:t>1个</w:t>
            </w:r>
          </w:p>
        </w:tc>
        <w:tc>
          <w:tcPr>
            <w:tcW w:w="400" w:type="pct"/>
            <w:tcBorders>
              <w:top w:val="single" w:color="000000" w:sz="4" w:space="0"/>
              <w:left w:val="single" w:color="000000" w:sz="4" w:space="0"/>
              <w:bottom w:val="single" w:color="000000" w:sz="4" w:space="0"/>
              <w:right w:val="single" w:color="000000" w:sz="4" w:space="0"/>
            </w:tcBorders>
            <w:noWrap w:val="0"/>
            <w:vAlign w:val="top"/>
          </w:tcPr>
          <w:p w14:paraId="0FD9AE4F">
            <w:pPr>
              <w:widowControl/>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7DCC482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r>
      <w:tr w14:paraId="73B4649A">
        <w:tblPrEx>
          <w:tblCellMar>
            <w:top w:w="0" w:type="dxa"/>
            <w:left w:w="108" w:type="dxa"/>
            <w:bottom w:w="0" w:type="dxa"/>
            <w:right w:w="108" w:type="dxa"/>
          </w:tblCellMar>
        </w:tblPrEx>
        <w:trPr>
          <w:trHeight w:val="64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F92D354">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kern w:val="0"/>
                <w:szCs w:val="21"/>
                <w:highlight w:val="none"/>
                <w:lang w:val="en-US" w:eastAsia="zh-CN" w:bidi="ar"/>
              </w:rPr>
              <w:t>13</w:t>
            </w:r>
          </w:p>
        </w:tc>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3CE96A">
            <w:pPr>
              <w:jc w:val="center"/>
              <w:rPr>
                <w:rFonts w:hint="eastAsia" w:ascii="宋体" w:hAnsi="宋体" w:cs="宋体"/>
                <w:b/>
                <w:bCs/>
                <w:color w:val="auto"/>
                <w:szCs w:val="21"/>
                <w:highlight w:val="none"/>
              </w:rPr>
            </w:pP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2827718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4G物联网卡</w:t>
            </w:r>
          </w:p>
        </w:tc>
        <w:tc>
          <w:tcPr>
            <w:tcW w:w="2505" w:type="pct"/>
            <w:tcBorders>
              <w:top w:val="single" w:color="000000" w:sz="4" w:space="0"/>
              <w:left w:val="single" w:color="000000" w:sz="4" w:space="0"/>
              <w:bottom w:val="single" w:color="000000" w:sz="4" w:space="0"/>
              <w:right w:val="single" w:color="000000" w:sz="4" w:space="0"/>
            </w:tcBorders>
            <w:noWrap w:val="0"/>
            <w:vAlign w:val="center"/>
          </w:tcPr>
          <w:p w14:paraId="05AD420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10个无人机场、10个自动无人机各装1张，共20张，包含3年套餐通讯费用</w:t>
            </w:r>
          </w:p>
        </w:tc>
        <w:tc>
          <w:tcPr>
            <w:tcW w:w="400" w:type="pct"/>
            <w:tcBorders>
              <w:top w:val="single" w:color="000000" w:sz="4" w:space="0"/>
              <w:left w:val="single" w:color="000000" w:sz="4" w:space="0"/>
              <w:bottom w:val="single" w:color="000000" w:sz="4" w:space="0"/>
              <w:right w:val="single" w:color="000000" w:sz="4" w:space="0"/>
            </w:tcBorders>
            <w:noWrap w:val="0"/>
            <w:vAlign w:val="top"/>
          </w:tcPr>
          <w:p w14:paraId="41070068">
            <w:pPr>
              <w:widowControl/>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6356480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r>
      <w:tr w14:paraId="6748FE68">
        <w:tblPrEx>
          <w:tblCellMar>
            <w:top w:w="0" w:type="dxa"/>
            <w:left w:w="108" w:type="dxa"/>
            <w:bottom w:w="0" w:type="dxa"/>
            <w:right w:w="108" w:type="dxa"/>
          </w:tblCellMar>
        </w:tblPrEx>
        <w:trPr>
          <w:trHeight w:val="46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69024DB">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kern w:val="0"/>
                <w:szCs w:val="21"/>
                <w:highlight w:val="none"/>
                <w:lang w:val="en-US" w:eastAsia="zh-CN" w:bidi="ar"/>
              </w:rPr>
              <w:t>14</w:t>
            </w:r>
          </w:p>
        </w:tc>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82D1DA">
            <w:pPr>
              <w:jc w:val="center"/>
              <w:rPr>
                <w:rFonts w:hint="eastAsia" w:ascii="宋体" w:hAnsi="宋体" w:cs="宋体"/>
                <w:b/>
                <w:bCs/>
                <w:color w:val="auto"/>
                <w:szCs w:val="21"/>
                <w:highlight w:val="none"/>
              </w:rPr>
            </w:pP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72E5A0A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手持终端</w:t>
            </w:r>
          </w:p>
        </w:tc>
        <w:tc>
          <w:tcPr>
            <w:tcW w:w="2505" w:type="pct"/>
            <w:tcBorders>
              <w:top w:val="single" w:color="000000" w:sz="4" w:space="0"/>
              <w:left w:val="single" w:color="000000" w:sz="4" w:space="0"/>
              <w:bottom w:val="single" w:color="000000" w:sz="4" w:space="0"/>
              <w:right w:val="single" w:color="000000" w:sz="4" w:space="0"/>
            </w:tcBorders>
            <w:noWrap w:val="0"/>
            <w:vAlign w:val="center"/>
          </w:tcPr>
          <w:p w14:paraId="01751F6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6台，含3年4G物联网卡或套餐通信费</w:t>
            </w:r>
          </w:p>
        </w:tc>
        <w:tc>
          <w:tcPr>
            <w:tcW w:w="400" w:type="pct"/>
            <w:tcBorders>
              <w:top w:val="single" w:color="000000" w:sz="4" w:space="0"/>
              <w:left w:val="single" w:color="000000" w:sz="4" w:space="0"/>
              <w:bottom w:val="single" w:color="000000" w:sz="4" w:space="0"/>
              <w:right w:val="single" w:color="000000" w:sz="4" w:space="0"/>
            </w:tcBorders>
            <w:noWrap w:val="0"/>
            <w:vAlign w:val="top"/>
          </w:tcPr>
          <w:p w14:paraId="334FBBC4">
            <w:pPr>
              <w:widowControl/>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5D8D26A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r>
      <w:tr w14:paraId="4BA2E8A4">
        <w:tblPrEx>
          <w:tblCellMar>
            <w:top w:w="0" w:type="dxa"/>
            <w:left w:w="108" w:type="dxa"/>
            <w:bottom w:w="0" w:type="dxa"/>
            <w:right w:w="108" w:type="dxa"/>
          </w:tblCellMar>
        </w:tblPrEx>
        <w:trPr>
          <w:trHeight w:val="158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D12E5B0">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kern w:val="0"/>
                <w:szCs w:val="21"/>
                <w:highlight w:val="none"/>
                <w:lang w:val="en-US" w:eastAsia="zh-CN" w:bidi="ar"/>
              </w:rPr>
              <w:t>15</w:t>
            </w:r>
          </w:p>
        </w:tc>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456A75">
            <w:pPr>
              <w:jc w:val="center"/>
              <w:rPr>
                <w:rFonts w:hint="eastAsia" w:ascii="宋体" w:hAnsi="宋体" w:cs="宋体"/>
                <w:b/>
                <w:bCs/>
                <w:color w:val="auto"/>
                <w:szCs w:val="21"/>
                <w:highlight w:val="none"/>
              </w:rPr>
            </w:pP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3CB0627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系统操作工作站</w:t>
            </w:r>
          </w:p>
        </w:tc>
        <w:tc>
          <w:tcPr>
            <w:tcW w:w="2505" w:type="pct"/>
            <w:tcBorders>
              <w:top w:val="single" w:color="000000" w:sz="4" w:space="0"/>
              <w:left w:val="single" w:color="000000" w:sz="4" w:space="0"/>
              <w:bottom w:val="single" w:color="000000" w:sz="4" w:space="0"/>
              <w:right w:val="single" w:color="000000" w:sz="4" w:space="0"/>
            </w:tcBorders>
            <w:noWrap w:val="0"/>
            <w:vAlign w:val="center"/>
          </w:tcPr>
          <w:p w14:paraId="4B0749DF">
            <w:pPr>
              <w:widowControl/>
              <w:jc w:val="left"/>
              <w:textAlignment w:val="center"/>
              <w:rPr>
                <w:rStyle w:val="36"/>
                <w:rFonts w:ascii="宋体" w:hAnsi="宋体" w:eastAsia="宋体" w:cs="宋体"/>
                <w:color w:val="auto"/>
                <w:highlight w:val="none"/>
                <w:lang w:bidi="ar"/>
              </w:rPr>
            </w:pPr>
            <w:r>
              <w:rPr>
                <w:rStyle w:val="30"/>
                <w:color w:val="auto"/>
                <w:sz w:val="21"/>
                <w:szCs w:val="21"/>
                <w:highlight w:val="none"/>
                <w:lang w:bidi="ar"/>
              </w:rPr>
              <w:t>处理器配置不低于</w:t>
            </w:r>
            <w:r>
              <w:rPr>
                <w:rStyle w:val="36"/>
                <w:rFonts w:ascii="宋体" w:hAnsi="宋体" w:eastAsia="宋体" w:cs="宋体"/>
                <w:color w:val="auto"/>
                <w:highlight w:val="none"/>
                <w:lang w:bidi="ar"/>
              </w:rPr>
              <w:t>i7-11700；内存大小不低于16GB；硬盘大小不低于512G SSD+1TB 机械硬盘；显卡不低于RTX 4080；电源不低于750W；不低于27寸2K分辨率的显示屏；包括其他必要配件。</w:t>
            </w:r>
          </w:p>
          <w:p w14:paraId="69FF9F6B">
            <w:pPr>
              <w:widowControl/>
              <w:jc w:val="left"/>
              <w:textAlignment w:val="center"/>
              <w:rPr>
                <w:rStyle w:val="36"/>
                <w:rFonts w:hint="eastAsia" w:ascii="宋体" w:hAnsi="宋体" w:eastAsia="宋体" w:cs="宋体"/>
                <w:color w:val="auto"/>
                <w:highlight w:val="none"/>
                <w:lang w:val="en-US" w:eastAsia="zh-CN" w:bidi="ar"/>
              </w:rPr>
            </w:pPr>
            <w:r>
              <w:rPr>
                <w:rStyle w:val="36"/>
                <w:rFonts w:hint="eastAsia" w:ascii="宋体" w:hAnsi="宋体" w:cs="宋体"/>
                <w:color w:val="auto"/>
                <w:highlight w:val="none"/>
                <w:lang w:val="en-US" w:eastAsia="zh-CN" w:bidi="ar"/>
              </w:rPr>
              <w:t>显示</w:t>
            </w:r>
            <w:r>
              <w:rPr>
                <w:rStyle w:val="36"/>
                <w:rFonts w:hint="eastAsia" w:ascii="宋体" w:hAnsi="宋体" w:eastAsia="宋体" w:cs="宋体"/>
                <w:color w:val="auto"/>
                <w:highlight w:val="none"/>
                <w:lang w:val="en-US" w:eastAsia="zh-CN" w:bidi="ar"/>
              </w:rPr>
              <w:t>大屏屏幕尺寸：不小于85英寸，分辨率：超高清4K（不小于3840*2160），内存：4GB，存储：32GB</w:t>
            </w:r>
            <w:r>
              <w:rPr>
                <w:rStyle w:val="36"/>
                <w:rFonts w:hint="eastAsia" w:ascii="宋体" w:hAnsi="宋体" w:cs="宋体"/>
                <w:color w:val="auto"/>
                <w:highlight w:val="none"/>
                <w:lang w:val="en-US" w:eastAsia="zh-CN" w:bidi="ar"/>
              </w:rPr>
              <w:t>。</w:t>
            </w:r>
          </w:p>
        </w:tc>
        <w:tc>
          <w:tcPr>
            <w:tcW w:w="400" w:type="pct"/>
            <w:tcBorders>
              <w:top w:val="single" w:color="000000" w:sz="4" w:space="0"/>
              <w:left w:val="single" w:color="000000" w:sz="4" w:space="0"/>
              <w:bottom w:val="single" w:color="000000" w:sz="4" w:space="0"/>
              <w:right w:val="single" w:color="000000" w:sz="4" w:space="0"/>
            </w:tcBorders>
            <w:noWrap w:val="0"/>
            <w:vAlign w:val="top"/>
          </w:tcPr>
          <w:p w14:paraId="237F2E8B">
            <w:pPr>
              <w:widowControl/>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台</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2D84762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29D80F37">
        <w:tblPrEx>
          <w:tblCellMar>
            <w:top w:w="0" w:type="dxa"/>
            <w:left w:w="108" w:type="dxa"/>
            <w:bottom w:w="0" w:type="dxa"/>
            <w:right w:w="108" w:type="dxa"/>
          </w:tblCellMar>
        </w:tblPrEx>
        <w:trPr>
          <w:trHeight w:val="78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2582C6E">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kern w:val="0"/>
                <w:szCs w:val="21"/>
                <w:highlight w:val="none"/>
                <w:lang w:val="en-US" w:eastAsia="zh-CN" w:bidi="ar"/>
              </w:rPr>
              <w:t>16</w:t>
            </w:r>
          </w:p>
        </w:tc>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A713D7">
            <w:pPr>
              <w:jc w:val="center"/>
              <w:rPr>
                <w:rFonts w:hint="eastAsia" w:ascii="宋体" w:hAnsi="宋体" w:cs="宋体"/>
                <w:b/>
                <w:bCs/>
                <w:color w:val="auto"/>
                <w:szCs w:val="21"/>
                <w:highlight w:val="none"/>
              </w:rPr>
            </w:pP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66A5E0F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音箱</w:t>
            </w:r>
          </w:p>
        </w:tc>
        <w:tc>
          <w:tcPr>
            <w:tcW w:w="2505" w:type="pct"/>
            <w:tcBorders>
              <w:top w:val="single" w:color="000000" w:sz="4" w:space="0"/>
              <w:left w:val="single" w:color="000000" w:sz="4" w:space="0"/>
              <w:bottom w:val="single" w:color="000000" w:sz="4" w:space="0"/>
              <w:right w:val="single" w:color="000000" w:sz="4" w:space="0"/>
            </w:tcBorders>
            <w:noWrap w:val="0"/>
            <w:vAlign w:val="center"/>
          </w:tcPr>
          <w:p w14:paraId="0C29009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在招标人办公电脑上配备</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台音箱用于播放报警语音；系统操作工作站配置1台音箱用于播放报警语音；</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0E85796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30DA61B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r>
      <w:tr w14:paraId="1F4A268D">
        <w:tblPrEx>
          <w:tblCellMar>
            <w:top w:w="0" w:type="dxa"/>
            <w:left w:w="108" w:type="dxa"/>
            <w:bottom w:w="0" w:type="dxa"/>
            <w:right w:w="108" w:type="dxa"/>
          </w:tblCellMar>
        </w:tblPrEx>
        <w:trPr>
          <w:trHeight w:val="61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BCF576F">
            <w:pPr>
              <w:widowControl/>
              <w:jc w:val="center"/>
              <w:textAlignment w:val="center"/>
              <w:rPr>
                <w:rFonts w:hint="default" w:ascii="宋体" w:hAnsi="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17</w:t>
            </w:r>
          </w:p>
        </w:tc>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DFA3C1">
            <w:pPr>
              <w:jc w:val="center"/>
              <w:rPr>
                <w:rFonts w:hint="eastAsia" w:ascii="宋体" w:hAnsi="宋体" w:cs="宋体"/>
                <w:b/>
                <w:bCs/>
                <w:color w:val="auto"/>
                <w:szCs w:val="21"/>
                <w:highlight w:val="none"/>
              </w:rPr>
            </w:pP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5C239EE1">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巡查电动自行车</w:t>
            </w:r>
          </w:p>
        </w:tc>
        <w:tc>
          <w:tcPr>
            <w:tcW w:w="2505" w:type="pct"/>
            <w:tcBorders>
              <w:top w:val="single" w:color="000000" w:sz="4" w:space="0"/>
              <w:left w:val="single" w:color="000000" w:sz="4" w:space="0"/>
              <w:bottom w:val="single" w:color="000000" w:sz="4" w:space="0"/>
              <w:right w:val="single" w:color="000000" w:sz="4" w:space="0"/>
            </w:tcBorders>
            <w:noWrap w:val="0"/>
            <w:vAlign w:val="center"/>
          </w:tcPr>
          <w:p w14:paraId="23C2E4F4">
            <w:pPr>
              <w:widowControl/>
              <w:jc w:val="left"/>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可折叠，续航里程不少于30KM</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206E1738">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辆</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0CF575E0">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w:t>
            </w:r>
          </w:p>
        </w:tc>
      </w:tr>
      <w:tr w14:paraId="11E86312">
        <w:tblPrEx>
          <w:tblCellMar>
            <w:top w:w="0" w:type="dxa"/>
            <w:left w:w="108" w:type="dxa"/>
            <w:bottom w:w="0" w:type="dxa"/>
            <w:right w:w="108" w:type="dxa"/>
          </w:tblCellMar>
        </w:tblPrEx>
        <w:trPr>
          <w:trHeight w:val="1040" w:hRule="atLeast"/>
        </w:trPr>
        <w:tc>
          <w:tcPr>
            <w:tcW w:w="251" w:type="pct"/>
            <w:tcBorders>
              <w:top w:val="single" w:color="000000" w:sz="4" w:space="0"/>
              <w:left w:val="single" w:color="000000" w:sz="4" w:space="0"/>
              <w:bottom w:val="single" w:color="auto" w:sz="4" w:space="0"/>
              <w:right w:val="single" w:color="000000" w:sz="4" w:space="0"/>
            </w:tcBorders>
            <w:noWrap w:val="0"/>
            <w:vAlign w:val="center"/>
          </w:tcPr>
          <w:p w14:paraId="44F642B6">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kern w:val="0"/>
                <w:szCs w:val="21"/>
                <w:highlight w:val="none"/>
                <w:lang w:val="en-US" w:eastAsia="zh-CN" w:bidi="ar"/>
              </w:rPr>
              <w:t>18</w:t>
            </w:r>
          </w:p>
        </w:tc>
        <w:tc>
          <w:tcPr>
            <w:tcW w:w="374" w:type="pct"/>
            <w:vMerge w:val="continue"/>
            <w:tcBorders>
              <w:top w:val="single" w:color="000000" w:sz="4" w:space="0"/>
              <w:left w:val="single" w:color="000000" w:sz="4" w:space="0"/>
              <w:bottom w:val="single" w:color="auto" w:sz="4" w:space="0"/>
              <w:right w:val="single" w:color="000000" w:sz="4" w:space="0"/>
            </w:tcBorders>
            <w:noWrap w:val="0"/>
            <w:vAlign w:val="center"/>
          </w:tcPr>
          <w:p w14:paraId="7E86BD02">
            <w:pPr>
              <w:jc w:val="center"/>
              <w:rPr>
                <w:rFonts w:hint="eastAsia" w:ascii="宋体" w:hAnsi="宋体" w:cs="宋体"/>
                <w:b/>
                <w:bCs/>
                <w:color w:val="auto"/>
                <w:szCs w:val="21"/>
                <w:highlight w:val="none"/>
              </w:rPr>
            </w:pPr>
          </w:p>
        </w:tc>
        <w:tc>
          <w:tcPr>
            <w:tcW w:w="1065" w:type="pct"/>
            <w:tcBorders>
              <w:top w:val="single" w:color="000000" w:sz="4" w:space="0"/>
              <w:left w:val="single" w:color="000000" w:sz="4" w:space="0"/>
              <w:bottom w:val="single" w:color="auto" w:sz="4" w:space="0"/>
              <w:right w:val="single" w:color="000000" w:sz="4" w:space="0"/>
            </w:tcBorders>
            <w:noWrap w:val="0"/>
            <w:vAlign w:val="center"/>
          </w:tcPr>
          <w:p w14:paraId="5BC26310">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视觉多模态大模型一体机</w:t>
            </w:r>
          </w:p>
          <w:p w14:paraId="1D9DE70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（本地化部署）</w:t>
            </w:r>
          </w:p>
        </w:tc>
        <w:tc>
          <w:tcPr>
            <w:tcW w:w="2505" w:type="pct"/>
            <w:tcBorders>
              <w:top w:val="single" w:color="000000" w:sz="4" w:space="0"/>
              <w:left w:val="single" w:color="000000" w:sz="4" w:space="0"/>
              <w:bottom w:val="single" w:color="auto" w:sz="4" w:space="0"/>
              <w:right w:val="single" w:color="000000" w:sz="4" w:space="0"/>
            </w:tcBorders>
            <w:noWrap w:val="0"/>
            <w:vAlign w:val="center"/>
          </w:tcPr>
          <w:p w14:paraId="457B2182">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2U机架式</w:t>
            </w:r>
          </w:p>
          <w:p w14:paraId="56DEB24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CPU:2*Intel Xeon Silver 4210 /AMD同等配置CPU；</w:t>
            </w:r>
          </w:p>
          <w:p w14:paraId="6890B660">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内存:256GB DDR4内存；</w:t>
            </w:r>
          </w:p>
          <w:p w14:paraId="1B3EB09D">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GPU:算力不小于32TFLOPS；</w:t>
            </w:r>
          </w:p>
          <w:p w14:paraId="770392C4">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硬盘：2*960GB, SATA SSD，2*4TB 3.5寸SATA HDD；</w:t>
            </w:r>
          </w:p>
          <w:p w14:paraId="6470DEB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网口:2个万兆/千兆自适应网口</w:t>
            </w:r>
            <w:r>
              <w:rPr>
                <w:rFonts w:hint="eastAsia" w:ascii="宋体" w:hAnsi="宋体" w:cs="宋体"/>
                <w:color w:val="auto"/>
                <w:kern w:val="0"/>
                <w:szCs w:val="21"/>
                <w:highlight w:val="none"/>
                <w:lang w:eastAsia="zh-CN" w:bidi="ar"/>
              </w:rPr>
              <w:t>（包括采购、运输、</w:t>
            </w:r>
            <w:r>
              <w:rPr>
                <w:rFonts w:hint="eastAsia" w:ascii="宋体" w:hAnsi="宋体" w:eastAsia="宋体" w:cs="宋体"/>
                <w:color w:val="auto"/>
                <w:kern w:val="0"/>
                <w:szCs w:val="21"/>
                <w:highlight w:val="none"/>
                <w:lang w:bidi="ar"/>
              </w:rPr>
              <w:t>布线施工、现场测试等服务</w:t>
            </w:r>
            <w:r>
              <w:rPr>
                <w:rFonts w:hint="eastAsia" w:ascii="宋体" w:hAnsi="宋体" w:cs="宋体"/>
                <w:color w:val="auto"/>
                <w:kern w:val="0"/>
                <w:szCs w:val="21"/>
                <w:highlight w:val="none"/>
                <w:lang w:eastAsia="zh-CN" w:bidi="ar"/>
              </w:rPr>
              <w:t>安装、调试和相应耗材投入）</w:t>
            </w:r>
          </w:p>
        </w:tc>
        <w:tc>
          <w:tcPr>
            <w:tcW w:w="400" w:type="pct"/>
            <w:tcBorders>
              <w:top w:val="single" w:color="000000" w:sz="4" w:space="0"/>
              <w:left w:val="single" w:color="000000" w:sz="4" w:space="0"/>
              <w:bottom w:val="single" w:color="auto" w:sz="4" w:space="0"/>
              <w:right w:val="single" w:color="000000" w:sz="4" w:space="0"/>
            </w:tcBorders>
            <w:noWrap w:val="0"/>
            <w:vAlign w:val="center"/>
          </w:tcPr>
          <w:p w14:paraId="78B5043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eastAsia="zh-CN" w:bidi="ar"/>
              </w:rPr>
              <w:t>台</w:t>
            </w:r>
          </w:p>
        </w:tc>
        <w:tc>
          <w:tcPr>
            <w:tcW w:w="402" w:type="pct"/>
            <w:tcBorders>
              <w:top w:val="single" w:color="000000" w:sz="4" w:space="0"/>
              <w:left w:val="single" w:color="000000" w:sz="4" w:space="0"/>
              <w:bottom w:val="single" w:color="auto" w:sz="4" w:space="0"/>
              <w:right w:val="single" w:color="000000" w:sz="4" w:space="0"/>
            </w:tcBorders>
            <w:noWrap w:val="0"/>
            <w:vAlign w:val="center"/>
          </w:tcPr>
          <w:p w14:paraId="237B0CE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1</w:t>
            </w:r>
          </w:p>
        </w:tc>
      </w:tr>
      <w:tr w14:paraId="0449D64C">
        <w:tblPrEx>
          <w:tblCellMar>
            <w:top w:w="0" w:type="dxa"/>
            <w:left w:w="108" w:type="dxa"/>
            <w:bottom w:w="0" w:type="dxa"/>
            <w:right w:w="108" w:type="dxa"/>
          </w:tblCellMar>
        </w:tblPrEx>
        <w:trPr>
          <w:trHeight w:val="2251" w:hRule="atLeast"/>
        </w:trPr>
        <w:tc>
          <w:tcPr>
            <w:tcW w:w="251" w:type="pct"/>
            <w:tcBorders>
              <w:top w:val="single" w:color="auto" w:sz="4" w:space="0"/>
              <w:left w:val="single" w:color="auto" w:sz="4" w:space="0"/>
              <w:bottom w:val="single" w:color="auto" w:sz="4" w:space="0"/>
              <w:right w:val="single" w:color="auto" w:sz="4" w:space="0"/>
            </w:tcBorders>
            <w:noWrap w:val="0"/>
            <w:vAlign w:val="center"/>
          </w:tcPr>
          <w:p w14:paraId="7086216E">
            <w:pPr>
              <w:jc w:val="center"/>
              <w:rPr>
                <w:color w:val="auto"/>
                <w:highlight w:val="none"/>
              </w:rPr>
            </w:pPr>
          </w:p>
          <w:p w14:paraId="25D6DBF5">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kern w:val="0"/>
                <w:szCs w:val="21"/>
                <w:highlight w:val="none"/>
                <w:lang w:val="en-US" w:eastAsia="zh-CN" w:bidi="ar"/>
              </w:rPr>
              <w:t>19</w:t>
            </w:r>
          </w:p>
        </w:tc>
        <w:tc>
          <w:tcPr>
            <w:tcW w:w="374" w:type="pct"/>
            <w:vMerge w:val="continue"/>
            <w:tcBorders>
              <w:top w:val="single" w:color="auto" w:sz="4" w:space="0"/>
              <w:left w:val="single" w:color="auto" w:sz="4" w:space="0"/>
              <w:bottom w:val="single" w:color="auto" w:sz="4" w:space="0"/>
              <w:right w:val="single" w:color="auto" w:sz="4" w:space="0"/>
            </w:tcBorders>
            <w:noWrap w:val="0"/>
            <w:vAlign w:val="center"/>
          </w:tcPr>
          <w:p w14:paraId="28544703">
            <w:pPr>
              <w:jc w:val="center"/>
              <w:rPr>
                <w:rFonts w:hint="eastAsia" w:ascii="宋体" w:hAnsi="宋体" w:cs="宋体"/>
                <w:b/>
                <w:bCs/>
                <w:color w:val="auto"/>
                <w:szCs w:val="21"/>
                <w:highlight w:val="none"/>
              </w:rPr>
            </w:pPr>
          </w:p>
        </w:tc>
        <w:tc>
          <w:tcPr>
            <w:tcW w:w="1065" w:type="pct"/>
            <w:tcBorders>
              <w:top w:val="single" w:color="auto" w:sz="4" w:space="0"/>
              <w:left w:val="single" w:color="auto" w:sz="4" w:space="0"/>
              <w:bottom w:val="single" w:color="auto" w:sz="4" w:space="0"/>
              <w:right w:val="single" w:color="auto" w:sz="4" w:space="0"/>
            </w:tcBorders>
            <w:noWrap w:val="0"/>
            <w:vAlign w:val="center"/>
          </w:tcPr>
          <w:p w14:paraId="4E8A615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服务器</w:t>
            </w:r>
          </w:p>
          <w:p w14:paraId="4FB3B30F">
            <w:pPr>
              <w:widowControl/>
              <w:jc w:val="center"/>
              <w:textAlignment w:val="center"/>
              <w:rPr>
                <w:rFonts w:hint="eastAsia" w:ascii="宋体" w:hAnsi="宋体" w:cs="宋体"/>
                <w:color w:val="auto"/>
                <w:kern w:val="0"/>
                <w:szCs w:val="21"/>
                <w:highlight w:val="none"/>
                <w:lang w:bidi="ar"/>
              </w:rPr>
            </w:pPr>
            <w:r>
              <w:rPr>
                <w:rFonts w:hint="eastAsia" w:ascii="宋体" w:hAnsi="宋体" w:eastAsia="宋体" w:cs="宋体"/>
                <w:color w:val="auto"/>
                <w:kern w:val="0"/>
                <w:szCs w:val="21"/>
                <w:highlight w:val="none"/>
                <w:lang w:bidi="ar"/>
              </w:rPr>
              <w:t>（本地化部署）</w:t>
            </w:r>
          </w:p>
        </w:tc>
        <w:tc>
          <w:tcPr>
            <w:tcW w:w="2505" w:type="pct"/>
            <w:tcBorders>
              <w:top w:val="single" w:color="auto" w:sz="4" w:space="0"/>
              <w:left w:val="single" w:color="auto" w:sz="4" w:space="0"/>
              <w:bottom w:val="single" w:color="auto" w:sz="4" w:space="0"/>
              <w:right w:val="single" w:color="auto" w:sz="4" w:space="0"/>
            </w:tcBorders>
            <w:noWrap w:val="0"/>
            <w:vAlign w:val="center"/>
          </w:tcPr>
          <w:p w14:paraId="24462FB9">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2台 （对应10台机场接入）</w:t>
            </w:r>
          </w:p>
          <w:p w14:paraId="122C916F">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单台配置如下：</w:t>
            </w:r>
          </w:p>
          <w:p w14:paraId="33A0E5B6">
            <w:pPr>
              <w:widowControl/>
              <w:jc w:val="left"/>
              <w:textAlignment w:val="center"/>
              <w:rPr>
                <w:rFonts w:hint="eastAsia" w:ascii="宋体" w:hAnsi="宋体" w:cs="宋体"/>
                <w:color w:val="auto"/>
                <w:kern w:val="0"/>
                <w:szCs w:val="21"/>
                <w:highlight w:val="none"/>
                <w:lang w:bidi="ar"/>
              </w:rPr>
            </w:pPr>
            <w:r>
              <w:rPr>
                <w:rFonts w:hint="eastAsia" w:ascii="宋体" w:hAnsi="宋体" w:eastAsia="宋体" w:cs="宋体"/>
                <w:color w:val="auto"/>
                <w:kern w:val="0"/>
                <w:szCs w:val="21"/>
                <w:highlight w:val="none"/>
                <w:lang w:bidi="ar"/>
              </w:rPr>
              <w:t>CPU：2×6336Y（2.4G/24核心/48线程）；内存：256G DDR4 3200；硬盘1：2×480G SSD；硬盘2：1×20T SATA；GPU：2×4090；阵列卡：2G缓存阵列卡；网卡：4个千兆电口+2个万兆光口，含2个万兆多模光模块；电源：双冗余电源；其他：2U机架式，含标准导轨</w:t>
            </w:r>
            <w:r>
              <w:rPr>
                <w:rFonts w:hint="eastAsia" w:ascii="宋体" w:hAnsi="宋体" w:cs="宋体"/>
                <w:color w:val="auto"/>
                <w:kern w:val="0"/>
                <w:szCs w:val="21"/>
                <w:highlight w:val="none"/>
                <w:lang w:eastAsia="zh-CN" w:bidi="ar"/>
              </w:rPr>
              <w:t>。（包括采购、运输、</w:t>
            </w:r>
            <w:r>
              <w:rPr>
                <w:rFonts w:hint="eastAsia" w:ascii="宋体" w:hAnsi="宋体" w:eastAsia="宋体" w:cs="宋体"/>
                <w:color w:val="auto"/>
                <w:kern w:val="0"/>
                <w:szCs w:val="21"/>
                <w:highlight w:val="none"/>
                <w:lang w:bidi="ar"/>
              </w:rPr>
              <w:t>布线施工、现场测试等服务</w:t>
            </w:r>
            <w:r>
              <w:rPr>
                <w:rFonts w:hint="eastAsia" w:ascii="宋体" w:hAnsi="宋体" w:cs="宋体"/>
                <w:color w:val="auto"/>
                <w:kern w:val="0"/>
                <w:szCs w:val="21"/>
                <w:highlight w:val="none"/>
                <w:lang w:eastAsia="zh-CN" w:bidi="ar"/>
              </w:rPr>
              <w:t>安装、调试和相应耗材投入）</w:t>
            </w:r>
          </w:p>
        </w:tc>
        <w:tc>
          <w:tcPr>
            <w:tcW w:w="400" w:type="pct"/>
            <w:tcBorders>
              <w:top w:val="single" w:color="auto" w:sz="4" w:space="0"/>
              <w:left w:val="single" w:color="auto" w:sz="4" w:space="0"/>
              <w:bottom w:val="single" w:color="auto" w:sz="4" w:space="0"/>
              <w:right w:val="single" w:color="auto" w:sz="4" w:space="0"/>
            </w:tcBorders>
            <w:noWrap w:val="0"/>
            <w:vAlign w:val="top"/>
          </w:tcPr>
          <w:p w14:paraId="58C7EF58">
            <w:pPr>
              <w:widowControl/>
              <w:jc w:val="center"/>
              <w:textAlignment w:val="top"/>
              <w:rPr>
                <w:rFonts w:hint="eastAsia" w:ascii="宋体" w:hAnsi="宋体" w:cs="宋体"/>
                <w:color w:val="auto"/>
                <w:kern w:val="0"/>
                <w:szCs w:val="21"/>
                <w:highlight w:val="none"/>
                <w:lang w:eastAsia="zh-CN" w:bidi="ar"/>
              </w:rPr>
            </w:pPr>
          </w:p>
          <w:p w14:paraId="1B52B768">
            <w:pPr>
              <w:widowControl/>
              <w:jc w:val="center"/>
              <w:textAlignment w:val="top"/>
              <w:rPr>
                <w:rFonts w:hint="eastAsia" w:ascii="宋体" w:hAnsi="宋体" w:cs="宋体"/>
                <w:color w:val="auto"/>
                <w:kern w:val="0"/>
                <w:szCs w:val="21"/>
                <w:highlight w:val="none"/>
                <w:lang w:eastAsia="zh-CN" w:bidi="ar"/>
              </w:rPr>
            </w:pPr>
          </w:p>
          <w:p w14:paraId="01200354">
            <w:pPr>
              <w:widowControl/>
              <w:jc w:val="center"/>
              <w:textAlignment w:val="top"/>
              <w:rPr>
                <w:rFonts w:hint="eastAsia" w:ascii="宋体" w:hAnsi="宋体" w:cs="宋体"/>
                <w:color w:val="auto"/>
                <w:kern w:val="0"/>
                <w:szCs w:val="21"/>
                <w:highlight w:val="none"/>
                <w:lang w:eastAsia="zh-CN" w:bidi="ar"/>
              </w:rPr>
            </w:pPr>
          </w:p>
          <w:p w14:paraId="16656A91">
            <w:pPr>
              <w:widowControl/>
              <w:jc w:val="center"/>
              <w:textAlignment w:val="top"/>
              <w:rPr>
                <w:rFonts w:hint="eastAsia" w:ascii="宋体" w:hAnsi="宋体" w:cs="宋体"/>
                <w:color w:val="auto"/>
                <w:kern w:val="0"/>
                <w:szCs w:val="21"/>
                <w:highlight w:val="none"/>
                <w:lang w:eastAsia="zh-CN" w:bidi="ar"/>
              </w:rPr>
            </w:pPr>
          </w:p>
          <w:p w14:paraId="01465B3B">
            <w:pPr>
              <w:widowControl/>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eastAsia="zh-CN" w:bidi="ar"/>
              </w:rPr>
              <w:t>套</w:t>
            </w:r>
          </w:p>
        </w:tc>
        <w:tc>
          <w:tcPr>
            <w:tcW w:w="402" w:type="pct"/>
            <w:tcBorders>
              <w:top w:val="single" w:color="auto" w:sz="4" w:space="0"/>
              <w:left w:val="single" w:color="auto" w:sz="4" w:space="0"/>
              <w:bottom w:val="single" w:color="auto" w:sz="4" w:space="0"/>
              <w:right w:val="single" w:color="auto" w:sz="4" w:space="0"/>
            </w:tcBorders>
            <w:noWrap w:val="0"/>
            <w:vAlign w:val="center"/>
          </w:tcPr>
          <w:p w14:paraId="200580CD">
            <w:pPr>
              <w:rPr>
                <w:color w:val="auto"/>
                <w:highlight w:val="none"/>
              </w:rPr>
            </w:pPr>
          </w:p>
          <w:p w14:paraId="2D640954">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1</w:t>
            </w:r>
          </w:p>
        </w:tc>
      </w:tr>
    </w:tbl>
    <w:p w14:paraId="5AE1C2DC">
      <w:pPr>
        <w:pStyle w:val="15"/>
        <w:pBdr>
          <w:bottom w:val="none" w:color="auto" w:sz="0" w:space="0"/>
        </w:pBdr>
        <w:jc w:val="both"/>
        <w:rPr>
          <w:rFonts w:hint="eastAsia" w:ascii="宋体" w:hAnsi="宋体"/>
          <w:b/>
          <w:color w:val="auto"/>
          <w:kern w:val="0"/>
          <w:sz w:val="32"/>
          <w:szCs w:val="24"/>
          <w:highlight w:val="none"/>
        </w:rPr>
      </w:pPr>
    </w:p>
    <w:p w14:paraId="6EA126B9">
      <w:pPr>
        <w:pStyle w:val="15"/>
        <w:pBdr>
          <w:bottom w:val="none" w:color="auto" w:sz="0" w:space="0"/>
        </w:pBdr>
        <w:rPr>
          <w:rFonts w:hint="eastAsia" w:ascii="宋体" w:hAnsi="宋体"/>
          <w:b/>
          <w:color w:val="auto"/>
          <w:kern w:val="0"/>
          <w:sz w:val="32"/>
          <w:szCs w:val="24"/>
          <w:highlight w:val="none"/>
        </w:rPr>
      </w:pPr>
    </w:p>
    <w:p w14:paraId="796279B4">
      <w:pPr>
        <w:pStyle w:val="15"/>
        <w:pBdr>
          <w:bottom w:val="none" w:color="auto" w:sz="0" w:space="0"/>
        </w:pBdr>
        <w:rPr>
          <w:rFonts w:hint="eastAsia" w:ascii="宋体" w:hAnsi="宋体"/>
          <w:b/>
          <w:color w:val="auto"/>
          <w:kern w:val="0"/>
          <w:sz w:val="32"/>
          <w:szCs w:val="24"/>
          <w:highlight w:val="none"/>
        </w:rPr>
      </w:pPr>
    </w:p>
    <w:p w14:paraId="169FFE49">
      <w:pPr>
        <w:pStyle w:val="15"/>
        <w:pBdr>
          <w:bottom w:val="none" w:color="auto" w:sz="0" w:space="0"/>
        </w:pBdr>
        <w:rPr>
          <w:rFonts w:hint="eastAsia" w:ascii="宋体" w:hAnsi="宋体"/>
          <w:b/>
          <w:color w:val="auto"/>
          <w:kern w:val="0"/>
          <w:sz w:val="32"/>
          <w:szCs w:val="24"/>
          <w:highlight w:val="none"/>
        </w:rPr>
      </w:pPr>
    </w:p>
    <w:p w14:paraId="00D6BA69">
      <w:pPr>
        <w:pStyle w:val="15"/>
        <w:pBdr>
          <w:bottom w:val="none" w:color="auto" w:sz="0" w:space="0"/>
        </w:pBdr>
        <w:rPr>
          <w:rFonts w:hint="eastAsia" w:ascii="宋体" w:hAnsi="宋体"/>
          <w:b/>
          <w:color w:val="auto"/>
          <w:kern w:val="0"/>
          <w:sz w:val="32"/>
          <w:szCs w:val="24"/>
          <w:highlight w:val="none"/>
        </w:rPr>
      </w:pPr>
    </w:p>
    <w:p w14:paraId="4426B147">
      <w:pPr>
        <w:rPr>
          <w:color w:val="auto"/>
          <w:highlight w:val="none"/>
        </w:rPr>
      </w:pPr>
    </w:p>
    <w:p w14:paraId="6E17F3CC">
      <w:pPr>
        <w:pStyle w:val="15"/>
        <w:pBdr>
          <w:bottom w:val="none" w:color="auto" w:sz="0" w:space="0"/>
        </w:pBdr>
        <w:rPr>
          <w:rFonts w:hint="eastAsia" w:ascii="宋体" w:hAnsi="宋体"/>
          <w:b/>
          <w:color w:val="auto"/>
          <w:kern w:val="0"/>
          <w:sz w:val="32"/>
          <w:szCs w:val="24"/>
          <w:highlight w:val="none"/>
        </w:rPr>
      </w:pPr>
    </w:p>
    <w:p w14:paraId="15180D00">
      <w:pPr>
        <w:spacing w:line="240" w:lineRule="auto"/>
        <w:jc w:val="center"/>
        <w:rPr>
          <w:rFonts w:hint="eastAsia" w:ascii="宋体" w:hAnsi="宋体"/>
          <w:color w:val="auto"/>
          <w:highlight w:val="none"/>
        </w:rPr>
      </w:pPr>
      <w:bookmarkStart w:id="1357" w:name="_Toc18220"/>
      <w:bookmarkStart w:id="1358" w:name="_Toc11986"/>
      <w:bookmarkStart w:id="1359" w:name="_Toc7093"/>
      <w:bookmarkStart w:id="1360" w:name="_Toc15418"/>
      <w:bookmarkStart w:id="1361" w:name="_Toc5672"/>
      <w:r>
        <w:rPr>
          <w:rFonts w:hint="eastAsia" w:ascii="宋体" w:hAnsi="宋体"/>
          <w:color w:val="auto"/>
          <w:highlight w:val="none"/>
        </w:rPr>
        <w:br w:type="page"/>
      </w:r>
    </w:p>
    <w:p w14:paraId="52DCC463">
      <w:pPr>
        <w:pStyle w:val="2"/>
        <w:spacing w:line="240" w:lineRule="auto"/>
        <w:jc w:val="center"/>
        <w:rPr>
          <w:rFonts w:hint="eastAsia" w:ascii="宋体" w:hAnsi="宋体"/>
          <w:color w:val="auto"/>
          <w:highlight w:val="none"/>
        </w:rPr>
      </w:pPr>
    </w:p>
    <w:p w14:paraId="0ACF5B79">
      <w:pPr>
        <w:pStyle w:val="2"/>
        <w:spacing w:line="240" w:lineRule="auto"/>
        <w:jc w:val="center"/>
        <w:rPr>
          <w:rFonts w:hint="eastAsia" w:ascii="宋体" w:hAnsi="宋体"/>
          <w:color w:val="auto"/>
          <w:highlight w:val="none"/>
        </w:rPr>
      </w:pPr>
    </w:p>
    <w:p w14:paraId="12A009DE">
      <w:pPr>
        <w:pStyle w:val="2"/>
        <w:spacing w:line="240" w:lineRule="auto"/>
        <w:jc w:val="center"/>
        <w:rPr>
          <w:rFonts w:hint="eastAsia" w:ascii="宋体" w:hAnsi="宋体"/>
          <w:color w:val="auto"/>
          <w:highlight w:val="none"/>
        </w:rPr>
      </w:pPr>
    </w:p>
    <w:p w14:paraId="4C51B743">
      <w:pPr>
        <w:pStyle w:val="2"/>
        <w:spacing w:line="240" w:lineRule="auto"/>
        <w:jc w:val="center"/>
        <w:rPr>
          <w:rFonts w:hint="eastAsia" w:ascii="宋体" w:hAnsi="宋体"/>
          <w:color w:val="auto"/>
          <w:highlight w:val="none"/>
        </w:rPr>
      </w:pPr>
      <w:bookmarkStart w:id="1362" w:name="_Toc18392"/>
      <w:bookmarkStart w:id="1363" w:name="_Toc30836"/>
      <w:r>
        <w:rPr>
          <w:rFonts w:hint="eastAsia" w:ascii="宋体" w:hAnsi="宋体"/>
          <w:color w:val="auto"/>
          <w:highlight w:val="none"/>
        </w:rPr>
        <w:t>第三卷</w:t>
      </w:r>
      <w:bookmarkEnd w:id="694"/>
      <w:bookmarkEnd w:id="1357"/>
      <w:bookmarkEnd w:id="1358"/>
      <w:bookmarkEnd w:id="1359"/>
      <w:bookmarkEnd w:id="1360"/>
      <w:bookmarkEnd w:id="1361"/>
      <w:bookmarkEnd w:id="1362"/>
      <w:bookmarkEnd w:id="1363"/>
    </w:p>
    <w:p w14:paraId="60D57BF4">
      <w:pPr>
        <w:rPr>
          <w:color w:val="auto"/>
          <w:highlight w:val="none"/>
        </w:rPr>
      </w:pPr>
      <w:bookmarkStart w:id="1364" w:name="_Toc9590802"/>
    </w:p>
    <w:p w14:paraId="25A11B15">
      <w:pPr>
        <w:rPr>
          <w:color w:val="auto"/>
          <w:highlight w:val="none"/>
        </w:rPr>
      </w:pPr>
    </w:p>
    <w:p w14:paraId="53333886">
      <w:pPr>
        <w:rPr>
          <w:color w:val="auto"/>
          <w:highlight w:val="none"/>
        </w:rPr>
      </w:pPr>
    </w:p>
    <w:p w14:paraId="02450A70">
      <w:pPr>
        <w:rPr>
          <w:color w:val="auto"/>
          <w:highlight w:val="none"/>
        </w:rPr>
      </w:pPr>
    </w:p>
    <w:p w14:paraId="7820E344">
      <w:pPr>
        <w:pStyle w:val="3"/>
        <w:rPr>
          <w:rFonts w:hint="eastAsia" w:ascii="宋体" w:hAnsi="宋体" w:eastAsia="宋体"/>
          <w:color w:val="auto"/>
          <w:highlight w:val="none"/>
        </w:rPr>
      </w:pPr>
    </w:p>
    <w:p w14:paraId="3282F291">
      <w:pPr>
        <w:pStyle w:val="3"/>
        <w:jc w:val="center"/>
        <w:rPr>
          <w:rFonts w:hint="eastAsia" w:ascii="宋体" w:hAnsi="宋体" w:eastAsia="宋体"/>
          <w:color w:val="auto"/>
          <w:highlight w:val="none"/>
        </w:rPr>
      </w:pPr>
      <w:bookmarkStart w:id="1365" w:name="_Toc32478"/>
      <w:bookmarkStart w:id="1366" w:name="_Toc21991"/>
      <w:bookmarkStart w:id="1367" w:name="_Toc28090"/>
      <w:bookmarkStart w:id="1368" w:name="_Toc9473"/>
      <w:bookmarkStart w:id="1369" w:name="_Toc7493"/>
      <w:bookmarkStart w:id="1370" w:name="_Toc18147"/>
      <w:bookmarkStart w:id="1371" w:name="_Toc20176"/>
      <w:r>
        <w:rPr>
          <w:rFonts w:hint="eastAsia" w:ascii="宋体" w:hAnsi="宋体" w:eastAsia="宋体"/>
          <w:color w:val="auto"/>
          <w:highlight w:val="none"/>
        </w:rPr>
        <w:t xml:space="preserve">第六章 </w:t>
      </w:r>
      <w:r>
        <w:rPr>
          <w:rFonts w:ascii="宋体" w:hAnsi="宋体" w:eastAsia="宋体"/>
          <w:color w:val="auto"/>
          <w:highlight w:val="none"/>
        </w:rPr>
        <w:t xml:space="preserve"> </w:t>
      </w:r>
      <w:r>
        <w:rPr>
          <w:rFonts w:hint="eastAsia" w:ascii="宋体" w:hAnsi="宋体" w:eastAsia="宋体"/>
          <w:color w:val="auto"/>
          <w:highlight w:val="none"/>
        </w:rPr>
        <w:t>投标文件格式</w:t>
      </w:r>
      <w:bookmarkEnd w:id="1364"/>
      <w:bookmarkEnd w:id="1365"/>
      <w:bookmarkEnd w:id="1366"/>
      <w:bookmarkEnd w:id="1367"/>
      <w:bookmarkEnd w:id="1368"/>
      <w:bookmarkEnd w:id="1369"/>
      <w:bookmarkEnd w:id="1370"/>
      <w:bookmarkEnd w:id="1371"/>
    </w:p>
    <w:p w14:paraId="5389E490">
      <w:pPr>
        <w:jc w:val="center"/>
        <w:rPr>
          <w:rFonts w:hint="eastAsia" w:ascii="宋体" w:hAnsi="宋体"/>
          <w:color w:val="auto"/>
          <w:sz w:val="28"/>
          <w:szCs w:val="28"/>
          <w:highlight w:val="none"/>
          <w:u w:val="single"/>
        </w:rPr>
      </w:pPr>
    </w:p>
    <w:p w14:paraId="719C514F">
      <w:pPr>
        <w:jc w:val="center"/>
        <w:rPr>
          <w:rFonts w:hint="eastAsia" w:ascii="宋体" w:hAnsi="宋体"/>
          <w:color w:val="auto"/>
          <w:sz w:val="28"/>
          <w:szCs w:val="28"/>
          <w:highlight w:val="none"/>
          <w:u w:val="single"/>
        </w:rPr>
      </w:pPr>
    </w:p>
    <w:p w14:paraId="039D6BA8">
      <w:pPr>
        <w:jc w:val="center"/>
        <w:rPr>
          <w:rFonts w:hint="eastAsia" w:ascii="宋体" w:hAnsi="宋体"/>
          <w:color w:val="auto"/>
          <w:sz w:val="28"/>
          <w:szCs w:val="28"/>
          <w:highlight w:val="none"/>
        </w:rPr>
      </w:pPr>
      <w:r>
        <w:rPr>
          <w:rFonts w:hint="eastAsia" w:ascii="宋体" w:hAnsi="宋体"/>
          <w:color w:val="auto"/>
          <w:sz w:val="28"/>
          <w:szCs w:val="28"/>
          <w:highlight w:val="none"/>
        </w:rPr>
        <w:br w:type="page"/>
      </w:r>
      <w:r>
        <w:rPr>
          <w:rFonts w:hint="eastAsia" w:ascii="宋体" w:hAnsi="宋体"/>
          <w:color w:val="auto"/>
          <w:sz w:val="28"/>
          <w:szCs w:val="28"/>
          <w:highlight w:val="none"/>
        </w:rPr>
        <w:t>（项目名称）</w:t>
      </w:r>
    </w:p>
    <w:p w14:paraId="2433D163">
      <w:pPr>
        <w:rPr>
          <w:rFonts w:hint="eastAsia" w:ascii="宋体" w:hAnsi="宋体"/>
          <w:color w:val="auto"/>
          <w:sz w:val="20"/>
          <w:szCs w:val="22"/>
          <w:highlight w:val="none"/>
        </w:rPr>
      </w:pPr>
    </w:p>
    <w:p w14:paraId="59ADDC27">
      <w:pPr>
        <w:rPr>
          <w:rFonts w:hint="eastAsia" w:ascii="宋体" w:hAnsi="宋体"/>
          <w:color w:val="auto"/>
          <w:sz w:val="20"/>
          <w:szCs w:val="22"/>
          <w:highlight w:val="none"/>
        </w:rPr>
      </w:pPr>
    </w:p>
    <w:p w14:paraId="1431D871">
      <w:pPr>
        <w:jc w:val="center"/>
        <w:rPr>
          <w:rFonts w:hint="eastAsia" w:ascii="宋体" w:hAnsi="宋体"/>
          <w:color w:val="auto"/>
          <w:sz w:val="44"/>
          <w:szCs w:val="22"/>
          <w:highlight w:val="none"/>
        </w:rPr>
      </w:pPr>
    </w:p>
    <w:p w14:paraId="1FE59C6D">
      <w:pPr>
        <w:jc w:val="center"/>
        <w:rPr>
          <w:rFonts w:hint="eastAsia" w:ascii="宋体" w:hAnsi="宋体"/>
          <w:color w:val="auto"/>
          <w:sz w:val="44"/>
          <w:szCs w:val="22"/>
          <w:highlight w:val="none"/>
        </w:rPr>
      </w:pPr>
    </w:p>
    <w:p w14:paraId="5B7193B8">
      <w:pPr>
        <w:jc w:val="center"/>
        <w:rPr>
          <w:rFonts w:hint="eastAsia" w:ascii="宋体" w:hAnsi="宋体"/>
          <w:color w:val="auto"/>
          <w:sz w:val="44"/>
          <w:szCs w:val="22"/>
          <w:highlight w:val="none"/>
        </w:rPr>
      </w:pPr>
      <w:r>
        <w:rPr>
          <w:rFonts w:hint="eastAsia" w:ascii="宋体" w:hAnsi="宋体"/>
          <w:color w:val="auto"/>
          <w:sz w:val="44"/>
          <w:szCs w:val="22"/>
          <w:highlight w:val="none"/>
        </w:rPr>
        <w:t>投标文件</w:t>
      </w:r>
    </w:p>
    <w:p w14:paraId="1E219843">
      <w:pPr>
        <w:jc w:val="center"/>
        <w:rPr>
          <w:rFonts w:hint="eastAsia" w:ascii="宋体" w:hAnsi="宋体"/>
          <w:color w:val="auto"/>
          <w:sz w:val="44"/>
          <w:szCs w:val="22"/>
          <w:highlight w:val="none"/>
        </w:rPr>
      </w:pPr>
    </w:p>
    <w:p w14:paraId="1462F4FC">
      <w:pPr>
        <w:rPr>
          <w:rFonts w:hint="eastAsia" w:ascii="宋体" w:hAnsi="宋体"/>
          <w:color w:val="auto"/>
          <w:sz w:val="28"/>
          <w:szCs w:val="22"/>
          <w:highlight w:val="none"/>
        </w:rPr>
      </w:pPr>
    </w:p>
    <w:p w14:paraId="4C3B8467">
      <w:pPr>
        <w:rPr>
          <w:rFonts w:hint="eastAsia" w:ascii="宋体" w:hAnsi="宋体"/>
          <w:color w:val="auto"/>
          <w:sz w:val="28"/>
          <w:szCs w:val="22"/>
          <w:highlight w:val="none"/>
        </w:rPr>
      </w:pPr>
    </w:p>
    <w:p w14:paraId="088880B3">
      <w:pPr>
        <w:rPr>
          <w:rFonts w:hint="eastAsia" w:ascii="宋体" w:hAnsi="宋体"/>
          <w:color w:val="auto"/>
          <w:sz w:val="28"/>
          <w:szCs w:val="22"/>
          <w:highlight w:val="none"/>
        </w:rPr>
      </w:pPr>
    </w:p>
    <w:p w14:paraId="6F5B3496">
      <w:pPr>
        <w:rPr>
          <w:rFonts w:hint="eastAsia" w:ascii="宋体" w:hAnsi="宋体"/>
          <w:color w:val="auto"/>
          <w:sz w:val="28"/>
          <w:szCs w:val="22"/>
          <w:highlight w:val="none"/>
        </w:rPr>
      </w:pPr>
    </w:p>
    <w:p w14:paraId="7DA50D83">
      <w:pPr>
        <w:rPr>
          <w:rFonts w:hint="eastAsia" w:ascii="宋体" w:hAnsi="宋体"/>
          <w:color w:val="auto"/>
          <w:sz w:val="28"/>
          <w:szCs w:val="22"/>
          <w:highlight w:val="none"/>
        </w:rPr>
      </w:pPr>
    </w:p>
    <w:p w14:paraId="50349C83">
      <w:pPr>
        <w:rPr>
          <w:rFonts w:hint="eastAsia" w:ascii="宋体" w:hAnsi="宋体"/>
          <w:color w:val="auto"/>
          <w:sz w:val="28"/>
          <w:szCs w:val="22"/>
          <w:highlight w:val="none"/>
        </w:rPr>
      </w:pPr>
    </w:p>
    <w:p w14:paraId="7F1EF26B">
      <w:pPr>
        <w:rPr>
          <w:rFonts w:hint="eastAsia" w:ascii="宋体" w:hAnsi="宋体"/>
          <w:color w:val="auto"/>
          <w:sz w:val="28"/>
          <w:szCs w:val="22"/>
          <w:highlight w:val="none"/>
        </w:rPr>
      </w:pPr>
    </w:p>
    <w:p w14:paraId="3CA1F1EB">
      <w:pPr>
        <w:rPr>
          <w:rFonts w:hint="eastAsia" w:ascii="宋体" w:hAnsi="宋体"/>
          <w:color w:val="auto"/>
          <w:sz w:val="28"/>
          <w:szCs w:val="22"/>
          <w:highlight w:val="none"/>
        </w:rPr>
      </w:pPr>
    </w:p>
    <w:p w14:paraId="0A4425E5">
      <w:pPr>
        <w:rPr>
          <w:rFonts w:hint="eastAsia" w:ascii="宋体" w:hAnsi="宋体"/>
          <w:color w:val="auto"/>
          <w:sz w:val="28"/>
          <w:szCs w:val="22"/>
          <w:highlight w:val="none"/>
        </w:rPr>
      </w:pPr>
    </w:p>
    <w:p w14:paraId="6C109A92">
      <w:pPr>
        <w:rPr>
          <w:rFonts w:hint="eastAsia" w:ascii="宋体" w:hAnsi="宋体"/>
          <w:color w:val="auto"/>
          <w:sz w:val="28"/>
          <w:szCs w:val="22"/>
          <w:highlight w:val="none"/>
        </w:rPr>
      </w:pPr>
    </w:p>
    <w:p w14:paraId="495F4382">
      <w:pPr>
        <w:rPr>
          <w:rFonts w:hint="eastAsia" w:ascii="宋体" w:hAnsi="宋体"/>
          <w:color w:val="auto"/>
          <w:sz w:val="28"/>
          <w:szCs w:val="22"/>
          <w:highlight w:val="none"/>
        </w:rPr>
      </w:pPr>
    </w:p>
    <w:p w14:paraId="428AE5F9">
      <w:pPr>
        <w:rPr>
          <w:rFonts w:hint="eastAsia" w:ascii="宋体" w:hAnsi="宋体"/>
          <w:color w:val="auto"/>
          <w:sz w:val="28"/>
          <w:szCs w:val="22"/>
          <w:highlight w:val="none"/>
        </w:rPr>
      </w:pPr>
    </w:p>
    <w:p w14:paraId="770E9593">
      <w:pPr>
        <w:rPr>
          <w:rFonts w:hint="eastAsia" w:ascii="宋体" w:hAnsi="宋体"/>
          <w:color w:val="auto"/>
          <w:sz w:val="28"/>
          <w:szCs w:val="22"/>
          <w:highlight w:val="none"/>
        </w:rPr>
      </w:pPr>
    </w:p>
    <w:p w14:paraId="44CDCBCE">
      <w:pPr>
        <w:rPr>
          <w:rFonts w:hint="eastAsia" w:ascii="宋体" w:hAnsi="宋体"/>
          <w:color w:val="auto"/>
          <w:sz w:val="28"/>
          <w:szCs w:val="22"/>
          <w:highlight w:val="none"/>
        </w:rPr>
      </w:pPr>
    </w:p>
    <w:p w14:paraId="3118D04D">
      <w:pPr>
        <w:spacing w:line="360" w:lineRule="auto"/>
        <w:ind w:firstLine="1120" w:firstLineChars="400"/>
        <w:rPr>
          <w:rFonts w:hint="eastAsia" w:ascii="宋体" w:hAnsi="宋体"/>
          <w:color w:val="auto"/>
          <w:sz w:val="28"/>
          <w:szCs w:val="22"/>
          <w:highlight w:val="none"/>
        </w:rPr>
      </w:pPr>
    </w:p>
    <w:p w14:paraId="0AAEC4B8">
      <w:pPr>
        <w:spacing w:line="360" w:lineRule="auto"/>
        <w:ind w:firstLine="1120" w:firstLineChars="400"/>
        <w:rPr>
          <w:rFonts w:hint="eastAsia" w:ascii="宋体" w:hAnsi="宋体"/>
          <w:color w:val="auto"/>
          <w:sz w:val="28"/>
          <w:szCs w:val="22"/>
          <w:highlight w:val="none"/>
        </w:rPr>
      </w:pPr>
      <w:r>
        <w:rPr>
          <w:rFonts w:hint="eastAsia" w:ascii="宋体" w:hAnsi="宋体"/>
          <w:color w:val="auto"/>
          <w:sz w:val="28"/>
          <w:szCs w:val="22"/>
          <w:highlight w:val="none"/>
        </w:rPr>
        <w:t>投标人：（单位公章）</w:t>
      </w:r>
    </w:p>
    <w:p w14:paraId="49425F1A">
      <w:pPr>
        <w:spacing w:line="360" w:lineRule="auto"/>
        <w:ind w:firstLine="1120" w:firstLineChars="400"/>
        <w:jc w:val="left"/>
        <w:rPr>
          <w:rFonts w:hint="eastAsia" w:ascii="宋体" w:hAnsi="宋体"/>
          <w:color w:val="auto"/>
          <w:sz w:val="28"/>
          <w:szCs w:val="22"/>
          <w:highlight w:val="none"/>
        </w:rPr>
      </w:pPr>
      <w:r>
        <w:rPr>
          <w:rFonts w:hint="eastAsia" w:ascii="宋体" w:hAnsi="宋体"/>
          <w:color w:val="auto"/>
          <w:sz w:val="28"/>
          <w:szCs w:val="22"/>
          <w:highlight w:val="none"/>
        </w:rPr>
        <w:t>法定代表人或其委托代理人：              （签字或签章）</w:t>
      </w:r>
    </w:p>
    <w:p w14:paraId="1FBD3D2C">
      <w:pPr>
        <w:jc w:val="center"/>
        <w:rPr>
          <w:rFonts w:hint="eastAsia" w:ascii="宋体" w:hAnsi="宋体"/>
          <w:color w:val="auto"/>
          <w:sz w:val="28"/>
          <w:szCs w:val="22"/>
          <w:highlight w:val="none"/>
        </w:rPr>
      </w:pPr>
    </w:p>
    <w:p w14:paraId="798E587C">
      <w:pPr>
        <w:spacing w:line="400" w:lineRule="exact"/>
        <w:jc w:val="center"/>
        <w:rPr>
          <w:rFonts w:hint="eastAsia" w:ascii="宋体" w:hAnsi="宋体"/>
          <w:color w:val="auto"/>
          <w:szCs w:val="22"/>
          <w:highlight w:val="none"/>
        </w:rPr>
      </w:pPr>
      <w:r>
        <w:rPr>
          <w:rFonts w:hint="eastAsia" w:ascii="宋体" w:hAnsi="宋体"/>
          <w:color w:val="auto"/>
          <w:sz w:val="28"/>
          <w:szCs w:val="22"/>
          <w:highlight w:val="none"/>
        </w:rPr>
        <w:t xml:space="preserve">年 </w:t>
      </w:r>
      <w:r>
        <w:rPr>
          <w:rFonts w:ascii="宋体" w:hAnsi="宋体"/>
          <w:color w:val="auto"/>
          <w:sz w:val="28"/>
          <w:szCs w:val="22"/>
          <w:highlight w:val="none"/>
        </w:rPr>
        <w:t xml:space="preserve">  </w:t>
      </w:r>
      <w:r>
        <w:rPr>
          <w:rFonts w:hint="eastAsia" w:ascii="宋体" w:hAnsi="宋体"/>
          <w:color w:val="auto"/>
          <w:sz w:val="28"/>
          <w:szCs w:val="22"/>
          <w:highlight w:val="none"/>
        </w:rPr>
        <w:t xml:space="preserve">月 </w:t>
      </w:r>
      <w:r>
        <w:rPr>
          <w:rFonts w:ascii="宋体" w:hAnsi="宋体"/>
          <w:color w:val="auto"/>
          <w:sz w:val="28"/>
          <w:szCs w:val="22"/>
          <w:highlight w:val="none"/>
        </w:rPr>
        <w:t xml:space="preserve">  </w:t>
      </w:r>
      <w:r>
        <w:rPr>
          <w:rFonts w:hint="eastAsia" w:ascii="宋体" w:hAnsi="宋体"/>
          <w:color w:val="auto"/>
          <w:sz w:val="28"/>
          <w:szCs w:val="22"/>
          <w:highlight w:val="none"/>
        </w:rPr>
        <w:t>日</w:t>
      </w:r>
      <w:r>
        <w:rPr>
          <w:rFonts w:ascii="宋体" w:hAnsi="宋体"/>
          <w:color w:val="auto"/>
          <w:szCs w:val="22"/>
          <w:highlight w:val="none"/>
        </w:rPr>
        <w:br w:type="page"/>
      </w:r>
    </w:p>
    <w:p w14:paraId="2D316E18">
      <w:pPr>
        <w:keepNext/>
        <w:keepLines/>
        <w:adjustRightInd w:val="0"/>
        <w:spacing w:before="240" w:after="120"/>
        <w:jc w:val="center"/>
        <w:textAlignment w:val="baseline"/>
        <w:outlineLvl w:val="1"/>
        <w:rPr>
          <w:rFonts w:hint="eastAsia" w:ascii="宋体" w:hAnsi="宋体"/>
          <w:b/>
          <w:bCs/>
          <w:color w:val="auto"/>
          <w:kern w:val="0"/>
          <w:sz w:val="28"/>
          <w:szCs w:val="20"/>
          <w:highlight w:val="none"/>
        </w:rPr>
      </w:pPr>
      <w:bookmarkStart w:id="1372" w:name="_Toc30773"/>
      <w:bookmarkStart w:id="1373" w:name="_Toc9590803"/>
      <w:bookmarkStart w:id="1374" w:name="_Toc1482"/>
      <w:bookmarkStart w:id="1375" w:name="_Toc8989"/>
      <w:bookmarkStart w:id="1376" w:name="_Toc11133"/>
      <w:bookmarkStart w:id="1377" w:name="_Toc14169"/>
      <w:bookmarkStart w:id="1378" w:name="_Toc32456"/>
      <w:bookmarkStart w:id="1379" w:name="_Toc10408"/>
      <w:bookmarkStart w:id="1380" w:name="_Toc33535088"/>
      <w:bookmarkStart w:id="1381" w:name="_Toc13090"/>
      <w:bookmarkStart w:id="1382" w:name="_Toc12756"/>
      <w:r>
        <w:rPr>
          <w:rFonts w:hint="eastAsia" w:ascii="宋体" w:hAnsi="宋体"/>
          <w:b/>
          <w:bCs/>
          <w:color w:val="auto"/>
          <w:kern w:val="0"/>
          <w:sz w:val="28"/>
          <w:szCs w:val="20"/>
          <w:highlight w:val="none"/>
        </w:rPr>
        <w:t>目 录</w:t>
      </w:r>
      <w:bookmarkEnd w:id="1372"/>
      <w:bookmarkEnd w:id="1373"/>
      <w:bookmarkEnd w:id="1374"/>
      <w:bookmarkEnd w:id="1375"/>
      <w:bookmarkEnd w:id="1376"/>
      <w:bookmarkEnd w:id="1377"/>
      <w:bookmarkEnd w:id="1378"/>
      <w:bookmarkEnd w:id="1379"/>
      <w:bookmarkEnd w:id="1380"/>
      <w:bookmarkEnd w:id="1381"/>
      <w:bookmarkEnd w:id="1382"/>
    </w:p>
    <w:p w14:paraId="1E376030">
      <w:pPr>
        <w:spacing w:line="48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一、投标文件内容；</w:t>
      </w:r>
    </w:p>
    <w:p w14:paraId="7D1A986F">
      <w:pPr>
        <w:spacing w:line="48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二、投标函；</w:t>
      </w:r>
    </w:p>
    <w:p w14:paraId="20A8E789">
      <w:pPr>
        <w:spacing w:line="48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三、法定代表人身份证明；</w:t>
      </w:r>
    </w:p>
    <w:p w14:paraId="712943D2">
      <w:pPr>
        <w:spacing w:line="48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四、法定代表人授权委托书；</w:t>
      </w:r>
    </w:p>
    <w:p w14:paraId="77307E81">
      <w:pPr>
        <w:spacing w:line="48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五、投标单位组织架构表；</w:t>
      </w:r>
    </w:p>
    <w:p w14:paraId="33BDBC21">
      <w:pPr>
        <w:spacing w:line="48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六、报价表；</w:t>
      </w:r>
    </w:p>
    <w:p w14:paraId="3E4D078D">
      <w:pPr>
        <w:spacing w:line="48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七、合同条款响应性承诺；</w:t>
      </w:r>
    </w:p>
    <w:p w14:paraId="73E95759">
      <w:pPr>
        <w:spacing w:line="48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 xml:space="preserve">八、投标人类似项目业绩表； </w:t>
      </w:r>
    </w:p>
    <w:p w14:paraId="0701232C">
      <w:pPr>
        <w:spacing w:line="48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九、拟委任的主要人员汇总表；</w:t>
      </w:r>
    </w:p>
    <w:p w14:paraId="5ED2CABE">
      <w:pPr>
        <w:spacing w:line="48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 xml:space="preserve">十、主要人员简历表；  </w:t>
      </w:r>
    </w:p>
    <w:p w14:paraId="59EE024A">
      <w:pPr>
        <w:spacing w:line="48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十一、承诺函；</w:t>
      </w:r>
    </w:p>
    <w:p w14:paraId="6E6EDF50">
      <w:pPr>
        <w:spacing w:line="48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 xml:space="preserve">十二、技术部分； </w:t>
      </w:r>
    </w:p>
    <w:p w14:paraId="555C0953">
      <w:pPr>
        <w:spacing w:line="48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十三、资格审查材料；</w:t>
      </w:r>
    </w:p>
    <w:p w14:paraId="5867533D">
      <w:pPr>
        <w:spacing w:line="48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十四、须评审的其他资料</w:t>
      </w:r>
    </w:p>
    <w:p w14:paraId="2A189D16">
      <w:pPr>
        <w:spacing w:line="480" w:lineRule="auto"/>
        <w:ind w:firstLine="480" w:firstLineChars="200"/>
        <w:rPr>
          <w:rFonts w:hint="eastAsia" w:ascii="宋体" w:hAnsi="宋体"/>
          <w:color w:val="auto"/>
          <w:sz w:val="24"/>
          <w:szCs w:val="22"/>
          <w:highlight w:val="none"/>
        </w:rPr>
      </w:pPr>
    </w:p>
    <w:p w14:paraId="1C70D4BA">
      <w:pPr>
        <w:spacing w:line="540" w:lineRule="exact"/>
        <w:rPr>
          <w:rFonts w:hint="eastAsia" w:ascii="宋体" w:hAnsi="宋体"/>
          <w:color w:val="auto"/>
          <w:szCs w:val="22"/>
          <w:highlight w:val="none"/>
        </w:rPr>
      </w:pPr>
    </w:p>
    <w:p w14:paraId="1DB12339">
      <w:pPr>
        <w:spacing w:line="540" w:lineRule="exact"/>
        <w:rPr>
          <w:rFonts w:hint="eastAsia" w:ascii="宋体" w:hAnsi="宋体"/>
          <w:color w:val="auto"/>
          <w:szCs w:val="22"/>
          <w:highlight w:val="none"/>
        </w:rPr>
        <w:sectPr>
          <w:headerReference r:id="rId9" w:type="default"/>
          <w:footerReference r:id="rId10" w:type="default"/>
          <w:pgSz w:w="11905" w:h="16838"/>
          <w:pgMar w:top="1134" w:right="1134" w:bottom="567" w:left="1134" w:header="567" w:footer="590" w:gutter="0"/>
          <w:cols w:space="720" w:num="1"/>
        </w:sectPr>
      </w:pPr>
    </w:p>
    <w:p w14:paraId="13267BFD">
      <w:pPr>
        <w:keepNext/>
        <w:keepLines/>
        <w:adjustRightInd w:val="0"/>
        <w:spacing w:before="240" w:after="60"/>
        <w:textAlignment w:val="baseline"/>
        <w:outlineLvl w:val="0"/>
        <w:rPr>
          <w:rFonts w:hint="eastAsia" w:ascii="宋体" w:hAnsi="宋体"/>
          <w:b/>
          <w:color w:val="auto"/>
          <w:kern w:val="24"/>
          <w:sz w:val="28"/>
          <w:szCs w:val="20"/>
          <w:highlight w:val="none"/>
        </w:rPr>
      </w:pPr>
      <w:bookmarkStart w:id="1383" w:name="_Toc9590804"/>
      <w:bookmarkStart w:id="1384" w:name="_Toc7378"/>
      <w:bookmarkStart w:id="1385" w:name="_Toc5628"/>
      <w:bookmarkStart w:id="1386" w:name="_Toc28596"/>
      <w:bookmarkStart w:id="1387" w:name="_Toc19264"/>
      <w:bookmarkStart w:id="1388" w:name="_Toc6704"/>
      <w:bookmarkStart w:id="1389" w:name="_Toc30383"/>
      <w:bookmarkStart w:id="1390" w:name="_Toc16448"/>
      <w:bookmarkStart w:id="1391" w:name="_Toc3985"/>
      <w:bookmarkStart w:id="1392" w:name="_Toc1021"/>
      <w:r>
        <w:rPr>
          <w:rFonts w:hint="eastAsia" w:ascii="宋体" w:hAnsi="宋体"/>
          <w:b/>
          <w:color w:val="auto"/>
          <w:kern w:val="24"/>
          <w:sz w:val="28"/>
          <w:szCs w:val="20"/>
          <w:highlight w:val="none"/>
        </w:rPr>
        <w:t>一</w:t>
      </w:r>
      <w:r>
        <w:rPr>
          <w:rFonts w:ascii="宋体" w:hAnsi="宋体"/>
          <w:b/>
          <w:color w:val="auto"/>
          <w:kern w:val="24"/>
          <w:sz w:val="28"/>
          <w:szCs w:val="20"/>
          <w:highlight w:val="none"/>
        </w:rPr>
        <w:t>.</w:t>
      </w:r>
      <w:r>
        <w:rPr>
          <w:rFonts w:hint="eastAsia" w:ascii="宋体" w:hAnsi="宋体"/>
          <w:b/>
          <w:color w:val="auto"/>
          <w:kern w:val="24"/>
          <w:sz w:val="28"/>
          <w:szCs w:val="20"/>
          <w:highlight w:val="none"/>
        </w:rPr>
        <w:t>投标文件内容</w:t>
      </w:r>
      <w:bookmarkEnd w:id="1383"/>
      <w:bookmarkEnd w:id="1384"/>
      <w:bookmarkEnd w:id="1385"/>
      <w:bookmarkEnd w:id="1386"/>
      <w:bookmarkEnd w:id="1387"/>
      <w:bookmarkEnd w:id="1388"/>
      <w:bookmarkEnd w:id="1389"/>
      <w:bookmarkEnd w:id="1390"/>
      <w:bookmarkEnd w:id="1391"/>
      <w:bookmarkEnd w:id="1392"/>
    </w:p>
    <w:p w14:paraId="38E30E43">
      <w:pPr>
        <w:pStyle w:val="7"/>
        <w:rPr>
          <w:color w:val="auto"/>
          <w:highlight w:val="none"/>
        </w:rPr>
      </w:pPr>
    </w:p>
    <w:p w14:paraId="7C2AEC9D">
      <w:pPr>
        <w:spacing w:line="500" w:lineRule="exact"/>
        <w:jc w:val="left"/>
        <w:rPr>
          <w:rFonts w:hint="eastAsia" w:ascii="宋体" w:hAnsi="宋体"/>
          <w:color w:val="auto"/>
          <w:spacing w:val="20"/>
          <w:szCs w:val="22"/>
          <w:highlight w:val="none"/>
        </w:rPr>
      </w:pPr>
      <w:r>
        <w:rPr>
          <w:rFonts w:hint="eastAsia" w:ascii="宋体" w:hAnsi="宋体"/>
          <w:color w:val="auto"/>
          <w:spacing w:val="20"/>
          <w:szCs w:val="22"/>
          <w:highlight w:val="none"/>
        </w:rPr>
        <w:t>投标人应根据投标人须知及其前附表、评标办法及其前附表中提及的评审项目要求，按照投标文件格式编制投标文件。</w:t>
      </w:r>
    </w:p>
    <w:p w14:paraId="2918A16F">
      <w:pPr>
        <w:rPr>
          <w:color w:val="auto"/>
          <w:highlight w:val="none"/>
        </w:rPr>
      </w:pPr>
      <w:r>
        <w:rPr>
          <w:rFonts w:ascii="宋体" w:hAnsi="宋体"/>
          <w:color w:val="auto"/>
          <w:kern w:val="24"/>
          <w:sz w:val="28"/>
          <w:szCs w:val="20"/>
          <w:highlight w:val="none"/>
        </w:rPr>
        <w:br w:type="page"/>
      </w:r>
    </w:p>
    <w:p w14:paraId="2417D9D9">
      <w:pPr>
        <w:keepNext/>
        <w:keepLines/>
        <w:adjustRightInd w:val="0"/>
        <w:spacing w:before="240" w:after="60"/>
        <w:textAlignment w:val="baseline"/>
        <w:outlineLvl w:val="0"/>
        <w:rPr>
          <w:rFonts w:hint="eastAsia" w:ascii="宋体" w:hAnsi="宋体"/>
          <w:b/>
          <w:color w:val="auto"/>
          <w:kern w:val="24"/>
          <w:sz w:val="28"/>
          <w:szCs w:val="20"/>
          <w:highlight w:val="none"/>
        </w:rPr>
      </w:pPr>
      <w:bookmarkStart w:id="1393" w:name="_Toc9590805"/>
      <w:bookmarkStart w:id="1394" w:name="_Toc21836"/>
      <w:bookmarkStart w:id="1395" w:name="_Toc31854"/>
      <w:bookmarkStart w:id="1396" w:name="_Toc26639"/>
      <w:bookmarkStart w:id="1397" w:name="_Toc24416"/>
      <w:bookmarkStart w:id="1398" w:name="_Toc9277"/>
      <w:bookmarkStart w:id="1399" w:name="_Toc6587"/>
      <w:bookmarkStart w:id="1400" w:name="_Toc25942"/>
      <w:bookmarkStart w:id="1401" w:name="_Toc26836"/>
      <w:bookmarkStart w:id="1402" w:name="_Toc4944"/>
      <w:r>
        <w:rPr>
          <w:rFonts w:hint="eastAsia" w:ascii="宋体" w:hAnsi="宋体"/>
          <w:b/>
          <w:color w:val="auto"/>
          <w:kern w:val="24"/>
          <w:sz w:val="28"/>
          <w:szCs w:val="20"/>
          <w:highlight w:val="none"/>
        </w:rPr>
        <w:t>二</w:t>
      </w:r>
      <w:r>
        <w:rPr>
          <w:rFonts w:ascii="宋体" w:hAnsi="宋体"/>
          <w:b/>
          <w:color w:val="auto"/>
          <w:kern w:val="24"/>
          <w:sz w:val="28"/>
          <w:szCs w:val="20"/>
          <w:highlight w:val="none"/>
        </w:rPr>
        <w:t>.</w:t>
      </w:r>
      <w:r>
        <w:rPr>
          <w:rFonts w:hint="eastAsia" w:ascii="宋体" w:hAnsi="宋体"/>
          <w:b/>
          <w:color w:val="auto"/>
          <w:kern w:val="24"/>
          <w:sz w:val="28"/>
          <w:szCs w:val="20"/>
          <w:highlight w:val="none"/>
        </w:rPr>
        <w:t>投标函</w:t>
      </w:r>
      <w:bookmarkEnd w:id="1393"/>
      <w:bookmarkEnd w:id="1394"/>
      <w:bookmarkEnd w:id="1395"/>
      <w:bookmarkEnd w:id="1396"/>
      <w:bookmarkEnd w:id="1397"/>
      <w:bookmarkEnd w:id="1398"/>
      <w:bookmarkEnd w:id="1399"/>
      <w:bookmarkEnd w:id="1400"/>
      <w:bookmarkEnd w:id="1401"/>
      <w:bookmarkEnd w:id="1402"/>
    </w:p>
    <w:p w14:paraId="34871635">
      <w:pPr>
        <w:spacing w:line="360" w:lineRule="auto"/>
        <w:ind w:firstLine="405"/>
        <w:jc w:val="center"/>
        <w:rPr>
          <w:rFonts w:hint="eastAsia" w:ascii="宋体" w:hAnsi="宋体"/>
          <w:b/>
          <w:color w:val="auto"/>
          <w:sz w:val="28"/>
          <w:szCs w:val="28"/>
          <w:highlight w:val="none"/>
        </w:rPr>
      </w:pPr>
      <w:bookmarkStart w:id="1403" w:name="_Toc9590806"/>
      <w:r>
        <w:rPr>
          <w:rFonts w:hint="eastAsia" w:ascii="宋体" w:hAnsi="宋体"/>
          <w:b/>
          <w:color w:val="auto"/>
          <w:sz w:val="28"/>
          <w:szCs w:val="28"/>
          <w:highlight w:val="none"/>
        </w:rPr>
        <w:t>投标函</w:t>
      </w:r>
      <w:bookmarkEnd w:id="1403"/>
    </w:p>
    <w:p w14:paraId="4BA385BA">
      <w:pPr>
        <w:spacing w:line="360" w:lineRule="auto"/>
        <w:rPr>
          <w:rFonts w:hint="eastAsia" w:ascii="宋体" w:hAnsi="宋体"/>
          <w:color w:val="auto"/>
          <w:szCs w:val="21"/>
          <w:highlight w:val="none"/>
        </w:rPr>
      </w:pPr>
      <w:r>
        <w:rPr>
          <w:rFonts w:hint="eastAsia" w:ascii="宋体" w:hAnsi="宋体" w:cs="宋体"/>
          <w:color w:val="auto"/>
          <w:szCs w:val="21"/>
          <w:highlight w:val="none"/>
          <w:u w:val="single"/>
        </w:rPr>
        <w:t>东莞市轨道一号线建设发展有限公司</w:t>
      </w:r>
      <w:r>
        <w:rPr>
          <w:rFonts w:hint="eastAsia" w:ascii="宋体" w:hAnsi="宋体"/>
          <w:color w:val="auto"/>
          <w:szCs w:val="21"/>
          <w:highlight w:val="none"/>
        </w:rPr>
        <w:t>：</w:t>
      </w:r>
    </w:p>
    <w:p w14:paraId="55F3BDA3">
      <w:pPr>
        <w:spacing w:line="360" w:lineRule="auto"/>
        <w:ind w:firstLine="405"/>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．我方已仔细研究了</w:t>
      </w:r>
      <w:r>
        <w:rPr>
          <w:rFonts w:hint="eastAsia" w:ascii="宋体" w:hAnsi="宋体"/>
          <w:color w:val="auto"/>
          <w:szCs w:val="21"/>
          <w:highlight w:val="none"/>
          <w:u w:val="single"/>
        </w:rPr>
        <w:t>东莞市轨道交通1号线运营期地铁控制保护区综合管理系统</w:t>
      </w:r>
      <w:r>
        <w:rPr>
          <w:rFonts w:hint="eastAsia" w:ascii="宋体" w:hAnsi="宋体"/>
          <w:color w:val="auto"/>
          <w:szCs w:val="21"/>
          <w:highlight w:val="none"/>
          <w:u w:val="single"/>
          <w:lang w:val="en-US" w:eastAsia="zh-CN"/>
        </w:rPr>
        <w:t>项目</w:t>
      </w:r>
      <w:r>
        <w:rPr>
          <w:rFonts w:hint="eastAsia" w:ascii="宋体" w:hAnsi="宋体"/>
          <w:color w:val="auto"/>
          <w:szCs w:val="21"/>
          <w:highlight w:val="none"/>
        </w:rPr>
        <w:t>（项目名称）招标文件的全部内容，愿意以人民币</w:t>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rPr>
        <w:t>（大写）</w:t>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rPr>
        <w:t>（小写）的投标总报价（其中，增值税税率为</w:t>
      </w:r>
      <w:r>
        <w:rPr>
          <w:rFonts w:ascii="宋体" w:hAnsi="宋体"/>
          <w:color w:val="auto"/>
          <w:szCs w:val="21"/>
          <w:highlight w:val="none"/>
        </w:rPr>
        <w:t>6%</w:t>
      </w:r>
      <w:r>
        <w:rPr>
          <w:rFonts w:hint="eastAsia" w:ascii="宋体" w:hAnsi="宋体"/>
          <w:color w:val="auto"/>
          <w:szCs w:val="21"/>
          <w:highlight w:val="none"/>
        </w:rPr>
        <w:t>），在招标文件规定的服务期限，按合同约定及招标文件有关规定实施和完成综合服务工作，修补工作中的任何缺陷，保证项目质量达到招标要求的标准，并满足招标文件中规定的相关要求。我方完全理解并接受招标文件中所规定的合同价格的确定和支付办法。</w:t>
      </w:r>
    </w:p>
    <w:p w14:paraId="48B571E2">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．我方承诺在招标文件规定的投标有效期内不撤销投标文件。</w:t>
      </w:r>
    </w:p>
    <w:p w14:paraId="51A4E9AF">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随同本投标函提交投标保证金一份，投标保证金由_________（银行或其他投标保证金出具单位名称）出具，金额为人民币__________元，形式为_________（转账、银行支票、电汇、纸质投标保函或担保、电子投标保函、投标保证保险）</w:t>
      </w:r>
    </w:p>
    <w:p w14:paraId="2FDF7960">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．如我方中标，我方承诺：</w:t>
      </w:r>
    </w:p>
    <w:p w14:paraId="607BF3F1">
      <w:pPr>
        <w:spacing w:line="360" w:lineRule="auto"/>
        <w:ind w:left="945" w:leftChars="400" w:hanging="105" w:hangingChars="5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）在收到中标通知书后，在中标通知书规定的期限内与你方签订合同；</w:t>
      </w:r>
    </w:p>
    <w:p w14:paraId="1193BD52">
      <w:pPr>
        <w:spacing w:line="360" w:lineRule="auto"/>
        <w:ind w:left="945" w:leftChars="400" w:hanging="105" w:hangingChars="5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）在签订合同时不向你方提出附加条件；</w:t>
      </w:r>
    </w:p>
    <w:p w14:paraId="20E687D6">
      <w:pPr>
        <w:spacing w:line="360" w:lineRule="auto"/>
        <w:ind w:left="945" w:leftChars="400" w:hanging="105" w:hangingChars="5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）按照招标文件要求提交履约保证金；</w:t>
      </w:r>
    </w:p>
    <w:p w14:paraId="161A25F0">
      <w:pPr>
        <w:spacing w:line="360" w:lineRule="auto"/>
        <w:ind w:left="945" w:leftChars="400" w:hanging="105" w:hangingChars="5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）在合同约定的期限内完成合同规定的全部责任和义务。</w:t>
      </w:r>
    </w:p>
    <w:p w14:paraId="6DA6A9A5">
      <w:pPr>
        <w:spacing w:line="360" w:lineRule="auto"/>
        <w:ind w:left="945" w:leftChars="400" w:hanging="105" w:hangingChars="5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w:t>
      </w:r>
      <w:r>
        <w:rPr>
          <w:rFonts w:hint="eastAsia" w:ascii="宋体" w:hAnsi="宋体"/>
          <w:color w:val="auto"/>
          <w:szCs w:val="21"/>
          <w:highlight w:val="none"/>
          <w:lang w:val="en-US" w:eastAsia="zh-CN"/>
        </w:rPr>
        <w:t>符合</w:t>
      </w:r>
      <w:r>
        <w:rPr>
          <w:rFonts w:hint="eastAsia" w:ascii="宋体" w:hAnsi="宋体"/>
          <w:color w:val="auto"/>
          <w:szCs w:val="21"/>
          <w:highlight w:val="none"/>
        </w:rPr>
        <w:t>招标文件</w:t>
      </w:r>
      <w:r>
        <w:rPr>
          <w:rFonts w:hint="eastAsia" w:ascii="宋体" w:hAnsi="宋体"/>
          <w:color w:val="auto"/>
          <w:szCs w:val="21"/>
          <w:highlight w:val="none"/>
          <w:lang w:val="en-US" w:eastAsia="zh-CN"/>
        </w:rPr>
        <w:t>和用户需求书的</w:t>
      </w:r>
      <w:r>
        <w:rPr>
          <w:rFonts w:hint="eastAsia" w:ascii="宋体" w:hAnsi="宋体"/>
          <w:color w:val="auto"/>
          <w:szCs w:val="21"/>
          <w:highlight w:val="none"/>
        </w:rPr>
        <w:t>要求，</w:t>
      </w:r>
      <w:r>
        <w:rPr>
          <w:rFonts w:hint="eastAsia" w:ascii="宋体" w:hAnsi="宋体"/>
          <w:color w:val="auto"/>
          <w:szCs w:val="21"/>
          <w:highlight w:val="none"/>
          <w:lang w:val="en-US" w:eastAsia="zh-CN"/>
        </w:rPr>
        <w:t>且</w:t>
      </w:r>
      <w:r>
        <w:rPr>
          <w:rFonts w:ascii="宋体" w:hAnsi="宋体"/>
          <w:color w:val="auto"/>
          <w:szCs w:val="21"/>
          <w:highlight w:val="none"/>
        </w:rPr>
        <w:t>配备</w:t>
      </w:r>
      <w:r>
        <w:rPr>
          <w:rFonts w:hint="eastAsia" w:ascii="宋体" w:hAnsi="宋体"/>
          <w:color w:val="auto"/>
          <w:szCs w:val="21"/>
          <w:highlight w:val="none"/>
        </w:rPr>
        <w:t>足够数量</w:t>
      </w:r>
      <w:r>
        <w:rPr>
          <w:rFonts w:ascii="宋体" w:hAnsi="宋体"/>
          <w:color w:val="auto"/>
          <w:szCs w:val="21"/>
          <w:highlight w:val="none"/>
        </w:rPr>
        <w:t>的人员</w:t>
      </w:r>
      <w:r>
        <w:rPr>
          <w:rFonts w:hint="eastAsia" w:ascii="宋体" w:hAnsi="宋体"/>
          <w:color w:val="auto"/>
          <w:szCs w:val="21"/>
          <w:highlight w:val="none"/>
        </w:rPr>
        <w:t>。</w:t>
      </w:r>
    </w:p>
    <w:p w14:paraId="64693E3D">
      <w:pPr>
        <w:spacing w:line="360" w:lineRule="auto"/>
        <w:rPr>
          <w:rFonts w:hint="eastAsia" w:ascii="宋体" w:hAnsi="宋体"/>
          <w:strike/>
          <w:color w:val="auto"/>
          <w:szCs w:val="21"/>
          <w:highlight w:val="none"/>
        </w:rPr>
      </w:pPr>
    </w:p>
    <w:p w14:paraId="740B4C38">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．我方在此声明，所递交的投标文件及有关资料内容完整、真实和准确，且不存在第二章</w:t>
      </w:r>
      <w:r>
        <w:rPr>
          <w:rFonts w:ascii="宋体" w:hAnsi="宋体"/>
          <w:color w:val="auto"/>
          <w:szCs w:val="21"/>
          <w:highlight w:val="none"/>
        </w:rPr>
        <w:t>“</w:t>
      </w:r>
      <w:r>
        <w:rPr>
          <w:rFonts w:hint="eastAsia" w:ascii="宋体" w:hAnsi="宋体"/>
          <w:color w:val="auto"/>
          <w:szCs w:val="21"/>
          <w:highlight w:val="none"/>
        </w:rPr>
        <w:t>投标人须知</w:t>
      </w:r>
      <w:r>
        <w:rPr>
          <w:rFonts w:ascii="宋体" w:hAnsi="宋体"/>
          <w:color w:val="auto"/>
          <w:szCs w:val="21"/>
          <w:highlight w:val="none"/>
        </w:rPr>
        <w:t>”</w:t>
      </w:r>
      <w:r>
        <w:rPr>
          <w:rFonts w:hint="eastAsia" w:ascii="宋体" w:hAnsi="宋体"/>
          <w:color w:val="auto"/>
          <w:szCs w:val="21"/>
          <w:highlight w:val="none"/>
        </w:rPr>
        <w:t>第</w:t>
      </w:r>
      <w:r>
        <w:rPr>
          <w:rFonts w:ascii="宋体" w:hAnsi="宋体"/>
          <w:color w:val="auto"/>
          <w:szCs w:val="21"/>
          <w:highlight w:val="none"/>
        </w:rPr>
        <w:t>1.4.3</w:t>
      </w:r>
      <w:r>
        <w:rPr>
          <w:rFonts w:hint="eastAsia" w:ascii="宋体" w:hAnsi="宋体"/>
          <w:color w:val="auto"/>
          <w:szCs w:val="21"/>
          <w:highlight w:val="none"/>
        </w:rPr>
        <w:t>项规定的任何一种情形。</w:t>
      </w:r>
    </w:p>
    <w:p w14:paraId="3D0B647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rPr>
        <w:t>（其他补充说明）。</w:t>
      </w:r>
    </w:p>
    <w:p w14:paraId="672690EB">
      <w:pPr>
        <w:spacing w:line="360" w:lineRule="auto"/>
        <w:ind w:firstLine="420" w:firstLineChars="200"/>
        <w:rPr>
          <w:rFonts w:hint="eastAsia" w:ascii="宋体" w:hAnsi="宋体"/>
          <w:color w:val="auto"/>
          <w:szCs w:val="21"/>
          <w:highlight w:val="none"/>
        </w:rPr>
      </w:pPr>
    </w:p>
    <w:p w14:paraId="2E2128C4">
      <w:pPr>
        <w:spacing w:line="360" w:lineRule="auto"/>
        <w:ind w:firstLine="420" w:firstLineChars="200"/>
        <w:rPr>
          <w:rFonts w:hint="eastAsia" w:ascii="宋体" w:hAnsi="宋体"/>
          <w:color w:val="auto"/>
          <w:szCs w:val="21"/>
          <w:highlight w:val="none"/>
        </w:rPr>
      </w:pPr>
    </w:p>
    <w:p w14:paraId="0DB819AC">
      <w:pPr>
        <w:spacing w:line="360" w:lineRule="auto"/>
        <w:ind w:firstLine="2520" w:firstLineChars="1200"/>
        <w:jc w:val="left"/>
        <w:rPr>
          <w:rFonts w:hint="eastAsia"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rPr>
        <w:t>（单位公章）</w:t>
      </w:r>
    </w:p>
    <w:p w14:paraId="5C4D7E96">
      <w:pPr>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rPr>
        <w:t>（签字或签章）</w:t>
      </w:r>
    </w:p>
    <w:p w14:paraId="6542D398">
      <w:pPr>
        <w:spacing w:line="360" w:lineRule="auto"/>
        <w:ind w:firstLine="2730" w:firstLineChars="1300"/>
        <w:jc w:val="left"/>
        <w:rPr>
          <w:rFonts w:hint="eastAsia" w:ascii="宋体" w:hAnsi="宋体"/>
          <w:color w:val="auto"/>
          <w:szCs w:val="21"/>
          <w:highlight w:val="none"/>
        </w:rPr>
      </w:pPr>
      <w:r>
        <w:rPr>
          <w:rFonts w:hint="eastAsia" w:ascii="宋体" w:hAnsi="宋体"/>
          <w:color w:val="auto"/>
          <w:szCs w:val="21"/>
          <w:highlight w:val="none"/>
        </w:rPr>
        <w:t>地址：</w:t>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54B12046">
      <w:pPr>
        <w:spacing w:line="360" w:lineRule="auto"/>
        <w:ind w:firstLine="2730" w:firstLineChars="1300"/>
        <w:jc w:val="left"/>
        <w:rPr>
          <w:rFonts w:hint="eastAsia" w:ascii="宋体" w:hAnsi="宋体"/>
          <w:color w:val="auto"/>
          <w:szCs w:val="21"/>
          <w:highlight w:val="none"/>
        </w:rPr>
      </w:pPr>
      <w:r>
        <w:rPr>
          <w:rFonts w:hint="eastAsia" w:ascii="宋体" w:hAnsi="宋体"/>
          <w:color w:val="auto"/>
          <w:szCs w:val="21"/>
          <w:highlight w:val="none"/>
        </w:rPr>
        <w:t>网址：</w:t>
      </w:r>
      <w:r>
        <w:rPr>
          <w:rFonts w:ascii="宋体" w:hAnsi="宋体"/>
          <w:color w:val="auto"/>
          <w:szCs w:val="21"/>
          <w:highlight w:val="none"/>
          <w:u w:val="single"/>
        </w:rPr>
        <w:tab/>
      </w:r>
      <w:r>
        <w:rPr>
          <w:rFonts w:ascii="宋体" w:hAnsi="宋体"/>
          <w:color w:val="auto"/>
          <w:szCs w:val="21"/>
          <w:highlight w:val="none"/>
          <w:u w:val="single"/>
        </w:rPr>
        <w:t xml:space="preserve">                    </w:t>
      </w:r>
    </w:p>
    <w:p w14:paraId="0E21F678">
      <w:pPr>
        <w:spacing w:line="360" w:lineRule="auto"/>
        <w:ind w:firstLine="2730" w:firstLineChars="1300"/>
        <w:jc w:val="left"/>
        <w:rPr>
          <w:rFonts w:hint="eastAsia"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4A853A22">
      <w:pPr>
        <w:spacing w:line="360" w:lineRule="auto"/>
        <w:ind w:firstLine="2730" w:firstLineChars="1300"/>
        <w:jc w:val="left"/>
        <w:rPr>
          <w:rFonts w:hint="eastAsia" w:ascii="宋体" w:hAnsi="宋体"/>
          <w:color w:val="auto"/>
          <w:szCs w:val="21"/>
          <w:highlight w:val="none"/>
        </w:rPr>
      </w:pPr>
      <w:r>
        <w:rPr>
          <w:rFonts w:hint="eastAsia" w:ascii="宋体" w:hAnsi="宋体"/>
          <w:color w:val="auto"/>
          <w:szCs w:val="21"/>
          <w:highlight w:val="none"/>
        </w:rPr>
        <w:t>传真：</w:t>
      </w:r>
      <w:r>
        <w:rPr>
          <w:rFonts w:ascii="宋体" w:hAnsi="宋体"/>
          <w:color w:val="auto"/>
          <w:szCs w:val="21"/>
          <w:highlight w:val="none"/>
          <w:u w:val="single"/>
        </w:rPr>
        <w:tab/>
      </w:r>
      <w:r>
        <w:rPr>
          <w:rFonts w:ascii="宋体" w:hAnsi="宋体"/>
          <w:color w:val="auto"/>
          <w:szCs w:val="21"/>
          <w:highlight w:val="none"/>
          <w:u w:val="single"/>
        </w:rPr>
        <w:t xml:space="preserve">                    </w:t>
      </w:r>
    </w:p>
    <w:p w14:paraId="28F850D5">
      <w:pPr>
        <w:spacing w:line="360" w:lineRule="auto"/>
        <w:ind w:firstLine="2310" w:firstLineChars="1100"/>
        <w:jc w:val="left"/>
        <w:rPr>
          <w:rFonts w:hint="eastAsia" w:ascii="宋体" w:hAnsi="宋体"/>
          <w:color w:val="auto"/>
          <w:szCs w:val="21"/>
          <w:highlight w:val="none"/>
        </w:rPr>
      </w:pPr>
      <w:r>
        <w:rPr>
          <w:rFonts w:hint="eastAsia" w:ascii="宋体" w:hAnsi="宋体"/>
          <w:color w:val="auto"/>
          <w:szCs w:val="21"/>
          <w:highlight w:val="none"/>
        </w:rPr>
        <w:t>邮政编码：</w:t>
      </w:r>
      <w:r>
        <w:rPr>
          <w:rFonts w:ascii="宋体" w:hAnsi="宋体"/>
          <w:color w:val="auto"/>
          <w:szCs w:val="21"/>
          <w:highlight w:val="none"/>
          <w:u w:val="single"/>
        </w:rPr>
        <w:tab/>
      </w:r>
      <w:r>
        <w:rPr>
          <w:rFonts w:ascii="宋体" w:hAnsi="宋体"/>
          <w:color w:val="auto"/>
          <w:szCs w:val="21"/>
          <w:highlight w:val="none"/>
          <w:u w:val="single"/>
        </w:rPr>
        <w:t xml:space="preserve">                </w:t>
      </w:r>
    </w:p>
    <w:p w14:paraId="617467B2">
      <w:pPr>
        <w:spacing w:line="360" w:lineRule="auto"/>
        <w:ind w:firstLine="2940" w:firstLineChars="1400"/>
        <w:jc w:val="left"/>
        <w:rPr>
          <w:rFonts w:hint="eastAsia" w:ascii="宋体" w:hAnsi="宋体"/>
          <w:color w:val="auto"/>
          <w:szCs w:val="21"/>
          <w:highlight w:val="none"/>
        </w:rPr>
      </w:pP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 xml:space="preserve">月 </w:t>
      </w:r>
      <w:r>
        <w:rPr>
          <w:rFonts w:ascii="宋体" w:hAnsi="宋体"/>
          <w:color w:val="auto"/>
          <w:szCs w:val="21"/>
          <w:highlight w:val="none"/>
        </w:rPr>
        <w:t xml:space="preserve">  </w:t>
      </w:r>
      <w:r>
        <w:rPr>
          <w:rFonts w:hint="eastAsia" w:ascii="宋体" w:hAnsi="宋体"/>
          <w:color w:val="auto"/>
          <w:szCs w:val="21"/>
          <w:highlight w:val="none"/>
        </w:rPr>
        <w:t>日</w:t>
      </w:r>
    </w:p>
    <w:p w14:paraId="42BA12AC">
      <w:pPr>
        <w:widowControl/>
        <w:jc w:val="left"/>
        <w:rPr>
          <w:rFonts w:hint="eastAsia" w:ascii="宋体" w:hAnsi="宋体"/>
          <w:color w:val="auto"/>
          <w:szCs w:val="21"/>
          <w:highlight w:val="none"/>
        </w:rPr>
      </w:pPr>
    </w:p>
    <w:p w14:paraId="71DBEF1F">
      <w:pPr>
        <w:spacing w:line="440" w:lineRule="exact"/>
        <w:ind w:firstLine="4725" w:firstLineChars="2250"/>
        <w:jc w:val="right"/>
        <w:rPr>
          <w:rFonts w:hint="eastAsia" w:ascii="宋体" w:hAnsi="宋体"/>
          <w:color w:val="auto"/>
          <w:szCs w:val="21"/>
          <w:highlight w:val="none"/>
        </w:rPr>
      </w:pPr>
      <w:r>
        <w:rPr>
          <w:rFonts w:ascii="宋体" w:hAnsi="宋体"/>
          <w:color w:val="auto"/>
          <w:szCs w:val="21"/>
          <w:highlight w:val="none"/>
        </w:rPr>
        <w:br w:type="page"/>
      </w:r>
    </w:p>
    <w:p w14:paraId="783343A5">
      <w:pPr>
        <w:keepNext/>
        <w:keepLines/>
        <w:adjustRightInd w:val="0"/>
        <w:spacing w:before="240" w:after="60"/>
        <w:textAlignment w:val="baseline"/>
        <w:outlineLvl w:val="0"/>
        <w:rPr>
          <w:rFonts w:hint="eastAsia" w:ascii="宋体" w:hAnsi="宋体"/>
          <w:b/>
          <w:color w:val="auto"/>
          <w:kern w:val="24"/>
          <w:sz w:val="28"/>
          <w:szCs w:val="20"/>
          <w:highlight w:val="none"/>
        </w:rPr>
      </w:pPr>
      <w:bookmarkStart w:id="1404" w:name="_Toc30131"/>
      <w:bookmarkStart w:id="1405" w:name="_Toc2169"/>
      <w:bookmarkStart w:id="1406" w:name="_Toc31002"/>
      <w:bookmarkStart w:id="1407" w:name="_Toc28550"/>
      <w:bookmarkStart w:id="1408" w:name="_Toc17161"/>
      <w:bookmarkStart w:id="1409" w:name="_Toc9590808"/>
      <w:bookmarkStart w:id="1410" w:name="_Toc12376"/>
      <w:bookmarkStart w:id="1411" w:name="_Toc12009"/>
      <w:bookmarkStart w:id="1412" w:name="_Toc26012"/>
      <w:bookmarkStart w:id="1413" w:name="_Toc379"/>
      <w:r>
        <w:rPr>
          <w:rFonts w:hint="eastAsia" w:ascii="宋体" w:hAnsi="宋体"/>
          <w:b/>
          <w:color w:val="auto"/>
          <w:kern w:val="24"/>
          <w:sz w:val="28"/>
          <w:szCs w:val="20"/>
          <w:highlight w:val="none"/>
        </w:rPr>
        <w:t>三</w:t>
      </w:r>
      <w:r>
        <w:rPr>
          <w:rFonts w:ascii="宋体" w:hAnsi="宋体"/>
          <w:b/>
          <w:color w:val="auto"/>
          <w:kern w:val="24"/>
          <w:sz w:val="28"/>
          <w:szCs w:val="20"/>
          <w:highlight w:val="none"/>
        </w:rPr>
        <w:t>.</w:t>
      </w:r>
      <w:r>
        <w:rPr>
          <w:rFonts w:hint="eastAsia" w:ascii="宋体" w:hAnsi="宋体"/>
          <w:b/>
          <w:color w:val="auto"/>
          <w:kern w:val="24"/>
          <w:sz w:val="28"/>
          <w:szCs w:val="20"/>
          <w:highlight w:val="none"/>
        </w:rPr>
        <w:t>法定代表人身份证明</w:t>
      </w:r>
      <w:bookmarkEnd w:id="1404"/>
      <w:bookmarkEnd w:id="1405"/>
      <w:bookmarkEnd w:id="1406"/>
      <w:bookmarkEnd w:id="1407"/>
      <w:bookmarkEnd w:id="1408"/>
      <w:bookmarkEnd w:id="1409"/>
      <w:bookmarkEnd w:id="1410"/>
      <w:bookmarkEnd w:id="1411"/>
      <w:bookmarkEnd w:id="1412"/>
      <w:bookmarkEnd w:id="1413"/>
    </w:p>
    <w:p w14:paraId="55E3C968">
      <w:pPr>
        <w:spacing w:line="440" w:lineRule="exact"/>
        <w:jc w:val="center"/>
        <w:rPr>
          <w:rFonts w:hint="eastAsia" w:ascii="宋体" w:hAnsi="宋体"/>
          <w:color w:val="auto"/>
          <w:szCs w:val="22"/>
          <w:highlight w:val="none"/>
        </w:rPr>
      </w:pPr>
      <w:r>
        <w:rPr>
          <w:rFonts w:hint="eastAsia" w:ascii="宋体" w:hAnsi="宋体"/>
          <w:color w:val="auto"/>
          <w:szCs w:val="22"/>
          <w:highlight w:val="none"/>
        </w:rPr>
        <w:t>法定代表人身份证明</w:t>
      </w:r>
    </w:p>
    <w:p w14:paraId="6239EF5D">
      <w:pPr>
        <w:spacing w:line="440" w:lineRule="exact"/>
        <w:rPr>
          <w:rFonts w:hint="eastAsia" w:ascii="宋体" w:hAnsi="宋体"/>
          <w:color w:val="auto"/>
          <w:szCs w:val="22"/>
          <w:highlight w:val="none"/>
        </w:rPr>
      </w:pPr>
    </w:p>
    <w:p w14:paraId="63F5C365">
      <w:pPr>
        <w:spacing w:line="440" w:lineRule="exact"/>
        <w:rPr>
          <w:rFonts w:hint="eastAsia" w:ascii="宋体" w:hAnsi="宋体"/>
          <w:color w:val="auto"/>
          <w:szCs w:val="21"/>
          <w:highlight w:val="none"/>
          <w:u w:val="single"/>
        </w:rPr>
      </w:pPr>
      <w:r>
        <w:rPr>
          <w:rFonts w:hint="eastAsia" w:ascii="宋体" w:hAnsi="宋体"/>
          <w:color w:val="auto"/>
          <w:szCs w:val="22"/>
          <w:highlight w:val="none"/>
        </w:rPr>
        <w:t>单位名称：</w:t>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 xml:space="preserve">                                                   </w:t>
      </w:r>
    </w:p>
    <w:p w14:paraId="7D92B5A9">
      <w:pPr>
        <w:spacing w:line="440" w:lineRule="exact"/>
        <w:rPr>
          <w:rFonts w:hint="eastAsia" w:ascii="宋体" w:hAnsi="宋体"/>
          <w:color w:val="auto"/>
          <w:szCs w:val="21"/>
          <w:highlight w:val="none"/>
          <w:u w:val="single"/>
        </w:rPr>
      </w:pPr>
      <w:r>
        <w:rPr>
          <w:rFonts w:hint="eastAsia" w:ascii="宋体" w:hAnsi="宋体"/>
          <w:color w:val="auto"/>
          <w:szCs w:val="21"/>
          <w:highlight w:val="none"/>
        </w:rPr>
        <w:t>单位性质：</w:t>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 xml:space="preserve">                                                   </w:t>
      </w:r>
    </w:p>
    <w:p w14:paraId="2A236231">
      <w:pPr>
        <w:spacing w:line="440" w:lineRule="exact"/>
        <w:rPr>
          <w:rFonts w:hint="eastAsia" w:ascii="宋体" w:hAnsi="宋体"/>
          <w:color w:val="auto"/>
          <w:szCs w:val="21"/>
          <w:highlight w:val="none"/>
        </w:rPr>
      </w:pPr>
      <w:r>
        <w:rPr>
          <w:rFonts w:hint="eastAsia" w:ascii="宋体" w:hAnsi="宋体"/>
          <w:color w:val="auto"/>
          <w:szCs w:val="21"/>
          <w:highlight w:val="none"/>
        </w:rPr>
        <w:t xml:space="preserve">地 </w:t>
      </w:r>
      <w:r>
        <w:rPr>
          <w:rFonts w:ascii="宋体" w:hAnsi="宋体"/>
          <w:color w:val="auto"/>
          <w:szCs w:val="21"/>
          <w:highlight w:val="none"/>
        </w:rPr>
        <w:t xml:space="preserve">   </w:t>
      </w:r>
      <w:r>
        <w:rPr>
          <w:rFonts w:hint="eastAsia" w:ascii="宋体" w:hAnsi="宋体"/>
          <w:color w:val="auto"/>
          <w:szCs w:val="21"/>
          <w:highlight w:val="none"/>
        </w:rPr>
        <w:t>址：</w:t>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 xml:space="preserve">                                                   </w:t>
      </w:r>
    </w:p>
    <w:p w14:paraId="0027A4CD">
      <w:pPr>
        <w:spacing w:line="440" w:lineRule="exact"/>
        <w:rPr>
          <w:rFonts w:hint="eastAsia" w:ascii="宋体" w:hAnsi="宋体"/>
          <w:color w:val="auto"/>
          <w:szCs w:val="21"/>
          <w:highlight w:val="none"/>
        </w:rPr>
      </w:pPr>
      <w:r>
        <w:rPr>
          <w:rFonts w:hint="eastAsia" w:ascii="宋体" w:hAnsi="宋体"/>
          <w:color w:val="auto"/>
          <w:szCs w:val="21"/>
          <w:highlight w:val="none"/>
        </w:rPr>
        <w:t>成立时间：____________年_______月_______日</w:t>
      </w:r>
    </w:p>
    <w:p w14:paraId="10235C64">
      <w:pPr>
        <w:spacing w:line="440" w:lineRule="exact"/>
        <w:rPr>
          <w:rFonts w:hint="eastAsia" w:ascii="宋体" w:hAnsi="宋体"/>
          <w:color w:val="auto"/>
          <w:szCs w:val="21"/>
          <w:highlight w:val="none"/>
          <w:u w:val="single"/>
        </w:rPr>
      </w:pPr>
      <w:r>
        <w:rPr>
          <w:rFonts w:hint="eastAsia" w:ascii="宋体" w:hAnsi="宋体"/>
          <w:color w:val="auto"/>
          <w:szCs w:val="22"/>
          <w:highlight w:val="none"/>
        </w:rPr>
        <w:t>姓名：</w:t>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2"/>
          <w:highlight w:val="none"/>
        </w:rPr>
        <w:t>性别：</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2"/>
          <w:highlight w:val="none"/>
        </w:rPr>
        <w:t>年龄：</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2"/>
          <w:highlight w:val="none"/>
        </w:rPr>
        <w:t>职务：</w:t>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 xml:space="preserve">   </w:t>
      </w:r>
    </w:p>
    <w:p w14:paraId="6C0870B1">
      <w:pPr>
        <w:spacing w:line="440" w:lineRule="exact"/>
        <w:rPr>
          <w:rFonts w:hint="eastAsia" w:ascii="宋体" w:hAnsi="宋体"/>
          <w:color w:val="auto"/>
          <w:szCs w:val="22"/>
          <w:highlight w:val="none"/>
        </w:rPr>
      </w:pPr>
      <w:r>
        <w:rPr>
          <w:rFonts w:hint="eastAsia" w:ascii="宋体" w:hAnsi="宋体"/>
          <w:color w:val="auto"/>
          <w:szCs w:val="21"/>
          <w:highlight w:val="none"/>
        </w:rPr>
        <w:t>身份证号码：</w:t>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ab/>
      </w:r>
      <w:r>
        <w:rPr>
          <w:rFonts w:ascii="宋体" w:hAnsi="宋体"/>
          <w:color w:val="auto"/>
          <w:szCs w:val="21"/>
          <w:highlight w:val="none"/>
          <w:u w:val="single"/>
        </w:rPr>
        <w:t xml:space="preserve">                      </w:t>
      </w:r>
    </w:p>
    <w:p w14:paraId="5A034AC2">
      <w:pPr>
        <w:spacing w:line="440" w:lineRule="exact"/>
        <w:rPr>
          <w:rFonts w:hint="eastAsia" w:ascii="宋体" w:hAnsi="宋体"/>
          <w:color w:val="auto"/>
          <w:szCs w:val="22"/>
          <w:highlight w:val="none"/>
        </w:rPr>
      </w:pPr>
      <w:r>
        <w:rPr>
          <w:rFonts w:hint="eastAsia" w:ascii="宋体" w:hAnsi="宋体"/>
          <w:color w:val="auto"/>
          <w:szCs w:val="22"/>
          <w:highlight w:val="none"/>
        </w:rPr>
        <w:t>系</w:t>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2"/>
          <w:highlight w:val="none"/>
          <w:u w:val="single"/>
        </w:rPr>
        <w:t xml:space="preserve">（投标人单位名称） </w:t>
      </w:r>
      <w:r>
        <w:rPr>
          <w:rFonts w:ascii="宋体" w:hAnsi="宋体"/>
          <w:color w:val="auto"/>
          <w:szCs w:val="22"/>
          <w:highlight w:val="none"/>
          <w:u w:val="single"/>
        </w:rPr>
        <w:t xml:space="preserve">     </w:t>
      </w:r>
      <w:r>
        <w:rPr>
          <w:rFonts w:hint="eastAsia" w:ascii="宋体" w:hAnsi="宋体"/>
          <w:color w:val="auto"/>
          <w:szCs w:val="22"/>
          <w:highlight w:val="none"/>
          <w:u w:val="single"/>
        </w:rPr>
        <w:t xml:space="preserve"> </w:t>
      </w:r>
      <w:r>
        <w:rPr>
          <w:rFonts w:ascii="宋体" w:hAnsi="宋体"/>
          <w:color w:val="auto"/>
          <w:szCs w:val="22"/>
          <w:highlight w:val="none"/>
          <w:u w:val="single"/>
        </w:rPr>
        <w:t xml:space="preserve">   </w:t>
      </w:r>
      <w:r>
        <w:rPr>
          <w:rFonts w:hint="eastAsia" w:ascii="宋体" w:hAnsi="宋体"/>
          <w:color w:val="auto"/>
          <w:szCs w:val="22"/>
          <w:highlight w:val="none"/>
        </w:rPr>
        <w:t>的法定代表人。</w:t>
      </w:r>
    </w:p>
    <w:p w14:paraId="022A40EA">
      <w:pPr>
        <w:spacing w:line="440" w:lineRule="exact"/>
        <w:ind w:firstLine="420" w:firstLineChars="200"/>
        <w:rPr>
          <w:rFonts w:hint="eastAsia" w:ascii="宋体" w:hAnsi="宋体"/>
          <w:color w:val="auto"/>
          <w:szCs w:val="22"/>
          <w:highlight w:val="none"/>
        </w:rPr>
      </w:pPr>
      <w:r>
        <w:rPr>
          <w:rFonts w:hint="eastAsia" w:ascii="宋体" w:hAnsi="宋体"/>
          <w:color w:val="auto"/>
          <w:szCs w:val="22"/>
          <w:highlight w:val="none"/>
        </w:rPr>
        <w:t>特此证明。</w:t>
      </w:r>
    </w:p>
    <w:p w14:paraId="51AA50F3">
      <w:pPr>
        <w:spacing w:line="440" w:lineRule="exact"/>
        <w:rPr>
          <w:rFonts w:hint="eastAsia" w:ascii="宋体" w:hAnsi="宋体"/>
          <w:color w:val="auto"/>
          <w:szCs w:val="22"/>
          <w:highlight w:val="none"/>
        </w:rPr>
      </w:pPr>
    </w:p>
    <w:p w14:paraId="634ED2F8">
      <w:pPr>
        <w:spacing w:line="440" w:lineRule="exact"/>
        <w:rPr>
          <w:rFonts w:hint="eastAsia" w:ascii="宋体" w:hAnsi="宋体"/>
          <w:color w:val="auto"/>
          <w:szCs w:val="22"/>
          <w:highlight w:val="none"/>
        </w:rPr>
      </w:pPr>
    </w:p>
    <w:p w14:paraId="5B9A09E4">
      <w:pPr>
        <w:spacing w:line="440" w:lineRule="exact"/>
        <w:rPr>
          <w:rFonts w:hint="eastAsia" w:ascii="宋体" w:hAnsi="宋体"/>
          <w:color w:val="auto"/>
          <w:szCs w:val="22"/>
          <w:highlight w:val="none"/>
        </w:rPr>
      </w:pPr>
    </w:p>
    <w:p w14:paraId="318197A3">
      <w:pPr>
        <w:spacing w:line="440" w:lineRule="exact"/>
        <w:ind w:firstLine="3780" w:firstLineChars="1800"/>
        <w:rPr>
          <w:rFonts w:hint="eastAsia" w:ascii="宋体" w:hAnsi="宋体"/>
          <w:color w:val="auto"/>
          <w:szCs w:val="22"/>
          <w:highlight w:val="none"/>
        </w:rPr>
      </w:pPr>
      <w:r>
        <w:rPr>
          <w:rFonts w:hint="eastAsia" w:ascii="宋体" w:hAnsi="宋体"/>
          <w:color w:val="auto"/>
          <w:szCs w:val="22"/>
          <w:highlight w:val="none"/>
        </w:rPr>
        <w:t>投标人：</w:t>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2"/>
          <w:highlight w:val="none"/>
        </w:rPr>
        <w:t>（单位公章）</w:t>
      </w:r>
    </w:p>
    <w:p w14:paraId="5E6E597B">
      <w:pPr>
        <w:spacing w:line="440" w:lineRule="exact"/>
        <w:rPr>
          <w:rFonts w:hint="eastAsia" w:ascii="宋体" w:hAnsi="宋体"/>
          <w:color w:val="auto"/>
          <w:szCs w:val="22"/>
          <w:highlight w:val="none"/>
        </w:rPr>
      </w:pPr>
    </w:p>
    <w:p w14:paraId="7B9AAE63">
      <w:pPr>
        <w:spacing w:line="440" w:lineRule="exact"/>
        <w:ind w:firstLine="3780" w:firstLineChars="1800"/>
        <w:rPr>
          <w:rFonts w:hint="eastAsia" w:ascii="宋体" w:hAnsi="宋体"/>
          <w:color w:val="auto"/>
          <w:szCs w:val="21"/>
          <w:highlight w:val="none"/>
        </w:rPr>
        <w:sectPr>
          <w:pgSz w:w="11905" w:h="16838"/>
          <w:pgMar w:top="1134" w:right="1134" w:bottom="567" w:left="1134" w:header="567" w:footer="590" w:gutter="0"/>
          <w:cols w:space="720" w:num="1"/>
        </w:sectPr>
      </w:pPr>
      <w:r>
        <w:rPr>
          <w:rFonts w:hint="eastAsia" w:ascii="宋体" w:hAnsi="宋体"/>
          <w:color w:val="auto"/>
          <w:szCs w:val="21"/>
          <w:highlight w:val="none"/>
        </w:rPr>
        <w:t xml:space="preserve">日 </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rPr>
        <w:t>年_______月_______日</w:t>
      </w:r>
      <w:bookmarkStart w:id="1414" w:name="_Toc9590809"/>
    </w:p>
    <w:p w14:paraId="3E353169">
      <w:pPr>
        <w:keepNext/>
        <w:keepLines/>
        <w:adjustRightInd w:val="0"/>
        <w:spacing w:before="240" w:after="60"/>
        <w:textAlignment w:val="baseline"/>
        <w:outlineLvl w:val="0"/>
        <w:rPr>
          <w:rFonts w:hint="eastAsia" w:ascii="宋体" w:hAnsi="宋体"/>
          <w:b/>
          <w:color w:val="auto"/>
          <w:kern w:val="24"/>
          <w:sz w:val="28"/>
          <w:szCs w:val="20"/>
          <w:highlight w:val="none"/>
        </w:rPr>
      </w:pPr>
      <w:bookmarkStart w:id="1415" w:name="_Toc18644"/>
      <w:bookmarkStart w:id="1416" w:name="_Toc7926"/>
      <w:bookmarkStart w:id="1417" w:name="_Toc22198"/>
      <w:bookmarkStart w:id="1418" w:name="_Toc4873"/>
      <w:bookmarkStart w:id="1419" w:name="_Toc25864"/>
      <w:bookmarkStart w:id="1420" w:name="_Toc23577"/>
      <w:bookmarkStart w:id="1421" w:name="_Toc28616"/>
      <w:bookmarkStart w:id="1422" w:name="_Toc22395"/>
      <w:bookmarkStart w:id="1423" w:name="_Toc8967"/>
      <w:r>
        <w:rPr>
          <w:rFonts w:hint="eastAsia" w:ascii="宋体" w:hAnsi="宋体"/>
          <w:b/>
          <w:color w:val="auto"/>
          <w:kern w:val="24"/>
          <w:sz w:val="28"/>
          <w:szCs w:val="20"/>
          <w:highlight w:val="none"/>
        </w:rPr>
        <w:t>四</w:t>
      </w:r>
      <w:r>
        <w:rPr>
          <w:rFonts w:ascii="宋体" w:hAnsi="宋体"/>
          <w:b/>
          <w:color w:val="auto"/>
          <w:kern w:val="24"/>
          <w:sz w:val="28"/>
          <w:szCs w:val="20"/>
          <w:highlight w:val="none"/>
        </w:rPr>
        <w:t>.</w:t>
      </w:r>
      <w:r>
        <w:rPr>
          <w:rFonts w:hint="eastAsia" w:ascii="宋体" w:hAnsi="宋体"/>
          <w:b/>
          <w:color w:val="auto"/>
          <w:kern w:val="24"/>
          <w:sz w:val="28"/>
          <w:szCs w:val="20"/>
          <w:highlight w:val="none"/>
        </w:rPr>
        <w:t>法定代表人授权委托书</w:t>
      </w:r>
      <w:bookmarkEnd w:id="1414"/>
      <w:bookmarkEnd w:id="1415"/>
      <w:bookmarkEnd w:id="1416"/>
      <w:bookmarkEnd w:id="1417"/>
      <w:bookmarkEnd w:id="1418"/>
      <w:bookmarkEnd w:id="1419"/>
      <w:bookmarkEnd w:id="1420"/>
      <w:bookmarkEnd w:id="1421"/>
      <w:bookmarkEnd w:id="1422"/>
      <w:bookmarkEnd w:id="1423"/>
    </w:p>
    <w:p w14:paraId="7ABC9FD4">
      <w:pPr>
        <w:spacing w:line="440" w:lineRule="exact"/>
        <w:jc w:val="center"/>
        <w:rPr>
          <w:rFonts w:hint="eastAsia" w:ascii="宋体" w:hAnsi="宋体"/>
          <w:color w:val="auto"/>
          <w:szCs w:val="22"/>
          <w:highlight w:val="none"/>
        </w:rPr>
      </w:pPr>
    </w:p>
    <w:p w14:paraId="446D1439">
      <w:pPr>
        <w:spacing w:line="440" w:lineRule="exact"/>
        <w:jc w:val="center"/>
        <w:rPr>
          <w:rFonts w:hint="eastAsia" w:ascii="宋体" w:hAnsi="宋体"/>
          <w:color w:val="auto"/>
          <w:szCs w:val="22"/>
          <w:highlight w:val="none"/>
        </w:rPr>
      </w:pPr>
      <w:r>
        <w:rPr>
          <w:rFonts w:hint="eastAsia" w:ascii="宋体" w:hAnsi="宋体"/>
          <w:color w:val="auto"/>
          <w:szCs w:val="22"/>
          <w:highlight w:val="none"/>
        </w:rPr>
        <w:t>授权委托书</w:t>
      </w:r>
    </w:p>
    <w:p w14:paraId="59BB2CEE">
      <w:pPr>
        <w:spacing w:line="440" w:lineRule="exact"/>
        <w:rPr>
          <w:rFonts w:hint="eastAsia" w:ascii="宋体" w:hAnsi="宋体"/>
          <w:color w:val="auto"/>
          <w:szCs w:val="22"/>
          <w:highlight w:val="none"/>
        </w:rPr>
      </w:pPr>
    </w:p>
    <w:p w14:paraId="3E7D7F06">
      <w:pPr>
        <w:topLinePunct/>
        <w:spacing w:line="440" w:lineRule="exact"/>
        <w:ind w:firstLine="420" w:firstLineChars="200"/>
        <w:rPr>
          <w:rFonts w:hint="eastAsia" w:ascii="宋体" w:hAnsi="宋体"/>
          <w:color w:val="auto"/>
          <w:szCs w:val="22"/>
          <w:highlight w:val="none"/>
        </w:rPr>
      </w:pPr>
      <w:r>
        <w:rPr>
          <w:rFonts w:hint="eastAsia" w:ascii="宋体" w:hAnsi="宋体"/>
          <w:color w:val="auto"/>
          <w:szCs w:val="22"/>
          <w:highlight w:val="none"/>
        </w:rPr>
        <w:t>本人</w:t>
      </w:r>
      <w:r>
        <w:rPr>
          <w:rFonts w:hint="eastAsia" w:ascii="宋体" w:hAnsi="宋体"/>
          <w:color w:val="auto"/>
          <w:szCs w:val="22"/>
          <w:highlight w:val="none"/>
          <w:u w:val="single"/>
        </w:rPr>
        <w:t xml:space="preserve"> </w:t>
      </w:r>
      <w:r>
        <w:rPr>
          <w:rFonts w:ascii="宋体" w:hAnsi="宋体"/>
          <w:color w:val="auto"/>
          <w:szCs w:val="22"/>
          <w:highlight w:val="none"/>
          <w:u w:val="single"/>
        </w:rPr>
        <w:t xml:space="preserve">    </w:t>
      </w:r>
      <w:r>
        <w:rPr>
          <w:rFonts w:hint="eastAsia" w:ascii="宋体" w:hAnsi="宋体"/>
          <w:color w:val="auto"/>
          <w:szCs w:val="22"/>
          <w:highlight w:val="none"/>
          <w:u w:val="single"/>
        </w:rPr>
        <w:t xml:space="preserve">（姓名） </w:t>
      </w:r>
      <w:r>
        <w:rPr>
          <w:rFonts w:ascii="宋体" w:hAnsi="宋体"/>
          <w:color w:val="auto"/>
          <w:szCs w:val="22"/>
          <w:highlight w:val="none"/>
          <w:u w:val="single"/>
        </w:rPr>
        <w:t xml:space="preserve">    </w:t>
      </w:r>
      <w:r>
        <w:rPr>
          <w:rFonts w:hint="eastAsia" w:ascii="宋体" w:hAnsi="宋体"/>
          <w:color w:val="auto"/>
          <w:szCs w:val="22"/>
          <w:highlight w:val="none"/>
        </w:rPr>
        <w:t>系</w:t>
      </w:r>
      <w:r>
        <w:rPr>
          <w:rFonts w:hint="eastAsia" w:ascii="宋体" w:hAnsi="宋体"/>
          <w:color w:val="auto"/>
          <w:szCs w:val="22"/>
          <w:highlight w:val="none"/>
          <w:u w:val="single"/>
        </w:rPr>
        <w:t xml:space="preserve"> </w:t>
      </w:r>
      <w:r>
        <w:rPr>
          <w:rFonts w:ascii="宋体" w:hAnsi="宋体"/>
          <w:color w:val="auto"/>
          <w:szCs w:val="22"/>
          <w:highlight w:val="none"/>
          <w:u w:val="single"/>
        </w:rPr>
        <w:t xml:space="preserve">     </w:t>
      </w:r>
      <w:r>
        <w:rPr>
          <w:rFonts w:hint="eastAsia" w:ascii="宋体" w:hAnsi="宋体"/>
          <w:color w:val="auto"/>
          <w:szCs w:val="22"/>
          <w:highlight w:val="none"/>
          <w:u w:val="single"/>
        </w:rPr>
        <w:t xml:space="preserve">（投标人单位名称） </w:t>
      </w:r>
      <w:r>
        <w:rPr>
          <w:rFonts w:ascii="宋体" w:hAnsi="宋体"/>
          <w:color w:val="auto"/>
          <w:szCs w:val="22"/>
          <w:highlight w:val="none"/>
          <w:u w:val="single"/>
        </w:rPr>
        <w:t xml:space="preserve">    </w:t>
      </w:r>
      <w:r>
        <w:rPr>
          <w:rFonts w:hint="eastAsia" w:ascii="宋体" w:hAnsi="宋体"/>
          <w:color w:val="auto"/>
          <w:szCs w:val="22"/>
          <w:highlight w:val="none"/>
        </w:rPr>
        <w:t>的法定代表人，现委托</w:t>
      </w:r>
      <w:r>
        <w:rPr>
          <w:rFonts w:hint="eastAsia" w:ascii="宋体" w:hAnsi="宋体"/>
          <w:color w:val="auto"/>
          <w:szCs w:val="22"/>
          <w:highlight w:val="none"/>
          <w:u w:val="single"/>
        </w:rPr>
        <w:t xml:space="preserve"> </w:t>
      </w:r>
      <w:r>
        <w:rPr>
          <w:rFonts w:ascii="宋体" w:hAnsi="宋体"/>
          <w:color w:val="auto"/>
          <w:szCs w:val="22"/>
          <w:highlight w:val="none"/>
          <w:u w:val="single"/>
        </w:rPr>
        <w:t xml:space="preserve">      </w:t>
      </w:r>
      <w:r>
        <w:rPr>
          <w:rFonts w:hint="eastAsia" w:ascii="宋体" w:hAnsi="宋体"/>
          <w:color w:val="auto"/>
          <w:szCs w:val="22"/>
          <w:highlight w:val="none"/>
          <w:u w:val="single"/>
        </w:rPr>
        <w:t>（姓名）</w:t>
      </w:r>
      <w:r>
        <w:rPr>
          <w:rFonts w:hint="eastAsia" w:ascii="宋体" w:hAnsi="宋体"/>
          <w:color w:val="auto"/>
          <w:szCs w:val="22"/>
          <w:highlight w:val="none"/>
        </w:rPr>
        <w:t xml:space="preserve"> </w:t>
      </w:r>
      <w:r>
        <w:rPr>
          <w:rFonts w:ascii="宋体" w:hAnsi="宋体"/>
          <w:color w:val="auto"/>
          <w:szCs w:val="22"/>
          <w:highlight w:val="none"/>
        </w:rPr>
        <w:t xml:space="preserve">  </w:t>
      </w:r>
      <w:r>
        <w:rPr>
          <w:rFonts w:hint="eastAsia" w:ascii="宋体" w:hAnsi="宋体"/>
          <w:color w:val="auto"/>
          <w:szCs w:val="22"/>
          <w:highlight w:val="none"/>
        </w:rPr>
        <w:t>为我方代理人。代理人根据授权，以我方名义签署、澄清确认、递交、撤回、修改有关</w:t>
      </w:r>
      <w:r>
        <w:rPr>
          <w:rFonts w:hint="eastAsia" w:ascii="宋体" w:hAnsi="宋体"/>
          <w:color w:val="auto"/>
          <w:szCs w:val="21"/>
          <w:highlight w:val="none"/>
          <w:u w:val="single"/>
        </w:rPr>
        <w:t>东莞市轨道交通1号线运营期地铁控制保护区综合管理系统项目</w:t>
      </w:r>
      <w:r>
        <w:rPr>
          <w:rFonts w:hint="eastAsia" w:ascii="宋体" w:hAnsi="宋体"/>
          <w:color w:val="auto"/>
          <w:szCs w:val="22"/>
          <w:highlight w:val="none"/>
        </w:rPr>
        <w:t>招标的投标文件、签订合同和处理有关事宜，其法律后果由我方承担。</w:t>
      </w:r>
    </w:p>
    <w:p w14:paraId="75A9DFCA">
      <w:pPr>
        <w:spacing w:line="440" w:lineRule="exact"/>
        <w:rPr>
          <w:rFonts w:hint="eastAsia" w:ascii="宋体" w:hAnsi="宋体"/>
          <w:color w:val="auto"/>
          <w:szCs w:val="22"/>
          <w:highlight w:val="none"/>
        </w:rPr>
      </w:pPr>
      <w:r>
        <w:rPr>
          <w:rFonts w:hint="eastAsia" w:ascii="宋体" w:hAnsi="宋体"/>
          <w:color w:val="auto"/>
          <w:szCs w:val="22"/>
          <w:highlight w:val="none"/>
        </w:rPr>
        <w:t>委托期限：</w:t>
      </w:r>
      <w:r>
        <w:rPr>
          <w:rFonts w:hint="eastAsia" w:ascii="宋体" w:hAnsi="宋体"/>
          <w:color w:val="auto"/>
          <w:szCs w:val="22"/>
          <w:highlight w:val="none"/>
          <w:u w:val="single"/>
        </w:rPr>
        <w:t>自签发之日起本项目投标有效期结束之日止</w:t>
      </w:r>
      <w:r>
        <w:rPr>
          <w:rFonts w:hint="eastAsia" w:ascii="宋体" w:hAnsi="宋体"/>
          <w:color w:val="auto"/>
          <w:szCs w:val="22"/>
          <w:highlight w:val="none"/>
        </w:rPr>
        <w:t>。</w:t>
      </w:r>
    </w:p>
    <w:p w14:paraId="1EB9B617">
      <w:pPr>
        <w:spacing w:line="440" w:lineRule="exact"/>
        <w:ind w:firstLine="420" w:firstLineChars="200"/>
        <w:rPr>
          <w:rFonts w:hint="eastAsia" w:ascii="宋体" w:hAnsi="宋体"/>
          <w:color w:val="auto"/>
          <w:szCs w:val="22"/>
          <w:highlight w:val="none"/>
        </w:rPr>
      </w:pPr>
      <w:r>
        <w:rPr>
          <w:rFonts w:hint="eastAsia" w:ascii="宋体" w:hAnsi="宋体"/>
          <w:color w:val="auto"/>
          <w:szCs w:val="22"/>
          <w:highlight w:val="none"/>
        </w:rPr>
        <w:t>代理人无转委托权。</w:t>
      </w:r>
    </w:p>
    <w:p w14:paraId="0C358C22">
      <w:pPr>
        <w:spacing w:line="440" w:lineRule="exact"/>
        <w:ind w:firstLine="420" w:firstLineChars="200"/>
        <w:rPr>
          <w:rFonts w:hint="eastAsia" w:ascii="宋体" w:hAnsi="宋体"/>
          <w:color w:val="auto"/>
          <w:szCs w:val="22"/>
          <w:highlight w:val="none"/>
        </w:rPr>
      </w:pPr>
    </w:p>
    <w:p w14:paraId="416EEBEA">
      <w:pPr>
        <w:spacing w:line="440" w:lineRule="exact"/>
        <w:rPr>
          <w:rFonts w:hint="eastAsia" w:ascii="宋体" w:hAnsi="宋体"/>
          <w:b/>
          <w:bCs/>
          <w:color w:val="auto"/>
          <w:szCs w:val="22"/>
          <w:highlight w:val="none"/>
        </w:rPr>
      </w:pPr>
      <w:r>
        <w:rPr>
          <w:rFonts w:hint="eastAsia" w:ascii="宋体" w:hAnsi="宋体"/>
          <w:b/>
          <w:bCs/>
          <w:color w:val="auto"/>
          <w:szCs w:val="22"/>
          <w:highlight w:val="none"/>
        </w:rPr>
        <w:t>附：法定代表人身份证复印件及委托代理人身份证复印件</w:t>
      </w:r>
    </w:p>
    <w:p w14:paraId="1FBF51C2">
      <w:pPr>
        <w:spacing w:line="440" w:lineRule="exact"/>
        <w:rPr>
          <w:rFonts w:hint="eastAsia" w:ascii="宋体" w:hAnsi="宋体"/>
          <w:color w:val="auto"/>
          <w:szCs w:val="22"/>
          <w:highlight w:val="none"/>
        </w:rPr>
      </w:pPr>
    </w:p>
    <w:p w14:paraId="1A9D31DE">
      <w:pPr>
        <w:spacing w:line="440" w:lineRule="exact"/>
        <w:rPr>
          <w:rFonts w:hint="eastAsia" w:ascii="宋体" w:hAnsi="宋体"/>
          <w:color w:val="auto"/>
          <w:szCs w:val="22"/>
          <w:highlight w:val="none"/>
        </w:rPr>
      </w:pPr>
      <w:r>
        <w:rPr>
          <w:rFonts w:hint="eastAsia" w:ascii="宋体" w:hAnsi="宋体"/>
          <w:color w:val="auto"/>
          <w:szCs w:val="22"/>
          <w:highlight w:val="none"/>
        </w:rPr>
        <w:t>注：本授权委托书需由投标人加盖单位公章并由其法定代表人和委托代理人签字或签章。法定代表人授权书仅限于法定代表人委托代理人参与投标相关事项的情况下提供。</w:t>
      </w:r>
    </w:p>
    <w:p w14:paraId="35E16737">
      <w:pPr>
        <w:spacing w:line="440" w:lineRule="exact"/>
        <w:rPr>
          <w:rFonts w:hint="eastAsia" w:ascii="宋体" w:hAnsi="宋体"/>
          <w:color w:val="auto"/>
          <w:szCs w:val="22"/>
          <w:highlight w:val="none"/>
        </w:rPr>
      </w:pPr>
    </w:p>
    <w:p w14:paraId="1F1B0B34">
      <w:pPr>
        <w:spacing w:line="440" w:lineRule="exact"/>
        <w:ind w:firstLine="2692" w:firstLineChars="1282"/>
        <w:rPr>
          <w:rFonts w:hint="eastAsia" w:ascii="宋体" w:hAnsi="宋体"/>
          <w:color w:val="auto"/>
          <w:szCs w:val="22"/>
          <w:highlight w:val="none"/>
        </w:rPr>
      </w:pPr>
      <w:r>
        <w:rPr>
          <w:rFonts w:hint="eastAsia" w:ascii="宋体" w:hAnsi="宋体"/>
          <w:color w:val="auto"/>
          <w:szCs w:val="22"/>
          <w:highlight w:val="none"/>
        </w:rPr>
        <w:t>投标人：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hint="eastAsia" w:ascii="宋体" w:hAnsi="宋体"/>
          <w:color w:val="auto"/>
          <w:szCs w:val="22"/>
          <w:highlight w:val="none"/>
        </w:rPr>
        <w:t>（单位公章）</w:t>
      </w:r>
    </w:p>
    <w:p w14:paraId="0D2F7D03">
      <w:pPr>
        <w:spacing w:line="440" w:lineRule="exact"/>
        <w:ind w:firstLine="2692" w:firstLineChars="1282"/>
        <w:rPr>
          <w:rFonts w:hint="eastAsia" w:ascii="宋体" w:hAnsi="宋体"/>
          <w:color w:val="auto"/>
          <w:szCs w:val="22"/>
          <w:highlight w:val="none"/>
        </w:rPr>
      </w:pPr>
    </w:p>
    <w:p w14:paraId="06BF4B95">
      <w:pPr>
        <w:spacing w:line="440" w:lineRule="exact"/>
        <w:ind w:firstLine="2690" w:firstLineChars="1281"/>
        <w:jc w:val="left"/>
        <w:rPr>
          <w:rFonts w:hint="eastAsia" w:ascii="宋体" w:hAnsi="宋体"/>
          <w:color w:val="auto"/>
          <w:szCs w:val="22"/>
          <w:highlight w:val="none"/>
        </w:rPr>
      </w:pPr>
      <w:r>
        <w:rPr>
          <w:rFonts w:hint="eastAsia" w:ascii="宋体" w:hAnsi="宋体"/>
          <w:color w:val="auto"/>
          <w:szCs w:val="22"/>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hint="eastAsia" w:ascii="宋体" w:hAnsi="宋体"/>
          <w:color w:val="auto"/>
          <w:szCs w:val="22"/>
          <w:highlight w:val="none"/>
        </w:rPr>
        <w:t>（签字或签章）</w:t>
      </w:r>
    </w:p>
    <w:p w14:paraId="68B58626">
      <w:pPr>
        <w:spacing w:line="440" w:lineRule="exact"/>
        <w:ind w:firstLine="2692" w:firstLineChars="1282"/>
        <w:rPr>
          <w:rFonts w:hint="eastAsia" w:ascii="宋体" w:hAnsi="宋体"/>
          <w:color w:val="auto"/>
          <w:szCs w:val="22"/>
          <w:highlight w:val="none"/>
        </w:rPr>
      </w:pPr>
    </w:p>
    <w:p w14:paraId="330027D6">
      <w:pPr>
        <w:spacing w:line="440" w:lineRule="exact"/>
        <w:ind w:firstLine="2692" w:firstLineChars="1282"/>
        <w:rPr>
          <w:rFonts w:hint="eastAsia" w:ascii="宋体" w:hAnsi="宋体"/>
          <w:color w:val="auto"/>
          <w:szCs w:val="22"/>
          <w:highlight w:val="none"/>
        </w:rPr>
      </w:pPr>
      <w:r>
        <w:rPr>
          <w:rFonts w:hint="eastAsia" w:ascii="宋体" w:hAnsi="宋体"/>
          <w:color w:val="auto"/>
          <w:szCs w:val="22"/>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ab/>
      </w:r>
    </w:p>
    <w:p w14:paraId="59DDB177">
      <w:pPr>
        <w:spacing w:line="440" w:lineRule="exact"/>
        <w:ind w:firstLine="2692" w:firstLineChars="1282"/>
        <w:rPr>
          <w:rFonts w:hint="eastAsia" w:ascii="宋体" w:hAnsi="宋体"/>
          <w:color w:val="auto"/>
          <w:szCs w:val="22"/>
          <w:highlight w:val="none"/>
        </w:rPr>
      </w:pPr>
    </w:p>
    <w:p w14:paraId="1864B659">
      <w:pPr>
        <w:spacing w:line="440" w:lineRule="exact"/>
        <w:ind w:firstLine="2692" w:firstLineChars="1282"/>
        <w:rPr>
          <w:rFonts w:hint="eastAsia" w:ascii="宋体" w:hAnsi="宋体"/>
          <w:color w:val="auto"/>
          <w:szCs w:val="22"/>
          <w:highlight w:val="none"/>
        </w:rPr>
      </w:pPr>
      <w:r>
        <w:rPr>
          <w:rFonts w:hint="eastAsia" w:ascii="宋体" w:hAnsi="宋体"/>
          <w:color w:val="auto"/>
          <w:szCs w:val="22"/>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hint="eastAsia" w:ascii="宋体" w:hAnsi="宋体"/>
          <w:color w:val="auto"/>
          <w:szCs w:val="22"/>
          <w:highlight w:val="none"/>
        </w:rPr>
        <w:t>（签字或签章）</w:t>
      </w:r>
    </w:p>
    <w:p w14:paraId="5A45D4E5">
      <w:pPr>
        <w:spacing w:line="440" w:lineRule="exact"/>
        <w:ind w:firstLine="2692" w:firstLineChars="1282"/>
        <w:rPr>
          <w:rFonts w:hint="eastAsia" w:ascii="宋体" w:hAnsi="宋体"/>
          <w:color w:val="auto"/>
          <w:szCs w:val="22"/>
          <w:highlight w:val="none"/>
        </w:rPr>
      </w:pPr>
    </w:p>
    <w:p w14:paraId="16F5B33E">
      <w:pPr>
        <w:spacing w:line="440" w:lineRule="exact"/>
        <w:ind w:firstLine="2692" w:firstLineChars="1282"/>
        <w:rPr>
          <w:rFonts w:hint="eastAsia" w:ascii="宋体" w:hAnsi="宋体"/>
          <w:color w:val="auto"/>
          <w:szCs w:val="22"/>
          <w:highlight w:val="none"/>
        </w:rPr>
      </w:pPr>
      <w:r>
        <w:rPr>
          <w:rFonts w:hint="eastAsia" w:ascii="宋体" w:hAnsi="宋体"/>
          <w:color w:val="auto"/>
          <w:szCs w:val="22"/>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ab/>
      </w:r>
    </w:p>
    <w:p w14:paraId="0304DFF1">
      <w:pPr>
        <w:spacing w:line="440" w:lineRule="exact"/>
        <w:ind w:firstLine="2692" w:firstLineChars="1282"/>
        <w:rPr>
          <w:rFonts w:hint="eastAsia" w:ascii="宋体" w:hAnsi="宋体"/>
          <w:color w:val="auto"/>
          <w:szCs w:val="22"/>
          <w:highlight w:val="none"/>
        </w:rPr>
      </w:pPr>
    </w:p>
    <w:p w14:paraId="487B60F9">
      <w:pPr>
        <w:ind w:firstLine="5355" w:firstLineChars="2550"/>
        <w:rPr>
          <w:rFonts w:hint="eastAsia" w:ascii="宋体" w:hAnsi="宋体"/>
          <w:color w:val="auto"/>
          <w:szCs w:val="22"/>
          <w:highlight w:val="none"/>
        </w:rPr>
      </w:pPr>
      <w:r>
        <w:rPr>
          <w:rFonts w:hint="eastAsia" w:ascii="宋体" w:hAnsi="宋体"/>
          <w:color w:val="auto"/>
          <w:szCs w:val="21"/>
          <w:highlight w:val="none"/>
        </w:rPr>
        <w:t>_______年_______月_______日</w:t>
      </w:r>
      <w:r>
        <w:rPr>
          <w:rFonts w:ascii="宋体" w:hAnsi="宋体"/>
          <w:color w:val="auto"/>
          <w:szCs w:val="22"/>
          <w:highlight w:val="none"/>
        </w:rPr>
        <w:br w:type="page"/>
      </w:r>
      <w:bookmarkStart w:id="1424" w:name="_Toc9590811"/>
    </w:p>
    <w:bookmarkEnd w:id="1424"/>
    <w:p w14:paraId="0D9760AC">
      <w:pPr>
        <w:keepNext/>
        <w:keepLines/>
        <w:adjustRightInd w:val="0"/>
        <w:spacing w:before="240" w:after="60"/>
        <w:textAlignment w:val="baseline"/>
        <w:outlineLvl w:val="0"/>
        <w:rPr>
          <w:rFonts w:hint="eastAsia" w:ascii="宋体" w:hAnsi="宋体"/>
          <w:b/>
          <w:color w:val="auto"/>
          <w:kern w:val="24"/>
          <w:sz w:val="28"/>
          <w:szCs w:val="20"/>
          <w:highlight w:val="none"/>
        </w:rPr>
      </w:pPr>
      <w:bookmarkStart w:id="1425" w:name="_Toc9590812"/>
      <w:bookmarkStart w:id="1426" w:name="_Toc6499"/>
      <w:bookmarkStart w:id="1427" w:name="_Toc29136"/>
      <w:bookmarkStart w:id="1428" w:name="_Toc15606"/>
      <w:bookmarkStart w:id="1429" w:name="_Toc11697"/>
      <w:bookmarkStart w:id="1430" w:name="_Toc11509"/>
      <w:bookmarkStart w:id="1431" w:name="_Toc8527"/>
      <w:bookmarkStart w:id="1432" w:name="_Toc2134"/>
      <w:bookmarkStart w:id="1433" w:name="_Toc861"/>
      <w:bookmarkStart w:id="1434" w:name="_Toc22341"/>
      <w:r>
        <w:rPr>
          <w:rFonts w:hint="eastAsia" w:ascii="宋体" w:hAnsi="宋体"/>
          <w:b/>
          <w:color w:val="auto"/>
          <w:kern w:val="24"/>
          <w:sz w:val="28"/>
          <w:szCs w:val="20"/>
          <w:highlight w:val="none"/>
        </w:rPr>
        <w:t>五</w:t>
      </w:r>
      <w:r>
        <w:rPr>
          <w:rFonts w:ascii="宋体" w:hAnsi="宋体"/>
          <w:b/>
          <w:color w:val="auto"/>
          <w:kern w:val="24"/>
          <w:sz w:val="28"/>
          <w:szCs w:val="20"/>
          <w:highlight w:val="none"/>
        </w:rPr>
        <w:t>.</w:t>
      </w:r>
      <w:r>
        <w:rPr>
          <w:rFonts w:hint="eastAsia" w:ascii="宋体" w:hAnsi="宋体"/>
          <w:b/>
          <w:color w:val="auto"/>
          <w:kern w:val="24"/>
          <w:sz w:val="28"/>
          <w:szCs w:val="20"/>
          <w:highlight w:val="none"/>
        </w:rPr>
        <w:t>投标</w:t>
      </w:r>
      <w:r>
        <w:rPr>
          <w:rFonts w:ascii="宋体" w:hAnsi="宋体"/>
          <w:b/>
          <w:color w:val="auto"/>
          <w:kern w:val="24"/>
          <w:sz w:val="28"/>
          <w:szCs w:val="20"/>
          <w:highlight w:val="none"/>
        </w:rPr>
        <w:t>单位</w:t>
      </w:r>
      <w:r>
        <w:rPr>
          <w:rFonts w:hint="eastAsia" w:ascii="宋体" w:hAnsi="宋体"/>
          <w:b/>
          <w:color w:val="auto"/>
          <w:kern w:val="24"/>
          <w:sz w:val="28"/>
          <w:szCs w:val="20"/>
          <w:highlight w:val="none"/>
        </w:rPr>
        <w:t>组织机构表</w:t>
      </w:r>
      <w:bookmarkEnd w:id="1425"/>
      <w:bookmarkEnd w:id="1426"/>
      <w:bookmarkEnd w:id="1427"/>
      <w:bookmarkEnd w:id="1428"/>
      <w:bookmarkEnd w:id="1429"/>
      <w:bookmarkEnd w:id="1430"/>
      <w:bookmarkEnd w:id="1431"/>
      <w:bookmarkEnd w:id="1432"/>
      <w:bookmarkEnd w:id="1433"/>
      <w:bookmarkEnd w:id="1434"/>
    </w:p>
    <w:p w14:paraId="071F233E">
      <w:pPr>
        <w:spacing w:line="600" w:lineRule="exact"/>
        <w:jc w:val="center"/>
        <w:rPr>
          <w:rFonts w:hint="eastAsia" w:ascii="宋体" w:hAnsi="宋体"/>
          <w:color w:val="auto"/>
          <w:spacing w:val="20"/>
          <w:szCs w:val="22"/>
          <w:highlight w:val="none"/>
        </w:rPr>
      </w:pPr>
      <w:r>
        <w:rPr>
          <w:rFonts w:hint="eastAsia" w:ascii="宋体" w:hAnsi="宋体"/>
          <w:color w:val="auto"/>
          <w:spacing w:val="20"/>
          <w:szCs w:val="22"/>
          <w:highlight w:val="none"/>
        </w:rPr>
        <w:t>投标</w:t>
      </w:r>
      <w:r>
        <w:rPr>
          <w:rFonts w:ascii="宋体" w:hAnsi="宋体"/>
          <w:color w:val="auto"/>
          <w:spacing w:val="20"/>
          <w:szCs w:val="22"/>
          <w:highlight w:val="none"/>
        </w:rPr>
        <w:t>单位</w:t>
      </w:r>
      <w:r>
        <w:rPr>
          <w:rFonts w:hint="eastAsia" w:ascii="宋体" w:hAnsi="宋体"/>
          <w:color w:val="auto"/>
          <w:spacing w:val="20"/>
          <w:szCs w:val="22"/>
          <w:highlight w:val="none"/>
        </w:rPr>
        <w:t>组织机构表</w:t>
      </w:r>
    </w:p>
    <w:tbl>
      <w:tblPr>
        <w:tblStyle w:val="21"/>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3110"/>
        <w:gridCol w:w="2390"/>
      </w:tblGrid>
      <w:tr w14:paraId="247D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409443CE">
            <w:pPr>
              <w:spacing w:line="600" w:lineRule="exact"/>
              <w:jc w:val="center"/>
              <w:rPr>
                <w:rFonts w:hint="eastAsia" w:ascii="宋体" w:hAnsi="宋体"/>
                <w:color w:val="auto"/>
                <w:spacing w:val="20"/>
                <w:szCs w:val="22"/>
                <w:highlight w:val="none"/>
              </w:rPr>
            </w:pPr>
            <w:r>
              <w:rPr>
                <w:rFonts w:ascii="宋体" w:hAnsi="宋体"/>
                <w:color w:val="auto"/>
                <w:spacing w:val="20"/>
                <w:szCs w:val="22"/>
                <w:highlight w:val="none"/>
              </w:rPr>
              <w:t xml:space="preserve">1、简    </w:t>
            </w:r>
            <w:r>
              <w:rPr>
                <w:rFonts w:hint="eastAsia" w:ascii="宋体" w:hAnsi="宋体"/>
                <w:color w:val="auto"/>
                <w:spacing w:val="20"/>
                <w:szCs w:val="22"/>
                <w:highlight w:val="none"/>
              </w:rPr>
              <w:t>况</w:t>
            </w:r>
          </w:p>
        </w:tc>
      </w:tr>
      <w:tr w14:paraId="2B61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31A4EB15">
            <w:pPr>
              <w:spacing w:line="600" w:lineRule="exact"/>
              <w:rPr>
                <w:rFonts w:hint="eastAsia" w:ascii="宋体" w:hAnsi="宋体"/>
                <w:color w:val="auto"/>
                <w:spacing w:val="20"/>
                <w:szCs w:val="22"/>
                <w:highlight w:val="none"/>
              </w:rPr>
            </w:pPr>
            <w:r>
              <w:rPr>
                <w:rFonts w:hint="eastAsia" w:ascii="宋体" w:hAnsi="宋体"/>
                <w:color w:val="auto"/>
                <w:spacing w:val="20"/>
                <w:szCs w:val="22"/>
                <w:highlight w:val="none"/>
              </w:rPr>
              <w:t>单位名称：</w:t>
            </w:r>
          </w:p>
        </w:tc>
      </w:tr>
      <w:tr w14:paraId="0C9F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714FF2B2">
            <w:pPr>
              <w:spacing w:line="600" w:lineRule="exact"/>
              <w:rPr>
                <w:rFonts w:hint="eastAsia" w:ascii="宋体" w:hAnsi="宋体"/>
                <w:color w:val="auto"/>
                <w:spacing w:val="20"/>
                <w:szCs w:val="22"/>
                <w:highlight w:val="none"/>
              </w:rPr>
            </w:pPr>
            <w:r>
              <w:rPr>
                <w:rFonts w:hint="eastAsia" w:ascii="宋体" w:hAnsi="宋体"/>
                <w:color w:val="auto"/>
                <w:spacing w:val="20"/>
                <w:szCs w:val="22"/>
                <w:highlight w:val="none"/>
              </w:rPr>
              <w:t>上级管理单位名称：</w:t>
            </w:r>
          </w:p>
        </w:tc>
      </w:tr>
      <w:tr w14:paraId="33D6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1BD45EF1">
            <w:pPr>
              <w:spacing w:line="600" w:lineRule="exact"/>
              <w:rPr>
                <w:rFonts w:hint="eastAsia" w:ascii="宋体" w:hAnsi="宋体"/>
                <w:color w:val="auto"/>
                <w:spacing w:val="20"/>
                <w:szCs w:val="22"/>
                <w:highlight w:val="none"/>
              </w:rPr>
            </w:pPr>
            <w:r>
              <w:rPr>
                <w:rFonts w:hint="eastAsia" w:ascii="宋体" w:hAnsi="宋体"/>
                <w:color w:val="auto"/>
                <w:spacing w:val="20"/>
                <w:szCs w:val="22"/>
                <w:highlight w:val="none"/>
              </w:rPr>
              <w:t>成立日期：</w:t>
            </w:r>
          </w:p>
        </w:tc>
      </w:tr>
      <w:tr w14:paraId="5BA3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1271D7A1">
            <w:pPr>
              <w:spacing w:line="600" w:lineRule="exact"/>
              <w:rPr>
                <w:rFonts w:hint="eastAsia" w:ascii="宋体" w:hAnsi="宋体"/>
                <w:color w:val="auto"/>
                <w:spacing w:val="20"/>
                <w:szCs w:val="22"/>
                <w:highlight w:val="none"/>
              </w:rPr>
            </w:pPr>
            <w:r>
              <w:rPr>
                <w:rFonts w:hint="eastAsia" w:ascii="宋体" w:hAnsi="宋体"/>
                <w:color w:val="auto"/>
                <w:spacing w:val="20"/>
                <w:szCs w:val="22"/>
                <w:highlight w:val="none"/>
              </w:rPr>
              <w:t>本届领导班子起始日期：</w:t>
            </w:r>
          </w:p>
        </w:tc>
      </w:tr>
      <w:tr w14:paraId="55DE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56A709C3">
            <w:pPr>
              <w:spacing w:line="600" w:lineRule="exact"/>
              <w:jc w:val="center"/>
              <w:rPr>
                <w:rFonts w:hint="eastAsia" w:ascii="宋体" w:hAnsi="宋体"/>
                <w:color w:val="auto"/>
                <w:spacing w:val="20"/>
                <w:szCs w:val="22"/>
                <w:highlight w:val="none"/>
              </w:rPr>
            </w:pPr>
            <w:r>
              <w:rPr>
                <w:rFonts w:ascii="宋体" w:hAnsi="宋体"/>
                <w:color w:val="auto"/>
                <w:spacing w:val="20"/>
                <w:szCs w:val="22"/>
                <w:highlight w:val="none"/>
              </w:rPr>
              <w:t>2、领导层名单</w:t>
            </w:r>
          </w:p>
        </w:tc>
      </w:tr>
      <w:tr w14:paraId="18C7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08" w:type="dxa"/>
            <w:tcBorders>
              <w:top w:val="single" w:color="auto" w:sz="4" w:space="0"/>
              <w:left w:val="single" w:color="auto" w:sz="4" w:space="0"/>
              <w:bottom w:val="single" w:color="auto" w:sz="4" w:space="0"/>
              <w:right w:val="single" w:color="auto" w:sz="4" w:space="0"/>
            </w:tcBorders>
          </w:tcPr>
          <w:p w14:paraId="02227C55">
            <w:pPr>
              <w:spacing w:line="600" w:lineRule="exact"/>
              <w:jc w:val="center"/>
              <w:rPr>
                <w:rFonts w:hint="eastAsia" w:ascii="宋体" w:hAnsi="宋体"/>
                <w:color w:val="auto"/>
                <w:spacing w:val="20"/>
                <w:szCs w:val="22"/>
                <w:highlight w:val="none"/>
              </w:rPr>
            </w:pPr>
            <w:r>
              <w:rPr>
                <w:rFonts w:hint="eastAsia" w:ascii="宋体" w:hAnsi="宋体"/>
                <w:color w:val="auto"/>
                <w:spacing w:val="20"/>
                <w:szCs w:val="22"/>
                <w:highlight w:val="none"/>
              </w:rPr>
              <w:t>姓名</w:t>
            </w:r>
          </w:p>
        </w:tc>
        <w:tc>
          <w:tcPr>
            <w:tcW w:w="3108" w:type="dxa"/>
            <w:tcBorders>
              <w:top w:val="single" w:color="auto" w:sz="4" w:space="0"/>
              <w:left w:val="single" w:color="auto" w:sz="4" w:space="0"/>
              <w:bottom w:val="single" w:color="auto" w:sz="4" w:space="0"/>
              <w:right w:val="single" w:color="auto" w:sz="4" w:space="0"/>
            </w:tcBorders>
          </w:tcPr>
          <w:p w14:paraId="001D6466">
            <w:pPr>
              <w:spacing w:line="600" w:lineRule="exact"/>
              <w:jc w:val="center"/>
              <w:rPr>
                <w:rFonts w:hint="eastAsia" w:ascii="宋体" w:hAnsi="宋体"/>
                <w:color w:val="auto"/>
                <w:spacing w:val="20"/>
                <w:szCs w:val="22"/>
                <w:highlight w:val="none"/>
              </w:rPr>
            </w:pPr>
            <w:r>
              <w:rPr>
                <w:rFonts w:hint="eastAsia" w:ascii="宋体" w:hAnsi="宋体"/>
                <w:color w:val="auto"/>
                <w:spacing w:val="20"/>
                <w:szCs w:val="22"/>
                <w:highlight w:val="none"/>
              </w:rPr>
              <w:t>职务</w:t>
            </w:r>
          </w:p>
        </w:tc>
        <w:tc>
          <w:tcPr>
            <w:tcW w:w="2388" w:type="dxa"/>
            <w:tcBorders>
              <w:top w:val="single" w:color="auto" w:sz="4" w:space="0"/>
              <w:left w:val="single" w:color="auto" w:sz="4" w:space="0"/>
              <w:bottom w:val="single" w:color="auto" w:sz="4" w:space="0"/>
              <w:right w:val="single" w:color="auto" w:sz="4" w:space="0"/>
            </w:tcBorders>
          </w:tcPr>
          <w:p w14:paraId="1505333F">
            <w:pPr>
              <w:spacing w:line="600" w:lineRule="exact"/>
              <w:jc w:val="center"/>
              <w:rPr>
                <w:rFonts w:hint="eastAsia" w:ascii="宋体" w:hAnsi="宋体"/>
                <w:color w:val="auto"/>
                <w:spacing w:val="20"/>
                <w:szCs w:val="22"/>
                <w:highlight w:val="none"/>
              </w:rPr>
            </w:pPr>
            <w:r>
              <w:rPr>
                <w:rFonts w:hint="eastAsia" w:ascii="宋体" w:hAnsi="宋体"/>
                <w:color w:val="auto"/>
                <w:spacing w:val="20"/>
                <w:szCs w:val="22"/>
                <w:highlight w:val="none"/>
              </w:rPr>
              <w:t>职称</w:t>
            </w:r>
          </w:p>
        </w:tc>
      </w:tr>
      <w:tr w14:paraId="7BD8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108" w:type="dxa"/>
            <w:tcBorders>
              <w:top w:val="single" w:color="auto" w:sz="4" w:space="0"/>
              <w:left w:val="single" w:color="auto" w:sz="4" w:space="0"/>
              <w:bottom w:val="single" w:color="auto" w:sz="4" w:space="0"/>
              <w:right w:val="single" w:color="auto" w:sz="4" w:space="0"/>
            </w:tcBorders>
          </w:tcPr>
          <w:p w14:paraId="13B5925C">
            <w:pPr>
              <w:spacing w:line="600" w:lineRule="exact"/>
              <w:rPr>
                <w:rFonts w:hint="eastAsia" w:ascii="宋体" w:hAnsi="宋体"/>
                <w:color w:val="auto"/>
                <w:spacing w:val="20"/>
                <w:szCs w:val="22"/>
                <w:highlight w:val="none"/>
              </w:rPr>
            </w:pPr>
          </w:p>
        </w:tc>
        <w:tc>
          <w:tcPr>
            <w:tcW w:w="3108" w:type="dxa"/>
            <w:tcBorders>
              <w:top w:val="single" w:color="auto" w:sz="4" w:space="0"/>
              <w:left w:val="single" w:color="auto" w:sz="4" w:space="0"/>
              <w:bottom w:val="single" w:color="auto" w:sz="4" w:space="0"/>
              <w:right w:val="single" w:color="auto" w:sz="4" w:space="0"/>
            </w:tcBorders>
          </w:tcPr>
          <w:p w14:paraId="3B04806B">
            <w:pPr>
              <w:spacing w:line="600" w:lineRule="exact"/>
              <w:rPr>
                <w:rFonts w:hint="eastAsia" w:ascii="宋体" w:hAnsi="宋体"/>
                <w:color w:val="auto"/>
                <w:spacing w:val="20"/>
                <w:szCs w:val="22"/>
                <w:highlight w:val="none"/>
              </w:rPr>
            </w:pPr>
          </w:p>
        </w:tc>
        <w:tc>
          <w:tcPr>
            <w:tcW w:w="2388" w:type="dxa"/>
            <w:tcBorders>
              <w:top w:val="single" w:color="auto" w:sz="4" w:space="0"/>
              <w:left w:val="single" w:color="auto" w:sz="4" w:space="0"/>
              <w:bottom w:val="single" w:color="auto" w:sz="4" w:space="0"/>
              <w:right w:val="single" w:color="auto" w:sz="4" w:space="0"/>
            </w:tcBorders>
          </w:tcPr>
          <w:p w14:paraId="1CECE334">
            <w:pPr>
              <w:spacing w:line="600" w:lineRule="exact"/>
              <w:rPr>
                <w:rFonts w:hint="eastAsia" w:ascii="宋体" w:hAnsi="宋体"/>
                <w:color w:val="auto"/>
                <w:spacing w:val="20"/>
                <w:szCs w:val="22"/>
                <w:highlight w:val="none"/>
              </w:rPr>
            </w:pPr>
          </w:p>
        </w:tc>
      </w:tr>
      <w:tr w14:paraId="48FD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08" w:type="dxa"/>
            <w:tcBorders>
              <w:top w:val="single" w:color="auto" w:sz="4" w:space="0"/>
              <w:left w:val="single" w:color="auto" w:sz="4" w:space="0"/>
              <w:bottom w:val="single" w:color="auto" w:sz="4" w:space="0"/>
              <w:right w:val="single" w:color="auto" w:sz="4" w:space="0"/>
            </w:tcBorders>
          </w:tcPr>
          <w:p w14:paraId="6D48CB73">
            <w:pPr>
              <w:spacing w:line="600" w:lineRule="exact"/>
              <w:rPr>
                <w:rFonts w:hint="eastAsia" w:ascii="宋体" w:hAnsi="宋体"/>
                <w:color w:val="auto"/>
                <w:spacing w:val="20"/>
                <w:szCs w:val="22"/>
                <w:highlight w:val="none"/>
              </w:rPr>
            </w:pPr>
          </w:p>
        </w:tc>
        <w:tc>
          <w:tcPr>
            <w:tcW w:w="3108" w:type="dxa"/>
            <w:tcBorders>
              <w:top w:val="single" w:color="auto" w:sz="4" w:space="0"/>
              <w:left w:val="single" w:color="auto" w:sz="4" w:space="0"/>
              <w:bottom w:val="single" w:color="auto" w:sz="4" w:space="0"/>
              <w:right w:val="single" w:color="auto" w:sz="4" w:space="0"/>
            </w:tcBorders>
          </w:tcPr>
          <w:p w14:paraId="775F3561">
            <w:pPr>
              <w:spacing w:line="600" w:lineRule="exact"/>
              <w:rPr>
                <w:rFonts w:hint="eastAsia" w:ascii="宋体" w:hAnsi="宋体"/>
                <w:color w:val="auto"/>
                <w:spacing w:val="20"/>
                <w:szCs w:val="22"/>
                <w:highlight w:val="none"/>
              </w:rPr>
            </w:pPr>
          </w:p>
        </w:tc>
        <w:tc>
          <w:tcPr>
            <w:tcW w:w="2388" w:type="dxa"/>
            <w:tcBorders>
              <w:top w:val="single" w:color="auto" w:sz="4" w:space="0"/>
              <w:left w:val="single" w:color="auto" w:sz="4" w:space="0"/>
              <w:bottom w:val="single" w:color="auto" w:sz="4" w:space="0"/>
              <w:right w:val="single" w:color="auto" w:sz="4" w:space="0"/>
            </w:tcBorders>
          </w:tcPr>
          <w:p w14:paraId="578D6875">
            <w:pPr>
              <w:spacing w:line="600" w:lineRule="exact"/>
              <w:rPr>
                <w:rFonts w:hint="eastAsia" w:ascii="宋体" w:hAnsi="宋体"/>
                <w:color w:val="auto"/>
                <w:spacing w:val="20"/>
                <w:szCs w:val="22"/>
                <w:highlight w:val="none"/>
              </w:rPr>
            </w:pPr>
          </w:p>
        </w:tc>
      </w:tr>
      <w:tr w14:paraId="6332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08" w:type="dxa"/>
            <w:tcBorders>
              <w:top w:val="single" w:color="auto" w:sz="4" w:space="0"/>
              <w:left w:val="single" w:color="auto" w:sz="4" w:space="0"/>
              <w:bottom w:val="single" w:color="auto" w:sz="4" w:space="0"/>
              <w:right w:val="single" w:color="auto" w:sz="4" w:space="0"/>
            </w:tcBorders>
          </w:tcPr>
          <w:p w14:paraId="72A77C17">
            <w:pPr>
              <w:spacing w:line="600" w:lineRule="exact"/>
              <w:rPr>
                <w:rFonts w:hint="eastAsia" w:ascii="宋体" w:hAnsi="宋体"/>
                <w:color w:val="auto"/>
                <w:spacing w:val="20"/>
                <w:szCs w:val="22"/>
                <w:highlight w:val="none"/>
              </w:rPr>
            </w:pPr>
          </w:p>
        </w:tc>
        <w:tc>
          <w:tcPr>
            <w:tcW w:w="3108" w:type="dxa"/>
            <w:tcBorders>
              <w:top w:val="single" w:color="auto" w:sz="4" w:space="0"/>
              <w:left w:val="single" w:color="auto" w:sz="4" w:space="0"/>
              <w:bottom w:val="single" w:color="auto" w:sz="4" w:space="0"/>
              <w:right w:val="single" w:color="auto" w:sz="4" w:space="0"/>
            </w:tcBorders>
          </w:tcPr>
          <w:p w14:paraId="3528599C">
            <w:pPr>
              <w:spacing w:line="600" w:lineRule="exact"/>
              <w:rPr>
                <w:rFonts w:hint="eastAsia" w:ascii="宋体" w:hAnsi="宋体"/>
                <w:color w:val="auto"/>
                <w:spacing w:val="20"/>
                <w:szCs w:val="22"/>
                <w:highlight w:val="none"/>
              </w:rPr>
            </w:pPr>
          </w:p>
        </w:tc>
        <w:tc>
          <w:tcPr>
            <w:tcW w:w="2388" w:type="dxa"/>
            <w:tcBorders>
              <w:top w:val="single" w:color="auto" w:sz="4" w:space="0"/>
              <w:left w:val="single" w:color="auto" w:sz="4" w:space="0"/>
              <w:bottom w:val="single" w:color="auto" w:sz="4" w:space="0"/>
              <w:right w:val="single" w:color="auto" w:sz="4" w:space="0"/>
            </w:tcBorders>
          </w:tcPr>
          <w:p w14:paraId="00ECF0B0">
            <w:pPr>
              <w:spacing w:line="600" w:lineRule="exact"/>
              <w:rPr>
                <w:rFonts w:hint="eastAsia" w:ascii="宋体" w:hAnsi="宋体"/>
                <w:color w:val="auto"/>
                <w:spacing w:val="20"/>
                <w:szCs w:val="22"/>
                <w:highlight w:val="none"/>
              </w:rPr>
            </w:pPr>
          </w:p>
        </w:tc>
      </w:tr>
      <w:tr w14:paraId="6269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108" w:type="dxa"/>
            <w:tcBorders>
              <w:top w:val="single" w:color="auto" w:sz="4" w:space="0"/>
              <w:left w:val="single" w:color="auto" w:sz="4" w:space="0"/>
              <w:bottom w:val="single" w:color="auto" w:sz="4" w:space="0"/>
              <w:right w:val="single" w:color="auto" w:sz="4" w:space="0"/>
            </w:tcBorders>
          </w:tcPr>
          <w:p w14:paraId="279668E8">
            <w:pPr>
              <w:spacing w:line="600" w:lineRule="exact"/>
              <w:rPr>
                <w:rFonts w:hint="eastAsia" w:ascii="宋体" w:hAnsi="宋体"/>
                <w:color w:val="auto"/>
                <w:spacing w:val="20"/>
                <w:szCs w:val="22"/>
                <w:highlight w:val="none"/>
              </w:rPr>
            </w:pPr>
          </w:p>
        </w:tc>
        <w:tc>
          <w:tcPr>
            <w:tcW w:w="3108" w:type="dxa"/>
            <w:tcBorders>
              <w:top w:val="single" w:color="auto" w:sz="4" w:space="0"/>
              <w:left w:val="single" w:color="auto" w:sz="4" w:space="0"/>
              <w:bottom w:val="single" w:color="auto" w:sz="4" w:space="0"/>
              <w:right w:val="single" w:color="auto" w:sz="4" w:space="0"/>
            </w:tcBorders>
          </w:tcPr>
          <w:p w14:paraId="2F42BB45">
            <w:pPr>
              <w:spacing w:line="600" w:lineRule="exact"/>
              <w:rPr>
                <w:rFonts w:hint="eastAsia" w:ascii="宋体" w:hAnsi="宋体"/>
                <w:color w:val="auto"/>
                <w:spacing w:val="20"/>
                <w:szCs w:val="22"/>
                <w:highlight w:val="none"/>
              </w:rPr>
            </w:pPr>
          </w:p>
        </w:tc>
        <w:tc>
          <w:tcPr>
            <w:tcW w:w="2388" w:type="dxa"/>
            <w:tcBorders>
              <w:top w:val="single" w:color="auto" w:sz="4" w:space="0"/>
              <w:left w:val="single" w:color="auto" w:sz="4" w:space="0"/>
              <w:bottom w:val="single" w:color="auto" w:sz="4" w:space="0"/>
              <w:right w:val="single" w:color="auto" w:sz="4" w:space="0"/>
            </w:tcBorders>
          </w:tcPr>
          <w:p w14:paraId="02D7D4BA">
            <w:pPr>
              <w:spacing w:line="600" w:lineRule="exact"/>
              <w:rPr>
                <w:rFonts w:hint="eastAsia" w:ascii="宋体" w:hAnsi="宋体"/>
                <w:color w:val="auto"/>
                <w:spacing w:val="20"/>
                <w:szCs w:val="22"/>
                <w:highlight w:val="none"/>
              </w:rPr>
            </w:pPr>
          </w:p>
        </w:tc>
      </w:tr>
      <w:tr w14:paraId="1B9B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08" w:type="dxa"/>
            <w:tcBorders>
              <w:top w:val="single" w:color="auto" w:sz="4" w:space="0"/>
              <w:left w:val="single" w:color="auto" w:sz="4" w:space="0"/>
              <w:bottom w:val="single" w:color="auto" w:sz="4" w:space="0"/>
              <w:right w:val="single" w:color="auto" w:sz="4" w:space="0"/>
            </w:tcBorders>
          </w:tcPr>
          <w:p w14:paraId="3D915DB7">
            <w:pPr>
              <w:spacing w:line="600" w:lineRule="exact"/>
              <w:rPr>
                <w:rFonts w:hint="eastAsia" w:ascii="宋体" w:hAnsi="宋体"/>
                <w:color w:val="auto"/>
                <w:spacing w:val="20"/>
                <w:szCs w:val="22"/>
                <w:highlight w:val="none"/>
              </w:rPr>
            </w:pPr>
          </w:p>
        </w:tc>
        <w:tc>
          <w:tcPr>
            <w:tcW w:w="3108" w:type="dxa"/>
            <w:tcBorders>
              <w:top w:val="single" w:color="auto" w:sz="4" w:space="0"/>
              <w:left w:val="single" w:color="auto" w:sz="4" w:space="0"/>
              <w:bottom w:val="single" w:color="auto" w:sz="4" w:space="0"/>
              <w:right w:val="single" w:color="auto" w:sz="4" w:space="0"/>
            </w:tcBorders>
          </w:tcPr>
          <w:p w14:paraId="5BADCAFC">
            <w:pPr>
              <w:spacing w:line="600" w:lineRule="exact"/>
              <w:rPr>
                <w:rFonts w:hint="eastAsia" w:ascii="宋体" w:hAnsi="宋体"/>
                <w:color w:val="auto"/>
                <w:spacing w:val="20"/>
                <w:szCs w:val="22"/>
                <w:highlight w:val="none"/>
              </w:rPr>
            </w:pPr>
          </w:p>
        </w:tc>
        <w:tc>
          <w:tcPr>
            <w:tcW w:w="2388" w:type="dxa"/>
            <w:tcBorders>
              <w:top w:val="single" w:color="auto" w:sz="4" w:space="0"/>
              <w:left w:val="single" w:color="auto" w:sz="4" w:space="0"/>
              <w:bottom w:val="single" w:color="auto" w:sz="4" w:space="0"/>
              <w:right w:val="single" w:color="auto" w:sz="4" w:space="0"/>
            </w:tcBorders>
          </w:tcPr>
          <w:p w14:paraId="6D76F30C">
            <w:pPr>
              <w:spacing w:line="600" w:lineRule="exact"/>
              <w:rPr>
                <w:rFonts w:hint="eastAsia" w:ascii="宋体" w:hAnsi="宋体"/>
                <w:color w:val="auto"/>
                <w:spacing w:val="20"/>
                <w:szCs w:val="22"/>
                <w:highlight w:val="none"/>
              </w:rPr>
            </w:pPr>
          </w:p>
        </w:tc>
      </w:tr>
      <w:tr w14:paraId="5C56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4DF81496">
            <w:pPr>
              <w:spacing w:line="600" w:lineRule="exact"/>
              <w:ind w:left="510"/>
              <w:jc w:val="center"/>
              <w:rPr>
                <w:rFonts w:hint="eastAsia" w:ascii="宋体" w:hAnsi="宋体"/>
                <w:color w:val="auto"/>
                <w:spacing w:val="20"/>
                <w:szCs w:val="22"/>
                <w:highlight w:val="none"/>
              </w:rPr>
            </w:pPr>
            <w:r>
              <w:rPr>
                <w:rFonts w:ascii="宋体" w:hAnsi="宋体"/>
                <w:color w:val="auto"/>
                <w:spacing w:val="20"/>
                <w:szCs w:val="22"/>
                <w:highlight w:val="none"/>
              </w:rPr>
              <w:t>3、组织机构框图</w:t>
            </w:r>
          </w:p>
          <w:p w14:paraId="60687DEB">
            <w:pPr>
              <w:spacing w:line="600" w:lineRule="exact"/>
              <w:ind w:firstLine="750"/>
              <w:rPr>
                <w:rFonts w:hint="eastAsia" w:ascii="宋体" w:hAnsi="宋体"/>
                <w:color w:val="auto"/>
                <w:spacing w:val="20"/>
                <w:szCs w:val="22"/>
                <w:highlight w:val="none"/>
              </w:rPr>
            </w:pPr>
            <w:r>
              <w:rPr>
                <w:rFonts w:hint="eastAsia" w:ascii="宋体" w:hAnsi="宋体"/>
                <w:color w:val="auto"/>
                <w:spacing w:val="20"/>
                <w:szCs w:val="22"/>
                <w:highlight w:val="none"/>
              </w:rPr>
              <w:t>以框图的形式表示出组织机构、负责人及各职能部门。</w:t>
            </w:r>
          </w:p>
          <w:p w14:paraId="048F3921">
            <w:pPr>
              <w:spacing w:line="600" w:lineRule="exact"/>
              <w:rPr>
                <w:rFonts w:hint="eastAsia" w:ascii="宋体" w:hAnsi="宋体"/>
                <w:color w:val="auto"/>
                <w:spacing w:val="20"/>
                <w:szCs w:val="22"/>
                <w:highlight w:val="none"/>
              </w:rPr>
            </w:pPr>
          </w:p>
        </w:tc>
      </w:tr>
      <w:tr w14:paraId="3646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6"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1C294098">
            <w:pPr>
              <w:spacing w:line="600" w:lineRule="exact"/>
              <w:jc w:val="center"/>
              <w:rPr>
                <w:rFonts w:hint="eastAsia" w:ascii="宋体" w:hAnsi="宋体"/>
                <w:color w:val="auto"/>
                <w:spacing w:val="20"/>
                <w:szCs w:val="22"/>
                <w:highlight w:val="none"/>
              </w:rPr>
            </w:pPr>
            <w:r>
              <w:rPr>
                <w:rFonts w:ascii="宋体" w:hAnsi="宋体"/>
                <w:color w:val="auto"/>
                <w:spacing w:val="20"/>
                <w:szCs w:val="22"/>
                <w:highlight w:val="none"/>
              </w:rPr>
              <w:t>4、单位概述（文字叙述）</w:t>
            </w:r>
          </w:p>
        </w:tc>
      </w:tr>
    </w:tbl>
    <w:p w14:paraId="4601C068">
      <w:pPr>
        <w:rPr>
          <w:rFonts w:hint="eastAsia" w:ascii="宋体" w:hAnsi="宋体"/>
          <w:color w:val="auto"/>
          <w:szCs w:val="22"/>
          <w:highlight w:val="none"/>
        </w:rPr>
      </w:pPr>
    </w:p>
    <w:p w14:paraId="34969E3D">
      <w:pPr>
        <w:keepNext/>
        <w:keepLines/>
        <w:adjustRightInd w:val="0"/>
        <w:spacing w:before="240" w:after="120" w:line="360" w:lineRule="auto"/>
        <w:textAlignment w:val="baseline"/>
        <w:outlineLvl w:val="0"/>
        <w:rPr>
          <w:rFonts w:hint="eastAsia" w:ascii="宋体" w:hAnsi="宋体"/>
          <w:b/>
          <w:color w:val="auto"/>
          <w:kern w:val="24"/>
          <w:sz w:val="28"/>
          <w:szCs w:val="20"/>
          <w:highlight w:val="none"/>
        </w:rPr>
      </w:pPr>
      <w:r>
        <w:rPr>
          <w:rFonts w:ascii="宋体" w:hAnsi="宋体"/>
          <w:color w:val="auto"/>
          <w:szCs w:val="22"/>
          <w:highlight w:val="none"/>
        </w:rPr>
        <w:br w:type="page"/>
      </w:r>
      <w:bookmarkStart w:id="1435" w:name="_Toc23807"/>
      <w:bookmarkStart w:id="1436" w:name="_Toc9590813"/>
      <w:bookmarkStart w:id="1437" w:name="_Toc13131"/>
      <w:bookmarkStart w:id="1438" w:name="_Toc4167"/>
      <w:bookmarkStart w:id="1439" w:name="_Toc6658"/>
      <w:bookmarkStart w:id="1440" w:name="_Toc11834"/>
      <w:bookmarkStart w:id="1441" w:name="_Toc22000"/>
      <w:bookmarkStart w:id="1442" w:name="_Toc5451"/>
      <w:bookmarkStart w:id="1443" w:name="_Toc26990"/>
      <w:bookmarkStart w:id="1444" w:name="_Toc30981"/>
      <w:r>
        <w:rPr>
          <w:rFonts w:hint="eastAsia" w:ascii="宋体" w:hAnsi="宋体"/>
          <w:b/>
          <w:color w:val="auto"/>
          <w:kern w:val="24"/>
          <w:sz w:val="28"/>
          <w:szCs w:val="20"/>
          <w:highlight w:val="none"/>
        </w:rPr>
        <w:t>六</w:t>
      </w:r>
      <w:r>
        <w:rPr>
          <w:rFonts w:ascii="宋体" w:hAnsi="宋体"/>
          <w:b/>
          <w:color w:val="auto"/>
          <w:kern w:val="24"/>
          <w:sz w:val="28"/>
          <w:szCs w:val="20"/>
          <w:highlight w:val="none"/>
        </w:rPr>
        <w:t>.</w:t>
      </w:r>
      <w:r>
        <w:rPr>
          <w:rFonts w:hint="eastAsia" w:ascii="宋体" w:hAnsi="宋体"/>
          <w:b/>
          <w:color w:val="auto"/>
          <w:kern w:val="24"/>
          <w:sz w:val="28"/>
          <w:szCs w:val="20"/>
          <w:highlight w:val="none"/>
        </w:rPr>
        <w:t>报价</w:t>
      </w:r>
      <w:bookmarkEnd w:id="1435"/>
      <w:bookmarkEnd w:id="1436"/>
      <w:r>
        <w:rPr>
          <w:rFonts w:hint="eastAsia" w:ascii="宋体" w:hAnsi="宋体"/>
          <w:b/>
          <w:color w:val="auto"/>
          <w:kern w:val="24"/>
          <w:sz w:val="28"/>
          <w:szCs w:val="20"/>
          <w:highlight w:val="none"/>
        </w:rPr>
        <w:t>表</w:t>
      </w:r>
      <w:bookmarkEnd w:id="1437"/>
      <w:bookmarkEnd w:id="1438"/>
      <w:bookmarkEnd w:id="1439"/>
      <w:bookmarkEnd w:id="1440"/>
      <w:bookmarkEnd w:id="1441"/>
      <w:bookmarkEnd w:id="1442"/>
      <w:bookmarkEnd w:id="1443"/>
      <w:bookmarkEnd w:id="1444"/>
    </w:p>
    <w:p w14:paraId="27771C3F">
      <w:pPr>
        <w:keepNext/>
        <w:keepLines/>
        <w:adjustRightInd w:val="0"/>
        <w:spacing w:before="240" w:after="60"/>
        <w:jc w:val="left"/>
        <w:textAlignment w:val="baseline"/>
        <w:outlineLvl w:val="1"/>
        <w:rPr>
          <w:color w:val="auto"/>
          <w:highlight w:val="none"/>
        </w:rPr>
      </w:pPr>
      <w:bookmarkStart w:id="1445" w:name="_Toc4111"/>
      <w:bookmarkStart w:id="1446" w:name="_Toc28538"/>
      <w:bookmarkStart w:id="1447" w:name="_Toc12859"/>
      <w:bookmarkStart w:id="1448" w:name="_Toc22450"/>
      <w:bookmarkStart w:id="1449" w:name="_Toc25035"/>
      <w:bookmarkStart w:id="1450" w:name="_Toc16648"/>
      <w:bookmarkStart w:id="1451" w:name="_Toc5401"/>
      <w:bookmarkStart w:id="1452" w:name="_Toc325"/>
      <w:r>
        <w:rPr>
          <w:rFonts w:hint="eastAsia" w:ascii="宋体" w:hAnsi="宋体"/>
          <w:b/>
          <w:bCs/>
          <w:color w:val="auto"/>
          <w:szCs w:val="21"/>
          <w:highlight w:val="none"/>
        </w:rPr>
        <w:t xml:space="preserve">6.1 </w:t>
      </w:r>
      <w:r>
        <w:rPr>
          <w:rFonts w:hint="eastAsia" w:ascii="宋体" w:hAnsi="宋体"/>
          <w:color w:val="auto"/>
          <w:szCs w:val="21"/>
          <w:highlight w:val="none"/>
        </w:rPr>
        <w:t xml:space="preserve"> 东莞市轨道交通1号线运营期地铁控制保护区综合管理系统项目报价表</w:t>
      </w:r>
      <w:bookmarkEnd w:id="1445"/>
      <w:bookmarkEnd w:id="1446"/>
      <w:bookmarkEnd w:id="1447"/>
      <w:bookmarkEnd w:id="1448"/>
      <w:bookmarkEnd w:id="1449"/>
      <w:bookmarkEnd w:id="1450"/>
      <w:bookmarkEnd w:id="1451"/>
      <w:bookmarkEnd w:id="1452"/>
    </w:p>
    <w:tbl>
      <w:tblPr>
        <w:tblStyle w:val="21"/>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3900"/>
        <w:gridCol w:w="3930"/>
        <w:gridCol w:w="1412"/>
      </w:tblGrid>
      <w:tr w14:paraId="3473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exact"/>
          <w:jc w:val="center"/>
        </w:trPr>
        <w:tc>
          <w:tcPr>
            <w:tcW w:w="294" w:type="pct"/>
            <w:vAlign w:val="center"/>
          </w:tcPr>
          <w:p w14:paraId="7C087454">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986" w:type="pct"/>
            <w:vAlign w:val="center"/>
          </w:tcPr>
          <w:p w14:paraId="761D321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w:t>
            </w:r>
          </w:p>
        </w:tc>
        <w:tc>
          <w:tcPr>
            <w:tcW w:w="2001" w:type="pct"/>
            <w:vAlign w:val="center"/>
          </w:tcPr>
          <w:p w14:paraId="7461B9C0">
            <w:pPr>
              <w:widowControl/>
              <w:jc w:val="center"/>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含税报价（元） </w:t>
            </w:r>
          </w:p>
        </w:tc>
        <w:tc>
          <w:tcPr>
            <w:tcW w:w="717" w:type="pct"/>
            <w:vAlign w:val="center"/>
          </w:tcPr>
          <w:p w14:paraId="770BFD21">
            <w:pPr>
              <w:widowControl/>
              <w:jc w:val="center"/>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备注</w:t>
            </w:r>
          </w:p>
        </w:tc>
      </w:tr>
      <w:tr w14:paraId="1F20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94" w:type="pct"/>
            <w:vAlign w:val="center"/>
          </w:tcPr>
          <w:p w14:paraId="74883EE8">
            <w:pPr>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一</w:t>
            </w:r>
          </w:p>
        </w:tc>
        <w:tc>
          <w:tcPr>
            <w:tcW w:w="1986" w:type="pct"/>
            <w:vAlign w:val="center"/>
          </w:tcPr>
          <w:p w14:paraId="1B62E266">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软件开发</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采购、测评</w:t>
            </w:r>
          </w:p>
        </w:tc>
        <w:tc>
          <w:tcPr>
            <w:tcW w:w="2001" w:type="pct"/>
          </w:tcPr>
          <w:p w14:paraId="394432CF">
            <w:pPr>
              <w:rPr>
                <w:rFonts w:hint="eastAsia" w:ascii="宋体" w:hAnsi="宋体" w:cs="宋体"/>
                <w:color w:val="auto"/>
                <w:sz w:val="22"/>
                <w:szCs w:val="22"/>
                <w:highlight w:val="none"/>
              </w:rPr>
            </w:pPr>
          </w:p>
        </w:tc>
        <w:tc>
          <w:tcPr>
            <w:tcW w:w="717" w:type="pct"/>
            <w:vAlign w:val="center"/>
          </w:tcPr>
          <w:p w14:paraId="1E1FD024">
            <w:pPr>
              <w:rPr>
                <w:rFonts w:hint="eastAsia" w:ascii="宋体" w:hAnsi="宋体" w:cs="宋体"/>
                <w:color w:val="auto"/>
                <w:sz w:val="22"/>
                <w:szCs w:val="22"/>
                <w:highlight w:val="none"/>
              </w:rPr>
            </w:pPr>
          </w:p>
        </w:tc>
      </w:tr>
      <w:tr w14:paraId="166B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94" w:type="pct"/>
            <w:vAlign w:val="center"/>
          </w:tcPr>
          <w:p w14:paraId="2A52815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二</w:t>
            </w:r>
          </w:p>
        </w:tc>
        <w:tc>
          <w:tcPr>
            <w:tcW w:w="1986" w:type="pct"/>
            <w:vAlign w:val="center"/>
          </w:tcPr>
          <w:p w14:paraId="6D7781F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硬件采购</w:t>
            </w:r>
          </w:p>
        </w:tc>
        <w:tc>
          <w:tcPr>
            <w:tcW w:w="2001" w:type="pct"/>
          </w:tcPr>
          <w:p w14:paraId="2210137D">
            <w:pPr>
              <w:rPr>
                <w:rFonts w:hint="eastAsia" w:ascii="宋体" w:hAnsi="宋体" w:cs="宋体"/>
                <w:color w:val="auto"/>
                <w:sz w:val="22"/>
                <w:szCs w:val="22"/>
                <w:highlight w:val="none"/>
              </w:rPr>
            </w:pPr>
          </w:p>
        </w:tc>
        <w:tc>
          <w:tcPr>
            <w:tcW w:w="717" w:type="pct"/>
            <w:vAlign w:val="center"/>
          </w:tcPr>
          <w:p w14:paraId="2B43C745">
            <w:pPr>
              <w:rPr>
                <w:rFonts w:hint="eastAsia" w:ascii="宋体" w:hAnsi="宋体" w:cs="宋体"/>
                <w:color w:val="auto"/>
                <w:sz w:val="22"/>
                <w:szCs w:val="22"/>
                <w:highlight w:val="none"/>
              </w:rPr>
            </w:pPr>
          </w:p>
        </w:tc>
      </w:tr>
      <w:tr w14:paraId="4294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000" w:type="pct"/>
            <w:gridSpan w:val="4"/>
          </w:tcPr>
          <w:p w14:paraId="797B68E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投标总价：大写：</w:t>
            </w:r>
            <w:r>
              <w:rPr>
                <w:rFonts w:hint="eastAsia" w:ascii="宋体" w:hAnsi="宋体" w:cs="宋体"/>
                <w:color w:val="auto"/>
                <w:sz w:val="22"/>
                <w:szCs w:val="22"/>
                <w:highlight w:val="none"/>
                <w:u w:val="single"/>
              </w:rPr>
              <w:t xml:space="preserve">                 </w:t>
            </w:r>
          </w:p>
          <w:p w14:paraId="141502A4">
            <w:pPr>
              <w:spacing w:line="360" w:lineRule="auto"/>
              <w:ind w:firstLine="1100" w:firstLineChars="500"/>
              <w:rPr>
                <w:rFonts w:hint="eastAsia" w:ascii="宋体" w:hAnsi="宋体" w:cs="宋体"/>
                <w:color w:val="auto"/>
                <w:sz w:val="22"/>
                <w:szCs w:val="22"/>
                <w:highlight w:val="none"/>
              </w:rPr>
            </w:pPr>
            <w:r>
              <w:rPr>
                <w:rFonts w:hint="eastAsia" w:ascii="宋体" w:hAnsi="宋体" w:cs="宋体"/>
                <w:color w:val="auto"/>
                <w:sz w:val="22"/>
                <w:szCs w:val="22"/>
                <w:highlight w:val="none"/>
              </w:rPr>
              <w:t>小写：￥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p>
        </w:tc>
      </w:tr>
    </w:tbl>
    <w:p w14:paraId="26D33497">
      <w:pPr>
        <w:rPr>
          <w:rFonts w:hint="eastAsia" w:ascii="宋体" w:hAnsi="宋体" w:cs="宋体"/>
          <w:color w:val="auto"/>
          <w:sz w:val="22"/>
          <w:szCs w:val="22"/>
          <w:highlight w:val="none"/>
        </w:rPr>
      </w:pPr>
      <w:r>
        <w:rPr>
          <w:rFonts w:ascii="宋体" w:hAnsi="宋体" w:cs="宋体"/>
          <w:color w:val="auto"/>
          <w:spacing w:val="-8"/>
          <w:sz w:val="22"/>
          <w:szCs w:val="22"/>
          <w:highlight w:val="none"/>
        </w:rPr>
        <w:t>注：</w:t>
      </w:r>
    </w:p>
    <w:p w14:paraId="02A929E7">
      <w:pPr>
        <w:spacing w:line="440" w:lineRule="exact"/>
        <w:ind w:firstLine="428" w:firstLineChars="202"/>
        <w:jc w:val="left"/>
        <w:rPr>
          <w:rFonts w:hint="eastAsia" w:ascii="宋体" w:hAnsi="宋体" w:cs="宋体"/>
          <w:color w:val="auto"/>
          <w:spacing w:val="-4"/>
          <w:position w:val="14"/>
          <w:sz w:val="22"/>
          <w:szCs w:val="22"/>
          <w:highlight w:val="none"/>
        </w:rPr>
      </w:pPr>
      <w:r>
        <w:rPr>
          <w:rFonts w:ascii="宋体" w:hAnsi="宋体" w:cs="宋体"/>
          <w:color w:val="auto"/>
          <w:spacing w:val="-4"/>
          <w:position w:val="14"/>
          <w:sz w:val="22"/>
          <w:szCs w:val="22"/>
          <w:highlight w:val="none"/>
        </w:rPr>
        <w:t>(1)</w:t>
      </w:r>
      <w:r>
        <w:rPr>
          <w:rFonts w:hint="eastAsia" w:ascii="宋体" w:hAnsi="宋体" w:cs="宋体"/>
          <w:color w:val="auto"/>
          <w:spacing w:val="-4"/>
          <w:position w:val="14"/>
          <w:sz w:val="22"/>
          <w:szCs w:val="22"/>
          <w:highlight w:val="none"/>
        </w:rPr>
        <w:t>投标总价包括了</w:t>
      </w:r>
      <w:r>
        <w:rPr>
          <w:rFonts w:hint="eastAsia" w:ascii="宋体" w:hAnsi="宋体" w:eastAsia="宋体" w:cs="宋体"/>
          <w:color w:val="auto"/>
          <w:spacing w:val="-4"/>
          <w:position w:val="14"/>
          <w:sz w:val="22"/>
          <w:szCs w:val="22"/>
          <w:highlight w:val="none"/>
          <w:lang w:bidi="ar"/>
        </w:rPr>
        <w:t>涉及到东莞市轨道交通1号线运营期地铁控制保护区综合管理系统</w:t>
      </w:r>
      <w:r>
        <w:rPr>
          <w:rFonts w:hint="eastAsia" w:ascii="宋体" w:hAnsi="宋体" w:cs="宋体"/>
          <w:color w:val="auto"/>
          <w:spacing w:val="-4"/>
          <w:position w:val="14"/>
          <w:sz w:val="22"/>
          <w:szCs w:val="22"/>
          <w:highlight w:val="none"/>
          <w:lang w:val="en-US" w:eastAsia="zh-CN" w:bidi="ar"/>
        </w:rPr>
        <w:t>项目</w:t>
      </w:r>
      <w:r>
        <w:rPr>
          <w:rFonts w:hint="eastAsia" w:ascii="宋体" w:hAnsi="宋体" w:eastAsia="宋体" w:cs="宋体"/>
          <w:color w:val="auto"/>
          <w:spacing w:val="-4"/>
          <w:position w:val="14"/>
          <w:sz w:val="22"/>
          <w:szCs w:val="22"/>
          <w:highlight w:val="none"/>
          <w:lang w:bidi="ar"/>
        </w:rPr>
        <w:t>及相应的开发、改造、部署、许可，整个系统的集成、测试、联调，系统使用培训，自动无人机场采购、建设、调试和运行维护，无人机、</w:t>
      </w:r>
      <w:r>
        <w:rPr>
          <w:rFonts w:hint="eastAsia" w:ascii="宋体" w:hAnsi="宋体" w:eastAsia="宋体" w:cs="宋体"/>
          <w:color w:val="auto"/>
          <w:spacing w:val="-4"/>
          <w:position w:val="14"/>
          <w:sz w:val="22"/>
          <w:szCs w:val="22"/>
          <w:highlight w:val="none"/>
          <w:lang w:val="en-US" w:eastAsia="zh-CN" w:bidi="ar"/>
        </w:rPr>
        <w:t>系统服务器、</w:t>
      </w:r>
      <w:r>
        <w:rPr>
          <w:rFonts w:hint="eastAsia" w:ascii="宋体" w:hAnsi="宋体" w:eastAsia="宋体" w:cs="宋体"/>
          <w:color w:val="auto"/>
          <w:spacing w:val="-4"/>
          <w:position w:val="14"/>
          <w:sz w:val="22"/>
          <w:szCs w:val="22"/>
          <w:highlight w:val="none"/>
          <w:lang w:bidi="ar"/>
        </w:rPr>
        <w:t>巡查电动自行车和巡查终端的采购，交工验收的相关工作等，</w:t>
      </w:r>
      <w:r>
        <w:rPr>
          <w:rFonts w:hint="eastAsia" w:ascii="宋体" w:hAnsi="宋体" w:eastAsia="宋体" w:cs="宋体"/>
          <w:color w:val="auto"/>
          <w:spacing w:val="-4"/>
          <w:position w:val="14"/>
          <w:sz w:val="22"/>
          <w:szCs w:val="22"/>
          <w:highlight w:val="none"/>
          <w:lang w:val="en-US" w:eastAsia="zh-CN" w:bidi="ar"/>
        </w:rPr>
        <w:t>质保</w:t>
      </w:r>
      <w:r>
        <w:rPr>
          <w:rFonts w:hint="eastAsia" w:ascii="宋体" w:hAnsi="宋体" w:eastAsia="宋体" w:cs="宋体"/>
          <w:color w:val="auto"/>
          <w:spacing w:val="-4"/>
          <w:position w:val="14"/>
          <w:sz w:val="22"/>
          <w:szCs w:val="22"/>
          <w:highlight w:val="none"/>
          <w:lang w:bidi="ar"/>
        </w:rPr>
        <w:t>期内的质量缺陷修复</w:t>
      </w:r>
      <w:r>
        <w:rPr>
          <w:rFonts w:hint="eastAsia" w:ascii="宋体" w:hAnsi="宋体" w:eastAsia="宋体" w:cs="宋体"/>
          <w:color w:val="auto"/>
          <w:spacing w:val="-4"/>
          <w:position w:val="14"/>
          <w:sz w:val="22"/>
          <w:szCs w:val="22"/>
          <w:highlight w:val="none"/>
          <w:lang w:eastAsia="zh-CN" w:bidi="ar"/>
        </w:rPr>
        <w:t>、</w:t>
      </w:r>
      <w:r>
        <w:rPr>
          <w:rFonts w:hint="eastAsia" w:ascii="宋体" w:hAnsi="宋体" w:eastAsia="宋体" w:cs="宋体"/>
          <w:color w:val="auto"/>
          <w:spacing w:val="-4"/>
          <w:position w:val="14"/>
          <w:sz w:val="22"/>
          <w:szCs w:val="22"/>
          <w:highlight w:val="none"/>
          <w:lang w:bidi="ar"/>
        </w:rPr>
        <w:t>免费维保</w:t>
      </w:r>
      <w:r>
        <w:rPr>
          <w:rFonts w:hint="eastAsia" w:ascii="宋体" w:hAnsi="宋体" w:eastAsia="宋体" w:cs="宋体"/>
          <w:color w:val="auto"/>
          <w:spacing w:val="-4"/>
          <w:position w:val="14"/>
          <w:sz w:val="22"/>
          <w:szCs w:val="22"/>
          <w:highlight w:val="none"/>
          <w:lang w:eastAsia="zh-CN" w:bidi="ar"/>
        </w:rPr>
        <w:t>、飞行计划申请和空域申报、</w:t>
      </w:r>
      <w:r>
        <w:rPr>
          <w:rFonts w:hint="eastAsia" w:ascii="宋体" w:hAnsi="宋体" w:eastAsia="宋体" w:cs="宋体"/>
          <w:bCs w:val="0"/>
          <w:color w:val="auto"/>
          <w:spacing w:val="-4"/>
          <w:position w:val="14"/>
          <w:sz w:val="22"/>
          <w:szCs w:val="22"/>
          <w:highlight w:val="none"/>
          <w:lang w:val="en-US" w:eastAsia="zh-CN"/>
        </w:rPr>
        <w:t>无人机场和无人机维护、系统维护和相关辅材配件等</w:t>
      </w:r>
      <w:r>
        <w:rPr>
          <w:rFonts w:hint="eastAsia" w:ascii="宋体" w:hAnsi="宋体" w:eastAsia="宋体" w:cs="宋体"/>
          <w:color w:val="auto"/>
          <w:spacing w:val="-4"/>
          <w:position w:val="14"/>
          <w:sz w:val="22"/>
          <w:szCs w:val="22"/>
          <w:highlight w:val="none"/>
          <w:lang w:bidi="ar"/>
        </w:rPr>
        <w:t>，项目实施的第三方软件及专利费用、技术资料费用、人工费、仪器仪具使用费、备件配件及辅材费、办公费、住宿费、交通费、税金、社保费、保险、利润、项目验收费等其他项目一切相关费用</w:t>
      </w:r>
      <w:r>
        <w:rPr>
          <w:rFonts w:ascii="宋体" w:hAnsi="宋体" w:cs="宋体"/>
          <w:color w:val="auto"/>
          <w:spacing w:val="-4"/>
          <w:position w:val="14"/>
          <w:sz w:val="22"/>
          <w:szCs w:val="22"/>
          <w:highlight w:val="none"/>
        </w:rPr>
        <w:t>等</w:t>
      </w:r>
      <w:r>
        <w:rPr>
          <w:rFonts w:hint="eastAsia" w:ascii="宋体" w:hAnsi="宋体" w:cs="宋体"/>
          <w:color w:val="auto"/>
          <w:spacing w:val="-4"/>
          <w:position w:val="14"/>
          <w:sz w:val="22"/>
          <w:szCs w:val="22"/>
          <w:highlight w:val="none"/>
        </w:rPr>
        <w:t>，以及合同明示和暗示的所有风险、</w:t>
      </w:r>
      <w:r>
        <w:rPr>
          <w:rFonts w:ascii="宋体" w:hAnsi="宋体" w:cs="宋体"/>
          <w:color w:val="auto"/>
          <w:spacing w:val="-4"/>
          <w:position w:val="14"/>
          <w:sz w:val="22"/>
          <w:szCs w:val="22"/>
          <w:highlight w:val="none"/>
        </w:rPr>
        <w:t>责任和业务等所有费用</w:t>
      </w:r>
      <w:r>
        <w:rPr>
          <w:rFonts w:hint="eastAsia" w:ascii="宋体" w:hAnsi="宋体" w:cs="宋体"/>
          <w:color w:val="auto"/>
          <w:spacing w:val="-4"/>
          <w:position w:val="14"/>
          <w:sz w:val="22"/>
          <w:szCs w:val="22"/>
          <w:highlight w:val="none"/>
        </w:rPr>
        <w:t>,总价在合同执行期间不作调整。</w:t>
      </w:r>
    </w:p>
    <w:p w14:paraId="5ACAA459">
      <w:pPr>
        <w:widowControl/>
        <w:spacing w:line="440" w:lineRule="exact"/>
        <w:ind w:firstLine="424" w:firstLineChars="200"/>
        <w:jc w:val="left"/>
        <w:rPr>
          <w:rFonts w:hint="eastAsia" w:ascii="宋体" w:hAnsi="宋体" w:cs="宋体"/>
          <w:color w:val="auto"/>
          <w:spacing w:val="-4"/>
          <w:position w:val="14"/>
          <w:sz w:val="22"/>
          <w:szCs w:val="22"/>
          <w:highlight w:val="none"/>
          <w:lang w:bidi="ar"/>
        </w:rPr>
      </w:pPr>
      <w:r>
        <w:rPr>
          <w:rFonts w:hint="eastAsia" w:ascii="宋体" w:hAnsi="宋体" w:cs="宋体"/>
          <w:color w:val="auto"/>
          <w:spacing w:val="-4"/>
          <w:position w:val="14"/>
          <w:sz w:val="22"/>
          <w:szCs w:val="22"/>
          <w:highlight w:val="none"/>
        </w:rPr>
        <w:t>（2）投标总价</w:t>
      </w:r>
      <w:r>
        <w:rPr>
          <w:rFonts w:ascii="宋体" w:hAnsi="宋体" w:cs="宋体"/>
          <w:color w:val="auto"/>
          <w:spacing w:val="-4"/>
          <w:position w:val="14"/>
          <w:sz w:val="22"/>
          <w:szCs w:val="22"/>
          <w:highlight w:val="none"/>
        </w:rPr>
        <w:t>不得超过限价</w:t>
      </w:r>
      <w:r>
        <w:rPr>
          <w:rFonts w:hint="eastAsia" w:ascii="宋体" w:hAnsi="宋体" w:cs="宋体"/>
          <w:color w:val="auto"/>
          <w:spacing w:val="-4"/>
          <w:position w:val="14"/>
          <w:sz w:val="22"/>
          <w:szCs w:val="22"/>
          <w:highlight w:val="none"/>
        </w:rPr>
        <w:t>，</w:t>
      </w:r>
      <w:r>
        <w:rPr>
          <w:rFonts w:ascii="宋体" w:hAnsi="宋体" w:cs="宋体"/>
          <w:color w:val="auto"/>
          <w:spacing w:val="-4"/>
          <w:position w:val="14"/>
          <w:sz w:val="22"/>
          <w:szCs w:val="22"/>
          <w:highlight w:val="none"/>
        </w:rPr>
        <w:t xml:space="preserve">否则，按否决投标处理。  </w:t>
      </w:r>
    </w:p>
    <w:p w14:paraId="494773FF">
      <w:pPr>
        <w:widowControl/>
        <w:spacing w:line="440" w:lineRule="exact"/>
        <w:ind w:firstLine="424" w:firstLineChars="200"/>
        <w:jc w:val="left"/>
        <w:rPr>
          <w:rFonts w:hint="eastAsia" w:ascii="宋体" w:hAnsi="宋体" w:cs="宋体"/>
          <w:color w:val="auto"/>
          <w:spacing w:val="-4"/>
          <w:position w:val="14"/>
          <w:sz w:val="22"/>
          <w:szCs w:val="22"/>
          <w:highlight w:val="none"/>
        </w:rPr>
      </w:pPr>
      <w:r>
        <w:rPr>
          <w:rFonts w:hint="eastAsia" w:ascii="宋体" w:hAnsi="宋体" w:cs="宋体"/>
          <w:color w:val="auto"/>
          <w:spacing w:val="-4"/>
          <w:position w:val="14"/>
          <w:sz w:val="22"/>
          <w:szCs w:val="22"/>
          <w:highlight w:val="none"/>
        </w:rPr>
        <w:t>（3）如各项目的含税报价合计不等于投标总价的，以各项目的含税报价为准，修订投标总价</w:t>
      </w:r>
      <w:r>
        <w:rPr>
          <w:rFonts w:ascii="宋体" w:hAnsi="宋体" w:cs="宋体"/>
          <w:color w:val="auto"/>
          <w:spacing w:val="-4"/>
          <w:position w:val="14"/>
          <w:sz w:val="22"/>
          <w:szCs w:val="22"/>
          <w:highlight w:val="none"/>
        </w:rPr>
        <w:t xml:space="preserve">。  </w:t>
      </w:r>
    </w:p>
    <w:p w14:paraId="38B3B440">
      <w:pPr>
        <w:tabs>
          <w:tab w:val="left" w:pos="8364"/>
        </w:tabs>
        <w:snapToGrid w:val="0"/>
        <w:spacing w:line="440" w:lineRule="exact"/>
        <w:ind w:right="-58" w:firstLine="419" w:firstLineChars="198"/>
        <w:rPr>
          <w:rFonts w:hint="eastAsia" w:ascii="宋体" w:hAnsi="宋体"/>
          <w:color w:val="auto"/>
          <w:szCs w:val="21"/>
          <w:highlight w:val="none"/>
        </w:rPr>
      </w:pPr>
      <w:r>
        <w:rPr>
          <w:rFonts w:hint="eastAsia" w:ascii="宋体" w:hAnsi="宋体" w:cs="宋体"/>
          <w:color w:val="auto"/>
          <w:spacing w:val="-4"/>
          <w:position w:val="14"/>
          <w:sz w:val="22"/>
          <w:szCs w:val="22"/>
          <w:highlight w:val="none"/>
        </w:rPr>
        <w:t>（4）投标文件中的大写金额与小写金额不一致的，以大写金额为准</w:t>
      </w:r>
      <w:r>
        <w:rPr>
          <w:rFonts w:ascii="宋体" w:hAnsi="宋体" w:cs="宋体"/>
          <w:color w:val="auto"/>
          <w:spacing w:val="-4"/>
          <w:position w:val="14"/>
          <w:sz w:val="22"/>
          <w:szCs w:val="22"/>
          <w:highlight w:val="none"/>
        </w:rPr>
        <w:t>。</w:t>
      </w:r>
    </w:p>
    <w:p w14:paraId="2BAF9EA6">
      <w:pPr>
        <w:tabs>
          <w:tab w:val="left" w:pos="8364"/>
        </w:tabs>
        <w:snapToGrid w:val="0"/>
        <w:spacing w:line="360" w:lineRule="exact"/>
        <w:ind w:right="-58" w:firstLine="2730" w:firstLineChars="1300"/>
        <w:rPr>
          <w:rFonts w:hint="eastAsia"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u w:val="single"/>
        </w:rPr>
        <w:t xml:space="preserve">                                   </w:t>
      </w:r>
      <w:r>
        <w:rPr>
          <w:rFonts w:hint="eastAsia" w:ascii="宋体" w:hAnsi="宋体"/>
          <w:color w:val="auto"/>
          <w:szCs w:val="21"/>
          <w:highlight w:val="none"/>
        </w:rPr>
        <w:t>（单位公章）</w:t>
      </w:r>
    </w:p>
    <w:p w14:paraId="46B1C96C">
      <w:pPr>
        <w:tabs>
          <w:tab w:val="left" w:pos="8364"/>
        </w:tabs>
        <w:snapToGrid w:val="0"/>
        <w:spacing w:line="360" w:lineRule="exact"/>
        <w:ind w:right="-58" w:firstLine="2730" w:firstLineChars="1300"/>
        <w:rPr>
          <w:rFonts w:hint="eastAsia" w:ascii="宋体" w:hAnsi="宋体"/>
          <w:color w:val="auto"/>
          <w:szCs w:val="21"/>
          <w:highlight w:val="none"/>
        </w:rPr>
      </w:pPr>
      <w:r>
        <w:rPr>
          <w:rFonts w:hint="eastAsia" w:ascii="宋体" w:hAnsi="宋体"/>
          <w:color w:val="auto"/>
          <w:szCs w:val="21"/>
          <w:highlight w:val="none"/>
        </w:rPr>
        <w:t>法定代表人或其授权代表：</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（签字或签章）</w:t>
      </w:r>
    </w:p>
    <w:p w14:paraId="47087030">
      <w:pPr>
        <w:tabs>
          <w:tab w:val="left" w:pos="8364"/>
        </w:tabs>
        <w:snapToGrid w:val="0"/>
        <w:spacing w:line="360" w:lineRule="exact"/>
        <w:ind w:right="-58" w:firstLine="6090" w:firstLineChars="2900"/>
        <w:rPr>
          <w:rFonts w:hint="eastAsia"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5AAD8DD3">
      <w:pPr>
        <w:widowControl/>
        <w:jc w:val="left"/>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0BA58194">
      <w:pPr>
        <w:widowControl/>
        <w:spacing w:line="360" w:lineRule="auto"/>
        <w:jc w:val="left"/>
        <w:textAlignment w:val="center"/>
        <w:rPr>
          <w:color w:val="auto"/>
          <w:highlight w:val="none"/>
        </w:rPr>
      </w:pPr>
      <w:r>
        <w:rPr>
          <w:rFonts w:hint="eastAsia" w:ascii="宋体" w:hAnsi="宋体"/>
          <w:b/>
          <w:color w:val="auto"/>
          <w:sz w:val="28"/>
          <w:szCs w:val="28"/>
          <w:highlight w:val="none"/>
        </w:rPr>
        <w:t>6.2 报价明细表</w:t>
      </w:r>
    </w:p>
    <w:tbl>
      <w:tblPr>
        <w:tblStyle w:val="21"/>
        <w:tblW w:w="4997" w:type="pct"/>
        <w:tblInd w:w="0" w:type="dxa"/>
        <w:tblLayout w:type="autofit"/>
        <w:tblCellMar>
          <w:top w:w="0" w:type="dxa"/>
          <w:left w:w="108" w:type="dxa"/>
          <w:bottom w:w="0" w:type="dxa"/>
          <w:right w:w="108" w:type="dxa"/>
        </w:tblCellMar>
      </w:tblPr>
      <w:tblGrid>
        <w:gridCol w:w="428"/>
        <w:gridCol w:w="570"/>
        <w:gridCol w:w="1023"/>
        <w:gridCol w:w="3985"/>
        <w:gridCol w:w="428"/>
        <w:gridCol w:w="432"/>
        <w:gridCol w:w="849"/>
        <w:gridCol w:w="432"/>
        <w:gridCol w:w="850"/>
        <w:gridCol w:w="850"/>
      </w:tblGrid>
      <w:tr w14:paraId="0A218E96">
        <w:tblPrEx>
          <w:tblCellMar>
            <w:top w:w="0" w:type="dxa"/>
            <w:left w:w="108" w:type="dxa"/>
            <w:bottom w:w="0" w:type="dxa"/>
            <w:right w:w="108" w:type="dxa"/>
          </w:tblCellMar>
        </w:tblPrEx>
        <w:trPr>
          <w:trHeight w:val="835" w:hRule="atLeast"/>
        </w:trPr>
        <w:tc>
          <w:tcPr>
            <w:tcW w:w="204" w:type="pct"/>
            <w:tcBorders>
              <w:top w:val="single" w:color="000000" w:sz="4" w:space="0"/>
              <w:left w:val="single" w:color="000000" w:sz="4" w:space="0"/>
              <w:bottom w:val="single" w:color="000000" w:sz="4" w:space="0"/>
              <w:right w:val="single" w:color="000000" w:sz="4" w:space="0"/>
            </w:tcBorders>
            <w:noWrap w:val="0"/>
            <w:vAlign w:val="center"/>
          </w:tcPr>
          <w:p w14:paraId="6DC6CE72">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838" w:type="pct"/>
            <w:gridSpan w:val="2"/>
            <w:tcBorders>
              <w:top w:val="single" w:color="000000" w:sz="4" w:space="0"/>
              <w:left w:val="single" w:color="000000" w:sz="4" w:space="0"/>
              <w:bottom w:val="single" w:color="000000" w:sz="4" w:space="0"/>
              <w:right w:val="single" w:color="000000" w:sz="4" w:space="0"/>
            </w:tcBorders>
            <w:noWrap w:val="0"/>
            <w:vAlign w:val="center"/>
          </w:tcPr>
          <w:p w14:paraId="4A552CE2">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项目</w:t>
            </w:r>
          </w:p>
        </w:tc>
        <w:tc>
          <w:tcPr>
            <w:tcW w:w="2038" w:type="pct"/>
            <w:tcBorders>
              <w:top w:val="single" w:color="000000" w:sz="4" w:space="0"/>
              <w:left w:val="single" w:color="000000" w:sz="4" w:space="0"/>
              <w:bottom w:val="single" w:color="000000" w:sz="4" w:space="0"/>
              <w:right w:val="single" w:color="000000" w:sz="4" w:space="0"/>
            </w:tcBorders>
            <w:noWrap w:val="0"/>
            <w:vAlign w:val="center"/>
          </w:tcPr>
          <w:p w14:paraId="2852205F">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系统功能</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3B5D52C8">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单位</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2E65F">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0"/>
                <w:szCs w:val="21"/>
                <w:highlight w:val="none"/>
                <w:lang w:bidi="ar"/>
              </w:rPr>
              <w:t>数量</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B83C372">
            <w:pPr>
              <w:widowControl/>
              <w:jc w:val="center"/>
              <w:textAlignment w:val="center"/>
              <w:rPr>
                <w:rFonts w:hint="default" w:ascii="宋体" w:hAnsi="宋体" w:eastAsia="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不含税单价（元）</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74B84E39">
            <w:pPr>
              <w:widowControl/>
              <w:jc w:val="center"/>
              <w:textAlignment w:val="center"/>
              <w:rPr>
                <w:rFonts w:hint="default" w:ascii="宋体" w:hAnsi="宋体" w:eastAsia="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税率</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6D25CA6">
            <w:pPr>
              <w:widowControl/>
              <w:jc w:val="center"/>
              <w:textAlignment w:val="center"/>
              <w:rPr>
                <w:rFonts w:hint="default" w:ascii="宋体" w:hAnsi="宋体" w:eastAsia="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含税单价（元）</w:t>
            </w:r>
          </w:p>
        </w:tc>
        <w:tc>
          <w:tcPr>
            <w:tcW w:w="408" w:type="pct"/>
            <w:tcBorders>
              <w:top w:val="single" w:color="000000" w:sz="4" w:space="0"/>
              <w:left w:val="single" w:color="000000" w:sz="4" w:space="0"/>
              <w:bottom w:val="single" w:color="000000" w:sz="4" w:space="0"/>
              <w:right w:val="single" w:color="000000" w:sz="4" w:space="0"/>
            </w:tcBorders>
            <w:noWrap w:val="0"/>
            <w:vAlign w:val="center"/>
          </w:tcPr>
          <w:p w14:paraId="219E1F11">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kern w:val="0"/>
                <w:szCs w:val="21"/>
                <w:highlight w:val="none"/>
                <w:lang w:val="en-US" w:eastAsia="zh-CN" w:bidi="ar"/>
              </w:rPr>
              <w:t>含税总价（元）</w:t>
            </w:r>
          </w:p>
        </w:tc>
      </w:tr>
      <w:tr w14:paraId="62C3143C">
        <w:tblPrEx>
          <w:tblCellMar>
            <w:top w:w="0" w:type="dxa"/>
            <w:left w:w="108" w:type="dxa"/>
            <w:bottom w:w="0" w:type="dxa"/>
            <w:right w:w="108" w:type="dxa"/>
          </w:tblCellMar>
        </w:tblPrEx>
        <w:trPr>
          <w:trHeight w:val="402" w:hRule="atLeast"/>
        </w:trPr>
        <w:tc>
          <w:tcPr>
            <w:tcW w:w="204" w:type="pct"/>
            <w:tcBorders>
              <w:top w:val="single" w:color="auto" w:sz="4" w:space="0"/>
              <w:left w:val="single" w:color="auto" w:sz="4" w:space="0"/>
              <w:bottom w:val="single" w:color="auto" w:sz="4" w:space="0"/>
              <w:right w:val="single" w:color="auto" w:sz="4" w:space="0"/>
            </w:tcBorders>
            <w:noWrap w:val="0"/>
            <w:vAlign w:val="center"/>
          </w:tcPr>
          <w:p w14:paraId="313EC571">
            <w:pPr>
              <w:jc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val="en-US" w:eastAsia="zh-CN" w:bidi="ar"/>
              </w:rPr>
              <w:t>1</w:t>
            </w:r>
          </w:p>
        </w:tc>
        <w:tc>
          <w:tcPr>
            <w:tcW w:w="304" w:type="pct"/>
            <w:vMerge w:val="restart"/>
            <w:tcBorders>
              <w:top w:val="single" w:color="auto" w:sz="4" w:space="0"/>
              <w:left w:val="single" w:color="auto" w:sz="4" w:space="0"/>
              <w:right w:val="single" w:color="auto" w:sz="4" w:space="0"/>
            </w:tcBorders>
            <w:noWrap w:val="0"/>
            <w:vAlign w:val="center"/>
          </w:tcPr>
          <w:p w14:paraId="0AF732EF">
            <w:pPr>
              <w:widowControl/>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软</w:t>
            </w:r>
          </w:p>
          <w:p w14:paraId="39506BB5">
            <w:pPr>
              <w:widowControl/>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件</w:t>
            </w:r>
          </w:p>
          <w:p w14:paraId="7212F4E7">
            <w:pPr>
              <w:widowControl/>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开</w:t>
            </w:r>
          </w:p>
          <w:p w14:paraId="3AA2D158">
            <w:pPr>
              <w:widowControl/>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发</w:t>
            </w:r>
          </w:p>
          <w:p w14:paraId="3C90BD05">
            <w:pPr>
              <w:widowControl/>
              <w:jc w:val="center"/>
              <w:textAlignment w:val="center"/>
              <w:rPr>
                <w:rFonts w:hint="eastAsia" w:ascii="宋体" w:hAnsi="宋体" w:cs="宋体"/>
                <w:b/>
                <w:bCs/>
                <w:color w:val="auto"/>
                <w:kern w:val="0"/>
                <w:szCs w:val="21"/>
                <w:highlight w:val="none"/>
                <w:lang w:eastAsia="zh-CN" w:bidi="ar"/>
              </w:rPr>
            </w:pPr>
            <w:r>
              <w:rPr>
                <w:rFonts w:hint="eastAsia" w:ascii="宋体" w:hAnsi="宋体" w:cs="宋体"/>
                <w:b/>
                <w:bCs/>
                <w:color w:val="auto"/>
                <w:kern w:val="0"/>
                <w:szCs w:val="21"/>
                <w:highlight w:val="none"/>
                <w:lang w:eastAsia="zh-CN" w:bidi="ar"/>
              </w:rPr>
              <w:t>、</w:t>
            </w:r>
          </w:p>
          <w:p w14:paraId="13B6CD62">
            <w:pPr>
              <w:widowControl/>
              <w:jc w:val="center"/>
              <w:textAlignment w:val="center"/>
              <w:rPr>
                <w:rFonts w:hint="eastAsia" w:ascii="宋体" w:hAnsi="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采</w:t>
            </w:r>
          </w:p>
          <w:p w14:paraId="35CB2B2F">
            <w:pPr>
              <w:widowControl/>
              <w:jc w:val="center"/>
              <w:textAlignment w:val="center"/>
              <w:rPr>
                <w:rFonts w:hint="eastAsia" w:ascii="宋体" w:hAnsi="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购</w:t>
            </w:r>
          </w:p>
          <w:p w14:paraId="16C61DBF">
            <w:pPr>
              <w:widowControl/>
              <w:jc w:val="center"/>
              <w:textAlignment w:val="center"/>
              <w:rPr>
                <w:rFonts w:hint="eastAsia" w:ascii="宋体" w:hAnsi="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w:t>
            </w:r>
          </w:p>
          <w:p w14:paraId="65CDF9F3">
            <w:pPr>
              <w:widowControl/>
              <w:jc w:val="center"/>
              <w:textAlignment w:val="center"/>
              <w:rPr>
                <w:rFonts w:hint="eastAsia" w:ascii="宋体" w:hAnsi="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测</w:t>
            </w:r>
          </w:p>
          <w:p w14:paraId="1C3DC2C9">
            <w:pPr>
              <w:widowControl/>
              <w:jc w:val="center"/>
              <w:textAlignment w:val="center"/>
              <w:rPr>
                <w:rFonts w:hint="default" w:ascii="宋体" w:hAnsi="宋体" w:cs="宋体"/>
                <w:b/>
                <w:bCs/>
                <w:color w:val="auto"/>
                <w:kern w:val="0"/>
                <w:szCs w:val="21"/>
                <w:highlight w:val="none"/>
                <w:lang w:val="en-US" w:bidi="ar"/>
              </w:rPr>
            </w:pPr>
            <w:r>
              <w:rPr>
                <w:rFonts w:hint="eastAsia" w:ascii="宋体" w:hAnsi="宋体" w:cs="宋体"/>
                <w:b/>
                <w:bCs/>
                <w:color w:val="auto"/>
                <w:kern w:val="0"/>
                <w:szCs w:val="21"/>
                <w:highlight w:val="none"/>
                <w:lang w:val="en-US" w:eastAsia="zh-CN" w:bidi="ar"/>
              </w:rPr>
              <w:t>评</w:t>
            </w:r>
          </w:p>
          <w:p w14:paraId="771DD2BC">
            <w:pPr>
              <w:jc w:val="center"/>
              <w:rPr>
                <w:rFonts w:hint="default" w:ascii="宋体" w:hAnsi="宋体" w:eastAsia="宋体" w:cs="宋体"/>
                <w:b/>
                <w:bCs/>
                <w:color w:val="auto"/>
                <w:szCs w:val="21"/>
                <w:highlight w:val="none"/>
                <w:lang w:val="en-US" w:eastAsia="zh-CN"/>
              </w:rPr>
            </w:pPr>
          </w:p>
        </w:tc>
        <w:tc>
          <w:tcPr>
            <w:tcW w:w="534" w:type="pct"/>
            <w:tcBorders>
              <w:top w:val="single" w:color="000000" w:sz="4" w:space="0"/>
              <w:left w:val="single" w:color="auto" w:sz="4" w:space="0"/>
              <w:bottom w:val="single" w:color="000000" w:sz="4" w:space="0"/>
              <w:right w:val="single" w:color="000000" w:sz="4" w:space="0"/>
            </w:tcBorders>
            <w:noWrap w:val="0"/>
            <w:vAlign w:val="center"/>
          </w:tcPr>
          <w:p w14:paraId="19E1DC0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地保综合管理系统</w:t>
            </w:r>
          </w:p>
        </w:tc>
        <w:tc>
          <w:tcPr>
            <w:tcW w:w="2038" w:type="pct"/>
            <w:tcBorders>
              <w:top w:val="single" w:color="000000" w:sz="4" w:space="0"/>
              <w:left w:val="single" w:color="000000" w:sz="4" w:space="0"/>
              <w:right w:val="single" w:color="000000" w:sz="4" w:space="0"/>
            </w:tcBorders>
            <w:noWrap w:val="0"/>
            <w:vAlign w:val="center"/>
          </w:tcPr>
          <w:p w14:paraId="7D0DDC86">
            <w:pPr>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门户网站</w:t>
            </w:r>
            <w:r>
              <w:rPr>
                <w:rFonts w:hint="eastAsia" w:ascii="宋体" w:hAnsi="宋体" w:cs="宋体"/>
                <w:color w:val="auto"/>
                <w:kern w:val="0"/>
                <w:szCs w:val="21"/>
                <w:highlight w:val="none"/>
                <w:lang w:eastAsia="zh-CN" w:bidi="ar"/>
              </w:rPr>
              <w:t>建设（包括保护区信息、法律法规、办事指南、最新公告和网上办事功能）</w:t>
            </w:r>
            <w:r>
              <w:rPr>
                <w:rFonts w:hint="eastAsia" w:ascii="宋体" w:hAnsi="宋体" w:cs="宋体"/>
                <w:color w:val="auto"/>
                <w:kern w:val="0"/>
                <w:szCs w:val="21"/>
                <w:highlight w:val="none"/>
                <w:lang w:val="en-US" w:eastAsia="zh-CN" w:bidi="ar"/>
              </w:rPr>
              <w:t>和综合管理系统电脑端和移动端APP的建设，包含综合信息管理、项目管理、巡查管理、</w:t>
            </w:r>
            <w:r>
              <w:rPr>
                <w:rFonts w:hint="eastAsia" w:ascii="宋体" w:hAnsi="宋体" w:cs="宋体"/>
                <w:color w:val="auto"/>
                <w:kern w:val="0"/>
                <w:szCs w:val="21"/>
                <w:highlight w:val="none"/>
                <w:lang w:bidi="ar"/>
              </w:rPr>
              <w:t>GIS地图服务</w:t>
            </w:r>
            <w:r>
              <w:rPr>
                <w:rFonts w:hint="eastAsia" w:ascii="宋体" w:hAnsi="宋体" w:cs="宋体"/>
                <w:color w:val="auto"/>
                <w:kern w:val="0"/>
                <w:szCs w:val="21"/>
                <w:highlight w:val="none"/>
                <w:lang w:eastAsia="zh-CN" w:bidi="ar"/>
              </w:rPr>
              <w:t>、监测管理、风险识别与隐患排查等模块的开发建设、</w:t>
            </w:r>
            <w:r>
              <w:rPr>
                <w:rFonts w:hint="eastAsia" w:ascii="宋体" w:hAnsi="宋体" w:cs="宋体"/>
                <w:color w:val="auto"/>
                <w:kern w:val="0"/>
                <w:szCs w:val="21"/>
                <w:highlight w:val="none"/>
                <w:lang w:val="en-US" w:eastAsia="zh-CN" w:bidi="ar"/>
              </w:rPr>
              <w:t>与其他系统平台集成、系统拓展扩容、系统服务、系统培训、质保期维护、等保测评等</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528135C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23D7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1</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9332E8C">
            <w:pPr>
              <w:widowControl/>
              <w:jc w:val="center"/>
              <w:textAlignment w:val="center"/>
              <w:rPr>
                <w:rFonts w:hint="eastAsia" w:ascii="宋体" w:hAnsi="宋体" w:cs="宋体"/>
                <w:color w:val="auto"/>
                <w:kern w:val="0"/>
                <w:szCs w:val="21"/>
                <w:highlight w:val="none"/>
                <w:lang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7BFAC73E">
            <w:pPr>
              <w:widowControl/>
              <w:jc w:val="center"/>
              <w:textAlignment w:val="center"/>
              <w:rPr>
                <w:rFonts w:hint="eastAsia" w:ascii="宋体" w:hAnsi="宋体" w:cs="宋体"/>
                <w:color w:val="auto"/>
                <w:kern w:val="0"/>
                <w:szCs w:val="21"/>
                <w:highlight w:val="none"/>
                <w:lang w:bidi="ar"/>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E6794D9">
            <w:pPr>
              <w:widowControl/>
              <w:jc w:val="center"/>
              <w:textAlignment w:val="center"/>
              <w:rPr>
                <w:rFonts w:hint="eastAsia" w:ascii="宋体" w:hAnsi="宋体" w:cs="宋体"/>
                <w:color w:val="auto"/>
                <w:kern w:val="0"/>
                <w:szCs w:val="21"/>
                <w:highlight w:val="none"/>
                <w:lang w:bidi="ar"/>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14:paraId="0D1C909B">
            <w:pPr>
              <w:widowControl/>
              <w:jc w:val="center"/>
              <w:textAlignment w:val="center"/>
              <w:rPr>
                <w:rFonts w:hint="eastAsia" w:ascii="宋体" w:hAnsi="宋体" w:cs="宋体"/>
                <w:color w:val="auto"/>
                <w:szCs w:val="21"/>
                <w:highlight w:val="none"/>
              </w:rPr>
            </w:pPr>
          </w:p>
        </w:tc>
      </w:tr>
      <w:tr w14:paraId="7DEF6FE2">
        <w:tblPrEx>
          <w:tblCellMar>
            <w:top w:w="0" w:type="dxa"/>
            <w:left w:w="108" w:type="dxa"/>
            <w:bottom w:w="0" w:type="dxa"/>
            <w:right w:w="108" w:type="dxa"/>
          </w:tblCellMar>
        </w:tblPrEx>
        <w:trPr>
          <w:trHeight w:val="771" w:hRule="atLeast"/>
        </w:trPr>
        <w:tc>
          <w:tcPr>
            <w:tcW w:w="204" w:type="pct"/>
            <w:tcBorders>
              <w:top w:val="single" w:color="auto" w:sz="4" w:space="0"/>
              <w:left w:val="single" w:color="auto" w:sz="4" w:space="0"/>
              <w:bottom w:val="single" w:color="auto" w:sz="4" w:space="0"/>
              <w:right w:val="single" w:color="auto" w:sz="4" w:space="0"/>
            </w:tcBorders>
            <w:noWrap w:val="0"/>
            <w:vAlign w:val="center"/>
          </w:tcPr>
          <w:p w14:paraId="11266239">
            <w:pPr>
              <w:widowControl/>
              <w:jc w:val="center"/>
              <w:textAlignment w:val="center"/>
              <w:rPr>
                <w:rFonts w:hint="eastAsia" w:ascii="宋体" w:hAnsi="宋体" w:eastAsia="宋体" w:cs="宋体"/>
                <w:b/>
                <w:bCs/>
                <w:color w:val="auto"/>
                <w:szCs w:val="21"/>
                <w:highlight w:val="none"/>
                <w:lang w:eastAsia="zh-CN"/>
              </w:rPr>
            </w:pPr>
            <w:r>
              <w:rPr>
                <w:rFonts w:hint="eastAsia" w:ascii="宋体" w:hAnsi="宋体" w:cs="宋体"/>
                <w:b/>
                <w:bCs/>
                <w:color w:val="auto"/>
                <w:kern w:val="0"/>
                <w:szCs w:val="21"/>
                <w:highlight w:val="none"/>
                <w:lang w:val="en-US" w:eastAsia="zh-CN" w:bidi="ar"/>
              </w:rPr>
              <w:t>2</w:t>
            </w:r>
          </w:p>
        </w:tc>
        <w:tc>
          <w:tcPr>
            <w:tcW w:w="304" w:type="pct"/>
            <w:vMerge w:val="continue"/>
            <w:tcBorders>
              <w:left w:val="single" w:color="auto" w:sz="4" w:space="0"/>
              <w:right w:val="single" w:color="auto" w:sz="4" w:space="0"/>
            </w:tcBorders>
            <w:noWrap w:val="0"/>
            <w:vAlign w:val="center"/>
          </w:tcPr>
          <w:p w14:paraId="7ADE37D8">
            <w:pPr>
              <w:jc w:val="center"/>
              <w:rPr>
                <w:rFonts w:hint="eastAsia" w:ascii="宋体" w:hAnsi="宋体" w:cs="宋体"/>
                <w:b/>
                <w:bCs/>
                <w:color w:val="auto"/>
                <w:szCs w:val="21"/>
                <w:highlight w:val="none"/>
              </w:rPr>
            </w:pPr>
          </w:p>
        </w:tc>
        <w:tc>
          <w:tcPr>
            <w:tcW w:w="534" w:type="pct"/>
            <w:tcBorders>
              <w:top w:val="single" w:color="000000" w:sz="4" w:space="0"/>
              <w:left w:val="single" w:color="auto" w:sz="4" w:space="0"/>
              <w:bottom w:val="single" w:color="000000" w:sz="4" w:space="0"/>
              <w:right w:val="single" w:color="000000" w:sz="4" w:space="0"/>
            </w:tcBorders>
            <w:noWrap w:val="0"/>
            <w:vAlign w:val="center"/>
          </w:tcPr>
          <w:p w14:paraId="35C36E6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无人机巡查管理平台</w:t>
            </w:r>
          </w:p>
        </w:tc>
        <w:tc>
          <w:tcPr>
            <w:tcW w:w="2038" w:type="pct"/>
            <w:tcBorders>
              <w:top w:val="single" w:color="000000" w:sz="4" w:space="0"/>
              <w:left w:val="single" w:color="000000" w:sz="4" w:space="0"/>
              <w:bottom w:val="single" w:color="000000" w:sz="4" w:space="0"/>
              <w:right w:val="single" w:color="000000" w:sz="4" w:space="0"/>
            </w:tcBorders>
            <w:noWrap w:val="0"/>
            <w:vAlign w:val="center"/>
          </w:tcPr>
          <w:p w14:paraId="0ACEE7DA">
            <w:pPr>
              <w:widowControl/>
              <w:jc w:val="left"/>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包含无人机平台管理、无人机巡查监控、巡查任务管理、设备管理、风险识别和风险管理等模块建设开发、无人机智能AI诊断复核、系统服务、人员培训、航线规划、空域申请质保期维护、等保测评等</w:t>
            </w:r>
          </w:p>
        </w:tc>
        <w:tc>
          <w:tcPr>
            <w:tcW w:w="232" w:type="pct"/>
            <w:tcBorders>
              <w:top w:val="single" w:color="000000" w:sz="4" w:space="0"/>
              <w:left w:val="single" w:color="000000" w:sz="4" w:space="0"/>
              <w:bottom w:val="single" w:color="000000" w:sz="4" w:space="0"/>
              <w:right w:val="single" w:color="000000" w:sz="4" w:space="0"/>
            </w:tcBorders>
            <w:noWrap/>
            <w:vAlign w:val="center"/>
          </w:tcPr>
          <w:p w14:paraId="0921193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82D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1</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DF402D7">
            <w:pPr>
              <w:widowControl/>
              <w:jc w:val="center"/>
              <w:textAlignment w:val="center"/>
              <w:rPr>
                <w:rFonts w:hint="eastAsia" w:ascii="宋体" w:hAnsi="宋体" w:cs="宋体"/>
                <w:color w:val="auto"/>
                <w:kern w:val="0"/>
                <w:szCs w:val="21"/>
                <w:highlight w:val="none"/>
                <w:lang w:bidi="ar"/>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14:paraId="6AB86731">
            <w:pPr>
              <w:widowControl/>
              <w:jc w:val="center"/>
              <w:textAlignment w:val="center"/>
              <w:rPr>
                <w:rFonts w:hint="eastAsia" w:ascii="宋体" w:hAnsi="宋体" w:cs="宋体"/>
                <w:color w:val="auto"/>
                <w:kern w:val="0"/>
                <w:szCs w:val="21"/>
                <w:highlight w:val="none"/>
                <w:lang w:bidi="ar"/>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D58AC47">
            <w:pPr>
              <w:widowControl/>
              <w:jc w:val="center"/>
              <w:textAlignment w:val="center"/>
              <w:rPr>
                <w:rFonts w:hint="eastAsia" w:ascii="宋体" w:hAnsi="宋体" w:cs="宋体"/>
                <w:color w:val="auto"/>
                <w:kern w:val="0"/>
                <w:szCs w:val="21"/>
                <w:highlight w:val="none"/>
                <w:lang w:bidi="ar"/>
              </w:rPr>
            </w:pP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05653136">
            <w:pPr>
              <w:widowControl/>
              <w:jc w:val="center"/>
              <w:textAlignment w:val="center"/>
              <w:rPr>
                <w:rFonts w:hint="eastAsia" w:ascii="宋体" w:hAnsi="宋体" w:cs="宋体"/>
                <w:color w:val="auto"/>
                <w:szCs w:val="21"/>
                <w:highlight w:val="none"/>
              </w:rPr>
            </w:pPr>
          </w:p>
        </w:tc>
      </w:tr>
      <w:tr w14:paraId="131C8E9F">
        <w:tblPrEx>
          <w:tblCellMar>
            <w:top w:w="0" w:type="dxa"/>
            <w:left w:w="108" w:type="dxa"/>
            <w:bottom w:w="0" w:type="dxa"/>
            <w:right w:w="108" w:type="dxa"/>
          </w:tblCellMar>
        </w:tblPrEx>
        <w:trPr>
          <w:trHeight w:val="771" w:hRule="atLeast"/>
        </w:trPr>
        <w:tc>
          <w:tcPr>
            <w:tcW w:w="204" w:type="pct"/>
            <w:tcBorders>
              <w:top w:val="single" w:color="auto" w:sz="4" w:space="0"/>
              <w:left w:val="single" w:color="auto" w:sz="4" w:space="0"/>
              <w:bottom w:val="single" w:color="auto" w:sz="4" w:space="0"/>
              <w:right w:val="single" w:color="auto" w:sz="4" w:space="0"/>
            </w:tcBorders>
            <w:noWrap w:val="0"/>
            <w:vAlign w:val="center"/>
          </w:tcPr>
          <w:p w14:paraId="663B8A01">
            <w:pPr>
              <w:widowControl/>
              <w:jc w:val="center"/>
              <w:textAlignment w:val="center"/>
              <w:rPr>
                <w:rFonts w:hint="default" w:ascii="宋体" w:hAnsi="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3</w:t>
            </w:r>
          </w:p>
        </w:tc>
        <w:tc>
          <w:tcPr>
            <w:tcW w:w="304" w:type="pct"/>
            <w:vMerge w:val="continue"/>
            <w:tcBorders>
              <w:left w:val="single" w:color="auto" w:sz="4" w:space="0"/>
              <w:right w:val="single" w:color="auto" w:sz="4" w:space="0"/>
            </w:tcBorders>
            <w:noWrap w:val="0"/>
            <w:vAlign w:val="center"/>
          </w:tcPr>
          <w:p w14:paraId="7C1E3B14">
            <w:pPr>
              <w:jc w:val="center"/>
              <w:rPr>
                <w:rFonts w:hint="eastAsia" w:ascii="宋体" w:hAnsi="宋体" w:eastAsia="宋体" w:cs="宋体"/>
                <w:b/>
                <w:bCs/>
                <w:color w:val="auto"/>
                <w:kern w:val="2"/>
                <w:sz w:val="21"/>
                <w:szCs w:val="21"/>
                <w:highlight w:val="none"/>
                <w:lang w:val="en-US" w:eastAsia="zh-CN" w:bidi="ar-SA"/>
              </w:rPr>
            </w:pPr>
          </w:p>
        </w:tc>
        <w:tc>
          <w:tcPr>
            <w:tcW w:w="534" w:type="pct"/>
            <w:tcBorders>
              <w:top w:val="single" w:color="000000" w:sz="4" w:space="0"/>
              <w:left w:val="single" w:color="auto" w:sz="4" w:space="0"/>
              <w:bottom w:val="single" w:color="000000" w:sz="4" w:space="0"/>
              <w:right w:val="single" w:color="000000" w:sz="4" w:space="0"/>
            </w:tcBorders>
            <w:noWrap w:val="0"/>
            <w:vAlign w:val="center"/>
          </w:tcPr>
          <w:p w14:paraId="63574FF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信创数据库</w:t>
            </w:r>
          </w:p>
        </w:tc>
        <w:tc>
          <w:tcPr>
            <w:tcW w:w="2038" w:type="pct"/>
            <w:tcBorders>
              <w:top w:val="single" w:color="000000" w:sz="4" w:space="0"/>
              <w:left w:val="single" w:color="000000" w:sz="4" w:space="0"/>
              <w:bottom w:val="single" w:color="000000" w:sz="4" w:space="0"/>
              <w:right w:val="single" w:color="000000" w:sz="4" w:space="0"/>
            </w:tcBorders>
            <w:noWrap w:val="0"/>
            <w:vAlign w:val="center"/>
          </w:tcPr>
          <w:p w14:paraId="2E649C7B">
            <w:pPr>
              <w:widowControl/>
              <w:jc w:val="left"/>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通过国家安全可靠测评的数据库：</w:t>
            </w:r>
          </w:p>
          <w:p w14:paraId="22D90BD8">
            <w:pPr>
              <w:widowControl/>
              <w:jc w:val="left"/>
              <w:textAlignment w:val="center"/>
              <w:rPr>
                <w:rFonts w:hint="default" w:ascii="宋体" w:hAnsi="宋体" w:cs="宋体"/>
                <w:color w:val="auto"/>
                <w:kern w:val="0"/>
                <w:szCs w:val="21"/>
                <w:highlight w:val="none"/>
                <w:lang w:val="en-US" w:eastAsia="zh-CN" w:bidi="ar"/>
              </w:rPr>
            </w:pPr>
            <w:r>
              <w:rPr>
                <w:rFonts w:hint="default" w:ascii="宋体" w:hAnsi="宋体" w:cs="宋体"/>
                <w:color w:val="auto"/>
                <w:kern w:val="0"/>
                <w:szCs w:val="21"/>
                <w:highlight w:val="none"/>
                <w:lang w:val="en-US" w:eastAsia="zh-CN" w:bidi="ar"/>
              </w:rPr>
              <w:t>满足投标人设计的硬件架构涉及的所有虚拟机服务器的数据库（如：达梦、羲和</w:t>
            </w:r>
            <w:r>
              <w:rPr>
                <w:rFonts w:hint="eastAsia" w:ascii="宋体" w:hAnsi="宋体" w:cs="宋体"/>
                <w:color w:val="auto"/>
                <w:kern w:val="0"/>
                <w:szCs w:val="21"/>
                <w:highlight w:val="none"/>
                <w:lang w:val="en-US" w:eastAsia="zh-CN" w:bidi="ar"/>
              </w:rPr>
              <w:t>、</w:t>
            </w:r>
            <w:r>
              <w:rPr>
                <w:rFonts w:hint="default" w:ascii="宋体" w:hAnsi="宋体" w:cs="宋体"/>
                <w:color w:val="auto"/>
                <w:kern w:val="0"/>
                <w:szCs w:val="21"/>
                <w:highlight w:val="none"/>
                <w:lang w:val="en-US" w:eastAsia="zh-CN" w:bidi="ar"/>
              </w:rPr>
              <w:t>Halo、GaussDB、人大金仓</w:t>
            </w:r>
            <w:r>
              <w:rPr>
                <w:rFonts w:hint="eastAsia" w:ascii="宋体" w:hAnsi="宋体" w:cs="宋体"/>
                <w:color w:val="auto"/>
                <w:kern w:val="0"/>
                <w:szCs w:val="21"/>
                <w:highlight w:val="none"/>
                <w:lang w:val="en-US" w:eastAsia="zh-CN" w:bidi="ar"/>
              </w:rPr>
              <w:t>、</w:t>
            </w:r>
            <w:r>
              <w:rPr>
                <w:rFonts w:hint="default" w:ascii="宋体" w:hAnsi="宋体" w:cs="宋体"/>
                <w:color w:val="auto"/>
                <w:kern w:val="0"/>
                <w:szCs w:val="21"/>
                <w:highlight w:val="none"/>
                <w:lang w:val="en-US" w:eastAsia="zh-CN" w:bidi="ar"/>
              </w:rPr>
              <w:t>阿里 OceanBase 等主流数据库）及中间件安装数量，3年或以上官方技术支持服务。</w:t>
            </w:r>
          </w:p>
        </w:tc>
        <w:tc>
          <w:tcPr>
            <w:tcW w:w="232" w:type="pct"/>
            <w:tcBorders>
              <w:top w:val="single" w:color="000000" w:sz="4" w:space="0"/>
              <w:left w:val="single" w:color="000000" w:sz="4" w:space="0"/>
              <w:bottom w:val="single" w:color="000000" w:sz="4" w:space="0"/>
              <w:right w:val="single" w:color="000000" w:sz="4" w:space="0"/>
            </w:tcBorders>
            <w:noWrap/>
            <w:vAlign w:val="center"/>
          </w:tcPr>
          <w:p w14:paraId="34BF148D">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D07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9C83FF0">
            <w:pPr>
              <w:widowControl/>
              <w:jc w:val="center"/>
              <w:textAlignment w:val="center"/>
              <w:rPr>
                <w:rFonts w:hint="eastAsia" w:ascii="宋体" w:hAnsi="宋体" w:cs="宋体"/>
                <w:color w:val="auto"/>
                <w:kern w:val="0"/>
                <w:szCs w:val="21"/>
                <w:highlight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14:paraId="52E7E922">
            <w:pPr>
              <w:widowControl/>
              <w:jc w:val="center"/>
              <w:textAlignment w:val="center"/>
              <w:rPr>
                <w:rFonts w:hint="eastAsia" w:ascii="宋体" w:hAnsi="宋体" w:cs="宋体"/>
                <w:color w:val="auto"/>
                <w:kern w:val="0"/>
                <w:szCs w:val="21"/>
                <w:highlight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015A0EB">
            <w:pPr>
              <w:widowControl/>
              <w:jc w:val="center"/>
              <w:textAlignment w:val="center"/>
              <w:rPr>
                <w:rFonts w:hint="eastAsia" w:ascii="宋体" w:hAnsi="宋体" w:cs="宋体"/>
                <w:color w:val="auto"/>
                <w:kern w:val="0"/>
                <w:szCs w:val="21"/>
                <w:highlight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39BA81B5">
            <w:pPr>
              <w:widowControl/>
              <w:jc w:val="center"/>
              <w:textAlignment w:val="center"/>
              <w:rPr>
                <w:rFonts w:hint="eastAsia" w:ascii="宋体" w:hAnsi="宋体" w:eastAsia="宋体" w:cs="宋体"/>
                <w:color w:val="auto"/>
                <w:kern w:val="0"/>
                <w:szCs w:val="21"/>
                <w:highlight w:val="none"/>
                <w:lang w:val="en-US" w:eastAsia="zh-CN" w:bidi="ar"/>
              </w:rPr>
            </w:pPr>
          </w:p>
        </w:tc>
      </w:tr>
      <w:tr w14:paraId="2285D8E9">
        <w:tblPrEx>
          <w:tblCellMar>
            <w:top w:w="0" w:type="dxa"/>
            <w:left w:w="108" w:type="dxa"/>
            <w:bottom w:w="0" w:type="dxa"/>
            <w:right w:w="108" w:type="dxa"/>
          </w:tblCellMar>
        </w:tblPrEx>
        <w:trPr>
          <w:trHeight w:val="771" w:hRule="atLeast"/>
        </w:trPr>
        <w:tc>
          <w:tcPr>
            <w:tcW w:w="204" w:type="pct"/>
            <w:tcBorders>
              <w:top w:val="single" w:color="auto" w:sz="4" w:space="0"/>
              <w:left w:val="single" w:color="auto" w:sz="4" w:space="0"/>
              <w:bottom w:val="single" w:color="auto" w:sz="4" w:space="0"/>
              <w:right w:val="single" w:color="auto" w:sz="4" w:space="0"/>
            </w:tcBorders>
            <w:noWrap w:val="0"/>
            <w:vAlign w:val="center"/>
          </w:tcPr>
          <w:p w14:paraId="37E11A0C">
            <w:pPr>
              <w:widowControl/>
              <w:jc w:val="center"/>
              <w:textAlignment w:val="center"/>
              <w:rPr>
                <w:rFonts w:hint="default" w:ascii="宋体" w:hAnsi="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4</w:t>
            </w:r>
          </w:p>
        </w:tc>
        <w:tc>
          <w:tcPr>
            <w:tcW w:w="304" w:type="pct"/>
            <w:vMerge w:val="continue"/>
            <w:tcBorders>
              <w:left w:val="single" w:color="auto" w:sz="4" w:space="0"/>
              <w:right w:val="single" w:color="auto" w:sz="4" w:space="0"/>
            </w:tcBorders>
            <w:noWrap w:val="0"/>
            <w:vAlign w:val="center"/>
          </w:tcPr>
          <w:p w14:paraId="32E4BDE1">
            <w:pPr>
              <w:jc w:val="center"/>
              <w:rPr>
                <w:rFonts w:hint="eastAsia" w:ascii="宋体" w:hAnsi="宋体" w:cs="宋体"/>
                <w:b/>
                <w:bCs/>
                <w:color w:val="auto"/>
                <w:szCs w:val="21"/>
                <w:highlight w:val="none"/>
              </w:rPr>
            </w:pPr>
          </w:p>
        </w:tc>
        <w:tc>
          <w:tcPr>
            <w:tcW w:w="534" w:type="pct"/>
            <w:tcBorders>
              <w:top w:val="single" w:color="000000" w:sz="4" w:space="0"/>
              <w:left w:val="single" w:color="auto" w:sz="4" w:space="0"/>
              <w:bottom w:val="single" w:color="000000" w:sz="4" w:space="0"/>
              <w:right w:val="single" w:color="000000" w:sz="4" w:space="0"/>
            </w:tcBorders>
            <w:noWrap w:val="0"/>
            <w:vAlign w:val="center"/>
          </w:tcPr>
          <w:p w14:paraId="77A98F49">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信创服务器操作系统</w:t>
            </w:r>
          </w:p>
        </w:tc>
        <w:tc>
          <w:tcPr>
            <w:tcW w:w="2038" w:type="pct"/>
            <w:tcBorders>
              <w:top w:val="single" w:color="000000" w:sz="4" w:space="0"/>
              <w:left w:val="single" w:color="000000" w:sz="4" w:space="0"/>
              <w:bottom w:val="single" w:color="000000" w:sz="4" w:space="0"/>
              <w:right w:val="single" w:color="000000" w:sz="4" w:space="0"/>
            </w:tcBorders>
            <w:noWrap w:val="0"/>
            <w:vAlign w:val="center"/>
          </w:tcPr>
          <w:p w14:paraId="11029EE3">
            <w:pPr>
              <w:widowControl/>
              <w:jc w:val="left"/>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通过国家安全可靠测评的操作系统：</w:t>
            </w:r>
          </w:p>
          <w:p w14:paraId="7085BA0F">
            <w:pPr>
              <w:widowControl/>
              <w:jc w:val="left"/>
              <w:textAlignment w:val="center"/>
              <w:rPr>
                <w:rFonts w:hint="default" w:ascii="宋体" w:hAnsi="宋体" w:cs="宋体"/>
                <w:color w:val="auto"/>
                <w:kern w:val="0"/>
                <w:szCs w:val="21"/>
                <w:highlight w:val="none"/>
                <w:lang w:val="en-US" w:eastAsia="zh-CN" w:bidi="ar"/>
              </w:rPr>
            </w:pPr>
            <w:r>
              <w:rPr>
                <w:rFonts w:hint="default" w:ascii="宋体" w:hAnsi="宋体" w:cs="宋体"/>
                <w:color w:val="auto"/>
                <w:kern w:val="0"/>
                <w:szCs w:val="21"/>
                <w:highlight w:val="none"/>
                <w:lang w:val="en-US" w:eastAsia="zh-CN" w:bidi="ar"/>
              </w:rPr>
              <w:t>满足投标人设计的硬件架构涉及的所有虚拟机服务器的操作系统（如：麒麟/统信/中科等国内主流操作系统）安装数量，3 年或以上官方技术支持服务。</w:t>
            </w:r>
          </w:p>
        </w:tc>
        <w:tc>
          <w:tcPr>
            <w:tcW w:w="232" w:type="pct"/>
            <w:tcBorders>
              <w:top w:val="single" w:color="000000" w:sz="4" w:space="0"/>
              <w:left w:val="single" w:color="000000" w:sz="4" w:space="0"/>
              <w:bottom w:val="single" w:color="000000" w:sz="4" w:space="0"/>
              <w:right w:val="single" w:color="000000" w:sz="4" w:space="0"/>
            </w:tcBorders>
            <w:noWrap/>
            <w:vAlign w:val="center"/>
          </w:tcPr>
          <w:p w14:paraId="1C75145C">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295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337F327">
            <w:pPr>
              <w:widowControl/>
              <w:jc w:val="center"/>
              <w:textAlignment w:val="center"/>
              <w:rPr>
                <w:rFonts w:hint="eastAsia" w:ascii="宋体" w:hAnsi="宋体" w:cs="宋体"/>
                <w:color w:val="auto"/>
                <w:kern w:val="0"/>
                <w:szCs w:val="21"/>
                <w:highlight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14:paraId="02FB97C3">
            <w:pPr>
              <w:widowControl/>
              <w:jc w:val="center"/>
              <w:textAlignment w:val="center"/>
              <w:rPr>
                <w:rFonts w:hint="eastAsia" w:ascii="宋体" w:hAnsi="宋体" w:cs="宋体"/>
                <w:color w:val="auto"/>
                <w:kern w:val="0"/>
                <w:szCs w:val="21"/>
                <w:highlight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00D579F">
            <w:pPr>
              <w:widowControl/>
              <w:jc w:val="center"/>
              <w:textAlignment w:val="center"/>
              <w:rPr>
                <w:rFonts w:hint="eastAsia" w:ascii="宋体" w:hAnsi="宋体" w:cs="宋体"/>
                <w:color w:val="auto"/>
                <w:kern w:val="0"/>
                <w:szCs w:val="21"/>
                <w:highlight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7D1E4426">
            <w:pPr>
              <w:widowControl/>
              <w:jc w:val="center"/>
              <w:textAlignment w:val="center"/>
              <w:rPr>
                <w:rFonts w:hint="eastAsia" w:ascii="宋体" w:hAnsi="宋体" w:eastAsia="宋体" w:cs="宋体"/>
                <w:color w:val="auto"/>
                <w:kern w:val="0"/>
                <w:szCs w:val="21"/>
                <w:highlight w:val="none"/>
                <w:lang w:val="en-US" w:eastAsia="zh-CN" w:bidi="ar"/>
              </w:rPr>
            </w:pPr>
          </w:p>
        </w:tc>
      </w:tr>
      <w:tr w14:paraId="04ABD913">
        <w:tblPrEx>
          <w:tblCellMar>
            <w:top w:w="0" w:type="dxa"/>
            <w:left w:w="108" w:type="dxa"/>
            <w:bottom w:w="0" w:type="dxa"/>
            <w:right w:w="108" w:type="dxa"/>
          </w:tblCellMar>
        </w:tblPrEx>
        <w:trPr>
          <w:trHeight w:val="90" w:hRule="atLeast"/>
        </w:trPr>
        <w:tc>
          <w:tcPr>
            <w:tcW w:w="204" w:type="pct"/>
            <w:tcBorders>
              <w:top w:val="single" w:color="auto" w:sz="4" w:space="0"/>
              <w:left w:val="single" w:color="auto" w:sz="4" w:space="0"/>
              <w:bottom w:val="single" w:color="auto" w:sz="4" w:space="0"/>
              <w:right w:val="single" w:color="auto" w:sz="4" w:space="0"/>
            </w:tcBorders>
            <w:noWrap w:val="0"/>
            <w:vAlign w:val="center"/>
          </w:tcPr>
          <w:p w14:paraId="0FB802B9">
            <w:pPr>
              <w:widowControl/>
              <w:jc w:val="center"/>
              <w:textAlignment w:val="center"/>
              <w:rPr>
                <w:rFonts w:hint="default" w:ascii="宋体" w:hAnsi="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5</w:t>
            </w:r>
          </w:p>
        </w:tc>
        <w:tc>
          <w:tcPr>
            <w:tcW w:w="304" w:type="pct"/>
            <w:vMerge w:val="continue"/>
            <w:tcBorders>
              <w:left w:val="single" w:color="auto" w:sz="4" w:space="0"/>
              <w:right w:val="single" w:color="auto" w:sz="4" w:space="0"/>
            </w:tcBorders>
            <w:noWrap w:val="0"/>
            <w:vAlign w:val="center"/>
          </w:tcPr>
          <w:p w14:paraId="69658B32">
            <w:pPr>
              <w:jc w:val="center"/>
              <w:rPr>
                <w:rFonts w:hint="default" w:ascii="宋体" w:hAnsi="宋体" w:eastAsia="宋体" w:cs="宋体"/>
                <w:b/>
                <w:bCs/>
                <w:color w:val="auto"/>
                <w:szCs w:val="21"/>
                <w:highlight w:val="none"/>
                <w:lang w:val="en-US" w:eastAsia="zh-CN"/>
              </w:rPr>
            </w:pPr>
          </w:p>
        </w:tc>
        <w:tc>
          <w:tcPr>
            <w:tcW w:w="534" w:type="pct"/>
            <w:tcBorders>
              <w:top w:val="single" w:color="000000" w:sz="4" w:space="0"/>
              <w:left w:val="single" w:color="auto" w:sz="4" w:space="0"/>
              <w:bottom w:val="single" w:color="000000" w:sz="4" w:space="0"/>
              <w:right w:val="single" w:color="000000" w:sz="4" w:space="0"/>
            </w:tcBorders>
            <w:noWrap w:val="0"/>
            <w:vAlign w:val="center"/>
          </w:tcPr>
          <w:p w14:paraId="4D567510">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第三方软件测评</w:t>
            </w:r>
          </w:p>
        </w:tc>
        <w:tc>
          <w:tcPr>
            <w:tcW w:w="2038" w:type="pct"/>
            <w:tcBorders>
              <w:top w:val="single" w:color="000000" w:sz="4" w:space="0"/>
              <w:left w:val="single" w:color="000000" w:sz="4" w:space="0"/>
              <w:bottom w:val="single" w:color="000000" w:sz="4" w:space="0"/>
              <w:right w:val="single" w:color="000000" w:sz="4" w:space="0"/>
            </w:tcBorders>
            <w:noWrap w:val="0"/>
            <w:vAlign w:val="center"/>
          </w:tcPr>
          <w:p w14:paraId="4A2CAE1E">
            <w:pPr>
              <w:widowControl/>
              <w:jc w:val="left"/>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需达到二级等保要求。</w:t>
            </w:r>
          </w:p>
        </w:tc>
        <w:tc>
          <w:tcPr>
            <w:tcW w:w="232" w:type="pct"/>
            <w:tcBorders>
              <w:top w:val="single" w:color="000000" w:sz="4" w:space="0"/>
              <w:left w:val="single" w:color="000000" w:sz="4" w:space="0"/>
              <w:bottom w:val="single" w:color="000000" w:sz="4" w:space="0"/>
              <w:right w:val="single" w:color="000000" w:sz="4" w:space="0"/>
            </w:tcBorders>
            <w:noWrap/>
            <w:vAlign w:val="center"/>
          </w:tcPr>
          <w:p w14:paraId="770F57AC">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FB9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E9CB1AA">
            <w:pPr>
              <w:widowControl/>
              <w:jc w:val="center"/>
              <w:textAlignment w:val="center"/>
              <w:rPr>
                <w:rFonts w:hint="eastAsia" w:ascii="宋体" w:hAnsi="宋体" w:cs="宋体"/>
                <w:color w:val="auto"/>
                <w:kern w:val="0"/>
                <w:szCs w:val="21"/>
                <w:highlight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14:paraId="034AED62">
            <w:pPr>
              <w:widowControl/>
              <w:jc w:val="center"/>
              <w:textAlignment w:val="center"/>
              <w:rPr>
                <w:rFonts w:hint="eastAsia" w:ascii="宋体" w:hAnsi="宋体" w:cs="宋体"/>
                <w:color w:val="auto"/>
                <w:kern w:val="0"/>
                <w:szCs w:val="21"/>
                <w:highlight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DB1116B">
            <w:pPr>
              <w:widowControl/>
              <w:jc w:val="center"/>
              <w:textAlignment w:val="center"/>
              <w:rPr>
                <w:rFonts w:hint="eastAsia" w:ascii="宋体" w:hAnsi="宋体" w:cs="宋体"/>
                <w:color w:val="auto"/>
                <w:kern w:val="0"/>
                <w:szCs w:val="21"/>
                <w:highlight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057A0AE5">
            <w:pPr>
              <w:widowControl/>
              <w:jc w:val="center"/>
              <w:textAlignment w:val="center"/>
              <w:rPr>
                <w:rFonts w:hint="eastAsia" w:ascii="宋体" w:hAnsi="宋体" w:eastAsia="宋体" w:cs="宋体"/>
                <w:color w:val="auto"/>
                <w:kern w:val="0"/>
                <w:szCs w:val="21"/>
                <w:highlight w:val="none"/>
                <w:lang w:val="en-US" w:eastAsia="zh-CN" w:bidi="ar"/>
              </w:rPr>
            </w:pPr>
          </w:p>
        </w:tc>
      </w:tr>
      <w:tr w14:paraId="3577D4BB">
        <w:tblPrEx>
          <w:tblCellMar>
            <w:top w:w="0" w:type="dxa"/>
            <w:left w:w="108" w:type="dxa"/>
            <w:bottom w:w="0" w:type="dxa"/>
            <w:right w:w="108" w:type="dxa"/>
          </w:tblCellMar>
        </w:tblPrEx>
        <w:trPr>
          <w:trHeight w:val="771" w:hRule="atLeast"/>
        </w:trPr>
        <w:tc>
          <w:tcPr>
            <w:tcW w:w="204" w:type="pct"/>
            <w:tcBorders>
              <w:top w:val="single" w:color="auto" w:sz="4" w:space="0"/>
              <w:left w:val="single" w:color="auto" w:sz="4" w:space="0"/>
              <w:bottom w:val="single" w:color="auto" w:sz="4" w:space="0"/>
              <w:right w:val="single" w:color="auto" w:sz="4" w:space="0"/>
            </w:tcBorders>
            <w:noWrap w:val="0"/>
            <w:vAlign w:val="center"/>
          </w:tcPr>
          <w:p w14:paraId="5B0D4C62">
            <w:pPr>
              <w:widowControl/>
              <w:jc w:val="center"/>
              <w:textAlignment w:val="center"/>
              <w:rPr>
                <w:rFonts w:hint="default" w:ascii="宋体" w:hAnsi="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6</w:t>
            </w:r>
          </w:p>
        </w:tc>
        <w:tc>
          <w:tcPr>
            <w:tcW w:w="304" w:type="pct"/>
            <w:vMerge w:val="continue"/>
            <w:tcBorders>
              <w:left w:val="single" w:color="auto" w:sz="4" w:space="0"/>
              <w:bottom w:val="single" w:color="auto" w:sz="4" w:space="0"/>
              <w:right w:val="single" w:color="auto" w:sz="4" w:space="0"/>
            </w:tcBorders>
            <w:noWrap w:val="0"/>
            <w:vAlign w:val="center"/>
          </w:tcPr>
          <w:p w14:paraId="384C012B">
            <w:pPr>
              <w:jc w:val="center"/>
              <w:rPr>
                <w:rFonts w:hint="default" w:ascii="宋体" w:hAnsi="宋体" w:eastAsia="宋体" w:cs="宋体"/>
                <w:b/>
                <w:bCs/>
                <w:color w:val="auto"/>
                <w:szCs w:val="21"/>
                <w:highlight w:val="none"/>
                <w:lang w:val="en-US" w:eastAsia="zh-CN"/>
              </w:rPr>
            </w:pPr>
          </w:p>
        </w:tc>
        <w:tc>
          <w:tcPr>
            <w:tcW w:w="534" w:type="pct"/>
            <w:tcBorders>
              <w:top w:val="single" w:color="000000" w:sz="4" w:space="0"/>
              <w:left w:val="single" w:color="auto" w:sz="4" w:space="0"/>
              <w:bottom w:val="single" w:color="000000" w:sz="4" w:space="0"/>
              <w:right w:val="single" w:color="000000" w:sz="4" w:space="0"/>
            </w:tcBorders>
            <w:noWrap w:val="0"/>
            <w:vAlign w:val="center"/>
          </w:tcPr>
          <w:p w14:paraId="7675E0DF">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培训取证</w:t>
            </w:r>
          </w:p>
        </w:tc>
        <w:tc>
          <w:tcPr>
            <w:tcW w:w="2038" w:type="pct"/>
            <w:tcBorders>
              <w:top w:val="single" w:color="000000" w:sz="4" w:space="0"/>
              <w:left w:val="single" w:color="000000" w:sz="4" w:space="0"/>
              <w:bottom w:val="single" w:color="000000" w:sz="4" w:space="0"/>
              <w:right w:val="single" w:color="000000" w:sz="4" w:space="0"/>
            </w:tcBorders>
            <w:noWrap w:val="0"/>
            <w:vAlign w:val="center"/>
          </w:tcPr>
          <w:p w14:paraId="235E6FF0">
            <w:pPr>
              <w:widowControl/>
              <w:jc w:val="left"/>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需协助招标人开展无人机操作员资格证取证工作（CAAC）</w:t>
            </w:r>
          </w:p>
        </w:tc>
        <w:tc>
          <w:tcPr>
            <w:tcW w:w="232" w:type="pct"/>
            <w:tcBorders>
              <w:top w:val="single" w:color="000000" w:sz="4" w:space="0"/>
              <w:left w:val="single" w:color="000000" w:sz="4" w:space="0"/>
              <w:bottom w:val="single" w:color="000000" w:sz="4" w:space="0"/>
              <w:right w:val="single" w:color="000000" w:sz="4" w:space="0"/>
            </w:tcBorders>
            <w:noWrap/>
            <w:vAlign w:val="center"/>
          </w:tcPr>
          <w:p w14:paraId="5A92C68D">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人</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FCD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6</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763F0D1">
            <w:pPr>
              <w:widowControl/>
              <w:jc w:val="center"/>
              <w:textAlignment w:val="center"/>
              <w:rPr>
                <w:rFonts w:hint="eastAsia" w:ascii="宋体" w:hAnsi="宋体" w:cs="宋体"/>
                <w:color w:val="auto"/>
                <w:kern w:val="0"/>
                <w:szCs w:val="21"/>
                <w:highlight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14:paraId="2A8F8D08">
            <w:pPr>
              <w:widowControl/>
              <w:jc w:val="center"/>
              <w:textAlignment w:val="center"/>
              <w:rPr>
                <w:rFonts w:hint="eastAsia" w:ascii="宋体" w:hAnsi="宋体" w:cs="宋体"/>
                <w:color w:val="auto"/>
                <w:kern w:val="0"/>
                <w:szCs w:val="21"/>
                <w:highlight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E3951CF">
            <w:pPr>
              <w:widowControl/>
              <w:jc w:val="center"/>
              <w:textAlignment w:val="center"/>
              <w:rPr>
                <w:rFonts w:hint="eastAsia" w:ascii="宋体" w:hAnsi="宋体" w:cs="宋体"/>
                <w:color w:val="auto"/>
                <w:kern w:val="0"/>
                <w:szCs w:val="21"/>
                <w:highlight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5DCEFE4B">
            <w:pPr>
              <w:widowControl/>
              <w:jc w:val="center"/>
              <w:textAlignment w:val="center"/>
              <w:rPr>
                <w:rFonts w:hint="eastAsia" w:ascii="宋体" w:hAnsi="宋体" w:eastAsia="宋体" w:cs="宋体"/>
                <w:color w:val="auto"/>
                <w:kern w:val="0"/>
                <w:szCs w:val="21"/>
                <w:highlight w:val="none"/>
                <w:lang w:val="en-US" w:eastAsia="zh-CN" w:bidi="ar"/>
              </w:rPr>
            </w:pPr>
          </w:p>
        </w:tc>
      </w:tr>
      <w:tr w14:paraId="4D7B389B">
        <w:tblPrEx>
          <w:tblCellMar>
            <w:top w:w="0" w:type="dxa"/>
            <w:left w:w="108" w:type="dxa"/>
            <w:bottom w:w="0" w:type="dxa"/>
            <w:right w:w="108" w:type="dxa"/>
          </w:tblCellMar>
        </w:tblPrEx>
        <w:trPr>
          <w:trHeight w:val="620" w:hRule="atLeast"/>
        </w:trPr>
        <w:tc>
          <w:tcPr>
            <w:tcW w:w="204" w:type="pct"/>
            <w:tcBorders>
              <w:top w:val="single" w:color="auto" w:sz="4" w:space="0"/>
              <w:left w:val="single" w:color="000000" w:sz="4" w:space="0"/>
              <w:bottom w:val="single" w:color="000000" w:sz="4" w:space="0"/>
              <w:right w:val="single" w:color="000000" w:sz="4" w:space="0"/>
            </w:tcBorders>
            <w:noWrap w:val="0"/>
            <w:vAlign w:val="center"/>
          </w:tcPr>
          <w:p w14:paraId="5A7933C7">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kern w:val="0"/>
                <w:szCs w:val="21"/>
                <w:highlight w:val="none"/>
                <w:lang w:val="en-US" w:eastAsia="zh-CN" w:bidi="ar"/>
              </w:rPr>
              <w:t>7</w:t>
            </w:r>
          </w:p>
        </w:tc>
        <w:tc>
          <w:tcPr>
            <w:tcW w:w="304" w:type="pct"/>
            <w:vMerge w:val="restart"/>
            <w:tcBorders>
              <w:top w:val="single" w:color="auto" w:sz="4" w:space="0"/>
              <w:left w:val="single" w:color="000000" w:sz="4" w:space="0"/>
              <w:bottom w:val="single" w:color="000000" w:sz="4" w:space="0"/>
              <w:right w:val="single" w:color="000000" w:sz="4" w:space="0"/>
            </w:tcBorders>
            <w:noWrap w:val="0"/>
            <w:vAlign w:val="center"/>
          </w:tcPr>
          <w:p w14:paraId="48449084">
            <w:pPr>
              <w:widowControl/>
              <w:jc w:val="center"/>
              <w:textAlignment w:val="center"/>
              <w:rPr>
                <w:rFonts w:hint="eastAsia" w:ascii="宋体" w:hAnsi="宋体" w:cs="宋体"/>
                <w:b/>
                <w:bCs/>
                <w:color w:val="auto"/>
                <w:kern w:val="0"/>
                <w:szCs w:val="21"/>
                <w:highlight w:val="none"/>
                <w:lang w:bidi="ar"/>
              </w:rPr>
            </w:pPr>
          </w:p>
          <w:p w14:paraId="094F4100">
            <w:pPr>
              <w:widowControl/>
              <w:jc w:val="center"/>
              <w:textAlignment w:val="center"/>
              <w:rPr>
                <w:rFonts w:hint="eastAsia" w:ascii="宋体" w:hAnsi="宋体" w:cs="宋体"/>
                <w:b/>
                <w:bCs/>
                <w:color w:val="auto"/>
                <w:kern w:val="0"/>
                <w:szCs w:val="21"/>
                <w:highlight w:val="none"/>
                <w:lang w:bidi="ar"/>
              </w:rPr>
            </w:pPr>
          </w:p>
          <w:p w14:paraId="4B4036BF">
            <w:pPr>
              <w:widowControl/>
              <w:jc w:val="center"/>
              <w:textAlignment w:val="center"/>
              <w:rPr>
                <w:rFonts w:hint="eastAsia" w:ascii="宋体" w:hAnsi="宋体" w:cs="宋体"/>
                <w:b/>
                <w:bCs/>
                <w:color w:val="auto"/>
                <w:kern w:val="0"/>
                <w:szCs w:val="21"/>
                <w:highlight w:val="none"/>
                <w:lang w:bidi="ar"/>
              </w:rPr>
            </w:pPr>
          </w:p>
          <w:p w14:paraId="448E9BB0">
            <w:pPr>
              <w:widowControl/>
              <w:jc w:val="center"/>
              <w:textAlignment w:val="center"/>
              <w:rPr>
                <w:rFonts w:hint="eastAsia" w:ascii="宋体" w:hAnsi="宋体" w:cs="宋体"/>
                <w:b/>
                <w:bCs/>
                <w:color w:val="auto"/>
                <w:kern w:val="0"/>
                <w:szCs w:val="21"/>
                <w:highlight w:val="none"/>
                <w:lang w:bidi="ar"/>
              </w:rPr>
            </w:pPr>
          </w:p>
          <w:p w14:paraId="21B7F747">
            <w:pPr>
              <w:widowControl/>
              <w:jc w:val="center"/>
              <w:textAlignment w:val="center"/>
              <w:rPr>
                <w:rFonts w:hint="eastAsia" w:ascii="宋体" w:hAnsi="宋体" w:cs="宋体"/>
                <w:b/>
                <w:bCs/>
                <w:color w:val="auto"/>
                <w:kern w:val="0"/>
                <w:szCs w:val="21"/>
                <w:highlight w:val="none"/>
                <w:lang w:bidi="ar"/>
              </w:rPr>
            </w:pPr>
          </w:p>
          <w:p w14:paraId="250E5DA5">
            <w:pPr>
              <w:widowControl/>
              <w:jc w:val="center"/>
              <w:textAlignment w:val="center"/>
              <w:rPr>
                <w:rFonts w:hint="eastAsia" w:ascii="宋体" w:hAnsi="宋体" w:cs="宋体"/>
                <w:b/>
                <w:bCs/>
                <w:color w:val="auto"/>
                <w:kern w:val="0"/>
                <w:szCs w:val="21"/>
                <w:highlight w:val="none"/>
                <w:lang w:bidi="ar"/>
              </w:rPr>
            </w:pPr>
          </w:p>
          <w:p w14:paraId="012EC3A9">
            <w:pPr>
              <w:widowControl/>
              <w:jc w:val="center"/>
              <w:textAlignment w:val="center"/>
              <w:rPr>
                <w:rFonts w:hint="eastAsia" w:ascii="宋体" w:hAnsi="宋体" w:cs="宋体"/>
                <w:b/>
                <w:bCs/>
                <w:color w:val="auto"/>
                <w:kern w:val="0"/>
                <w:szCs w:val="21"/>
                <w:highlight w:val="none"/>
                <w:lang w:bidi="ar"/>
              </w:rPr>
            </w:pPr>
          </w:p>
          <w:p w14:paraId="46FF9785">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硬件采购</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4D1C13C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无人机场</w:t>
            </w:r>
          </w:p>
        </w:tc>
        <w:tc>
          <w:tcPr>
            <w:tcW w:w="2038" w:type="pct"/>
            <w:tcBorders>
              <w:top w:val="single" w:color="000000" w:sz="4" w:space="0"/>
              <w:left w:val="single" w:color="000000" w:sz="4" w:space="0"/>
              <w:bottom w:val="single" w:color="000000" w:sz="4" w:space="0"/>
              <w:right w:val="single" w:color="000000" w:sz="4" w:space="0"/>
            </w:tcBorders>
            <w:noWrap w:val="0"/>
            <w:vAlign w:val="center"/>
          </w:tcPr>
          <w:p w14:paraId="530439F1">
            <w:pPr>
              <w:widowControl/>
              <w:jc w:val="left"/>
              <w:textAlignment w:val="center"/>
              <w:rPr>
                <w:rFonts w:hint="eastAsia" w:ascii="宋体" w:hAnsi="宋体" w:cs="宋体"/>
                <w:color w:val="auto"/>
                <w:kern w:val="0"/>
                <w:szCs w:val="21"/>
                <w:highlight w:val="none"/>
                <w:lang w:eastAsia="zh-CN" w:bidi="ar"/>
              </w:rPr>
            </w:pPr>
            <w:r>
              <w:rPr>
                <w:rFonts w:hint="eastAsia" w:ascii="宋体" w:hAnsi="宋体" w:cs="宋体"/>
                <w:color w:val="auto"/>
                <w:kern w:val="0"/>
                <w:szCs w:val="21"/>
                <w:highlight w:val="none"/>
                <w:lang w:bidi="ar"/>
              </w:rPr>
              <w:t>自动化机场：具备</w:t>
            </w:r>
            <w:r>
              <w:rPr>
                <w:rFonts w:hint="eastAsia" w:ascii="宋体" w:hAnsi="宋体" w:cs="宋体"/>
                <w:color w:val="auto"/>
                <w:kern w:val="0"/>
                <w:szCs w:val="21"/>
                <w:highlight w:val="none"/>
                <w:lang w:eastAsia="zh-CN" w:bidi="ar"/>
              </w:rPr>
              <w:t>快速充电、</w:t>
            </w:r>
            <w:r>
              <w:rPr>
                <w:rFonts w:hint="eastAsia" w:ascii="宋体" w:hAnsi="宋体" w:cs="宋体"/>
                <w:color w:val="auto"/>
                <w:kern w:val="0"/>
                <w:szCs w:val="21"/>
                <w:highlight w:val="none"/>
                <w:lang w:bidi="ar"/>
              </w:rPr>
              <w:t>自动收纳、无线充电、视频监控</w:t>
            </w:r>
            <w:r>
              <w:rPr>
                <w:rFonts w:hint="eastAsia" w:ascii="宋体" w:hAnsi="宋体" w:cs="宋体"/>
                <w:color w:val="auto"/>
                <w:kern w:val="0"/>
                <w:szCs w:val="21"/>
                <w:highlight w:val="none"/>
                <w:lang w:eastAsia="zh-CN" w:bidi="ar"/>
              </w:rPr>
              <w:t>、内置传感器、内置空调</w:t>
            </w:r>
            <w:r>
              <w:rPr>
                <w:rFonts w:hint="eastAsia" w:ascii="宋体" w:hAnsi="宋体" w:cs="宋体"/>
                <w:color w:val="auto"/>
                <w:kern w:val="0"/>
                <w:szCs w:val="21"/>
                <w:highlight w:val="none"/>
                <w:lang w:bidi="ar"/>
              </w:rPr>
              <w:t>等功能</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包含机场</w:t>
            </w:r>
            <w:r>
              <w:rPr>
                <w:rFonts w:hint="eastAsia" w:ascii="宋体" w:hAnsi="宋体" w:cs="宋体"/>
                <w:color w:val="auto"/>
                <w:kern w:val="0"/>
                <w:szCs w:val="21"/>
                <w:highlight w:val="none"/>
                <w:lang w:eastAsia="zh-CN" w:bidi="ar"/>
              </w:rPr>
              <w:t>基础建设、</w:t>
            </w:r>
            <w:r>
              <w:rPr>
                <w:rFonts w:hint="eastAsia" w:ascii="宋体" w:hAnsi="宋体" w:cs="宋体"/>
                <w:color w:val="auto"/>
                <w:kern w:val="0"/>
                <w:szCs w:val="21"/>
                <w:highlight w:val="none"/>
                <w:lang w:bidi="ar"/>
              </w:rPr>
              <w:t>安装、</w:t>
            </w:r>
            <w:r>
              <w:rPr>
                <w:rFonts w:hint="eastAsia" w:ascii="宋体" w:hAnsi="宋体" w:cs="宋体"/>
                <w:color w:val="auto"/>
                <w:kern w:val="0"/>
                <w:szCs w:val="21"/>
                <w:highlight w:val="none"/>
                <w:lang w:val="en-US" w:eastAsia="zh-CN" w:bidi="ar"/>
              </w:rPr>
              <w:t>无人机场至所在车站机房的</w:t>
            </w:r>
            <w:r>
              <w:rPr>
                <w:rFonts w:hint="eastAsia" w:ascii="宋体" w:hAnsi="宋体" w:cs="宋体"/>
                <w:color w:val="auto"/>
                <w:kern w:val="0"/>
                <w:szCs w:val="21"/>
                <w:highlight w:val="none"/>
                <w:lang w:bidi="ar"/>
              </w:rPr>
              <w:t>网络</w:t>
            </w:r>
            <w:r>
              <w:rPr>
                <w:rFonts w:hint="eastAsia" w:ascii="宋体" w:hAnsi="宋体" w:cs="宋体"/>
                <w:color w:val="auto"/>
                <w:kern w:val="0"/>
                <w:szCs w:val="21"/>
                <w:highlight w:val="none"/>
                <w:lang w:val="en-US" w:eastAsia="zh-CN" w:bidi="ar"/>
              </w:rPr>
              <w:t>布设、</w:t>
            </w:r>
            <w:r>
              <w:rPr>
                <w:rFonts w:hint="eastAsia" w:ascii="宋体" w:hAnsi="宋体" w:cs="宋体"/>
                <w:color w:val="auto"/>
                <w:kern w:val="0"/>
                <w:szCs w:val="21"/>
                <w:highlight w:val="none"/>
                <w:lang w:bidi="ar"/>
              </w:rPr>
              <w:t>取电施工、</w:t>
            </w:r>
            <w:r>
              <w:rPr>
                <w:rFonts w:hint="eastAsia" w:ascii="宋体" w:hAnsi="宋体" w:cs="宋体"/>
                <w:color w:val="auto"/>
                <w:kern w:val="0"/>
                <w:szCs w:val="21"/>
                <w:highlight w:val="none"/>
                <w:lang w:eastAsia="zh-CN" w:bidi="ar"/>
              </w:rPr>
              <w:t>防雷施工、</w:t>
            </w:r>
            <w:r>
              <w:rPr>
                <w:rFonts w:hint="eastAsia" w:ascii="宋体" w:hAnsi="宋体" w:cs="宋体"/>
                <w:color w:val="auto"/>
                <w:kern w:val="0"/>
                <w:szCs w:val="21"/>
                <w:highlight w:val="none"/>
                <w:lang w:bidi="ar"/>
              </w:rPr>
              <w:t>调试、试飞等</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并包含质保期内</w:t>
            </w:r>
            <w:r>
              <w:rPr>
                <w:rFonts w:hint="eastAsia" w:ascii="宋体" w:hAnsi="宋体" w:cs="宋体"/>
                <w:color w:val="auto"/>
                <w:kern w:val="0"/>
                <w:szCs w:val="21"/>
                <w:highlight w:val="none"/>
                <w:lang w:bidi="ar"/>
              </w:rPr>
              <w:t>自动无人机场硬件快修换新服务</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783CAD1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6751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10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6616449">
            <w:pPr>
              <w:widowControl/>
              <w:jc w:val="center"/>
              <w:textAlignment w:val="center"/>
              <w:rPr>
                <w:rFonts w:hint="eastAsia" w:ascii="宋体" w:hAnsi="宋体" w:cs="宋体"/>
                <w:color w:val="auto"/>
                <w:kern w:val="0"/>
                <w:szCs w:val="21"/>
                <w:highlight w:val="none"/>
                <w:lang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25745AE1">
            <w:pPr>
              <w:widowControl/>
              <w:jc w:val="center"/>
              <w:textAlignment w:val="center"/>
              <w:rPr>
                <w:rFonts w:hint="eastAsia" w:ascii="宋体" w:hAnsi="宋体" w:cs="宋体"/>
                <w:color w:val="auto"/>
                <w:kern w:val="0"/>
                <w:szCs w:val="21"/>
                <w:highlight w:val="none"/>
                <w:lang w:bidi="ar"/>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05692E3">
            <w:pPr>
              <w:widowControl/>
              <w:jc w:val="center"/>
              <w:textAlignment w:val="center"/>
              <w:rPr>
                <w:rFonts w:hint="eastAsia" w:ascii="宋体" w:hAnsi="宋体" w:cs="宋体"/>
                <w:color w:val="auto"/>
                <w:kern w:val="0"/>
                <w:szCs w:val="21"/>
                <w:highlight w:val="none"/>
                <w:lang w:bidi="ar"/>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14:paraId="24122B92">
            <w:pPr>
              <w:widowControl/>
              <w:jc w:val="center"/>
              <w:textAlignment w:val="center"/>
              <w:rPr>
                <w:rFonts w:hint="eastAsia" w:ascii="宋体" w:hAnsi="宋体" w:cs="宋体"/>
                <w:color w:val="auto"/>
                <w:szCs w:val="21"/>
                <w:highlight w:val="none"/>
              </w:rPr>
            </w:pPr>
          </w:p>
        </w:tc>
      </w:tr>
      <w:tr w14:paraId="4691EE9F">
        <w:tblPrEx>
          <w:tblCellMar>
            <w:top w:w="0" w:type="dxa"/>
            <w:left w:w="108" w:type="dxa"/>
            <w:bottom w:w="0" w:type="dxa"/>
            <w:right w:w="108" w:type="dxa"/>
          </w:tblCellMar>
        </w:tblPrEx>
        <w:trPr>
          <w:trHeight w:val="840" w:hRule="atLeast"/>
        </w:trPr>
        <w:tc>
          <w:tcPr>
            <w:tcW w:w="204" w:type="pct"/>
            <w:tcBorders>
              <w:top w:val="single" w:color="000000" w:sz="4" w:space="0"/>
              <w:left w:val="single" w:color="000000" w:sz="4" w:space="0"/>
              <w:bottom w:val="single" w:color="000000" w:sz="4" w:space="0"/>
              <w:right w:val="single" w:color="000000" w:sz="4" w:space="0"/>
            </w:tcBorders>
            <w:noWrap w:val="0"/>
            <w:vAlign w:val="center"/>
          </w:tcPr>
          <w:p w14:paraId="173EAAF8">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8</w:t>
            </w:r>
          </w:p>
        </w:tc>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5F5EA9">
            <w:pPr>
              <w:jc w:val="center"/>
              <w:rPr>
                <w:rFonts w:hint="eastAsia" w:ascii="宋体" w:hAnsi="宋体" w:cs="宋体"/>
                <w:b/>
                <w:bCs/>
                <w:color w:val="auto"/>
                <w:szCs w:val="21"/>
                <w:highlight w:val="none"/>
              </w:rPr>
            </w:pPr>
          </w:p>
        </w:tc>
        <w:tc>
          <w:tcPr>
            <w:tcW w:w="534" w:type="pct"/>
            <w:vMerge w:val="restart"/>
            <w:tcBorders>
              <w:top w:val="single" w:color="000000" w:sz="4" w:space="0"/>
              <w:left w:val="single" w:color="000000" w:sz="4" w:space="0"/>
              <w:bottom w:val="single" w:color="000000" w:sz="4" w:space="0"/>
              <w:right w:val="single" w:color="000000" w:sz="4" w:space="0"/>
            </w:tcBorders>
            <w:noWrap w:val="0"/>
            <w:vAlign w:val="center"/>
          </w:tcPr>
          <w:p w14:paraId="6AE73EF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无人机</w:t>
            </w:r>
          </w:p>
        </w:tc>
        <w:tc>
          <w:tcPr>
            <w:tcW w:w="2038" w:type="pct"/>
            <w:tcBorders>
              <w:top w:val="single" w:color="000000" w:sz="4" w:space="0"/>
              <w:left w:val="single" w:color="000000" w:sz="4" w:space="0"/>
              <w:bottom w:val="single" w:color="000000" w:sz="4" w:space="0"/>
              <w:right w:val="single" w:color="000000" w:sz="4" w:space="0"/>
            </w:tcBorders>
            <w:noWrap w:val="0"/>
            <w:vAlign w:val="center"/>
          </w:tcPr>
          <w:p w14:paraId="66B712DD">
            <w:pPr>
              <w:widowControl/>
              <w:jc w:val="left"/>
              <w:textAlignment w:val="center"/>
              <w:rPr>
                <w:rFonts w:hint="eastAsia"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无人机：具备远程喊话、应急调度、自动避障、</w:t>
            </w:r>
            <w:r>
              <w:rPr>
                <w:rFonts w:hint="eastAsia" w:ascii="宋体" w:hAnsi="宋体" w:cs="宋体"/>
                <w:color w:val="auto"/>
                <w:kern w:val="0"/>
                <w:szCs w:val="21"/>
                <w:highlight w:val="none"/>
                <w:lang w:eastAsia="zh-CN" w:bidi="ar"/>
              </w:rPr>
              <w:t>精准降落、</w:t>
            </w:r>
            <w:r>
              <w:rPr>
                <w:rFonts w:hint="eastAsia" w:ascii="宋体" w:hAnsi="宋体" w:cs="宋体"/>
                <w:color w:val="auto"/>
                <w:kern w:val="0"/>
                <w:szCs w:val="21"/>
                <w:highlight w:val="none"/>
                <w:lang w:bidi="ar"/>
              </w:rPr>
              <w:t>降落伞防护、夜视等功能</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并包含质保期内</w:t>
            </w:r>
            <w:r>
              <w:rPr>
                <w:rFonts w:hint="eastAsia" w:ascii="宋体" w:hAnsi="宋体" w:cs="宋体"/>
                <w:color w:val="auto"/>
                <w:kern w:val="0"/>
                <w:szCs w:val="21"/>
                <w:highlight w:val="none"/>
                <w:lang w:bidi="ar"/>
              </w:rPr>
              <w:t>无人机硬件快修换新服务</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质保期内</w:t>
            </w:r>
            <w:r>
              <w:rPr>
                <w:rFonts w:hint="eastAsia" w:ascii="宋体" w:hAnsi="宋体" w:cs="宋体"/>
                <w:color w:val="auto"/>
                <w:kern w:val="0"/>
                <w:szCs w:val="21"/>
                <w:highlight w:val="none"/>
                <w:lang w:bidi="ar"/>
              </w:rPr>
              <w:t>每架无人机电池更</w:t>
            </w:r>
            <w:r>
              <w:rPr>
                <w:rFonts w:hint="eastAsia" w:ascii="宋体" w:hAnsi="宋体" w:cs="宋体"/>
                <w:color w:val="auto"/>
                <w:kern w:val="0"/>
                <w:szCs w:val="21"/>
                <w:highlight w:val="none"/>
                <w:lang w:val="en-US" w:eastAsia="zh-CN" w:bidi="ar"/>
              </w:rPr>
              <w:t>换，</w:t>
            </w:r>
            <w:r>
              <w:rPr>
                <w:rFonts w:hint="eastAsia" w:ascii="宋体" w:hAnsi="宋体" w:cs="宋体"/>
                <w:color w:val="auto"/>
                <w:kern w:val="0"/>
                <w:szCs w:val="21"/>
                <w:highlight w:val="none"/>
                <w:lang w:bidi="ar"/>
              </w:rPr>
              <w:t>桨叶更换</w:t>
            </w:r>
            <w:r>
              <w:rPr>
                <w:rFonts w:hint="eastAsia" w:ascii="宋体" w:hAnsi="宋体" w:cs="宋体"/>
                <w:color w:val="auto"/>
                <w:kern w:val="0"/>
                <w:szCs w:val="21"/>
                <w:highlight w:val="none"/>
                <w:lang w:val="en-US" w:eastAsia="zh-CN" w:bidi="ar"/>
              </w:rPr>
              <w:t>等</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04E35C1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FE1F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10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F68869B">
            <w:pPr>
              <w:widowControl/>
              <w:jc w:val="center"/>
              <w:textAlignment w:val="center"/>
              <w:rPr>
                <w:rFonts w:hint="eastAsia" w:ascii="宋体" w:hAnsi="宋体" w:cs="宋体"/>
                <w:color w:val="auto"/>
                <w:kern w:val="0"/>
                <w:szCs w:val="21"/>
                <w:highlight w:val="none"/>
                <w:lang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0933A736">
            <w:pPr>
              <w:widowControl/>
              <w:jc w:val="center"/>
              <w:textAlignment w:val="center"/>
              <w:rPr>
                <w:rFonts w:hint="eastAsia" w:ascii="宋体" w:hAnsi="宋体" w:cs="宋体"/>
                <w:color w:val="auto"/>
                <w:kern w:val="0"/>
                <w:szCs w:val="21"/>
                <w:highlight w:val="none"/>
                <w:lang w:bidi="ar"/>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362D341">
            <w:pPr>
              <w:widowControl/>
              <w:jc w:val="center"/>
              <w:textAlignment w:val="center"/>
              <w:rPr>
                <w:rFonts w:hint="eastAsia" w:ascii="宋体" w:hAnsi="宋体" w:cs="宋体"/>
                <w:color w:val="auto"/>
                <w:kern w:val="0"/>
                <w:szCs w:val="21"/>
                <w:highlight w:val="none"/>
                <w:lang w:bidi="ar"/>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14:paraId="340D7240">
            <w:pPr>
              <w:widowControl/>
              <w:jc w:val="center"/>
              <w:textAlignment w:val="center"/>
              <w:rPr>
                <w:rFonts w:hint="eastAsia" w:ascii="宋体" w:hAnsi="宋体" w:cs="宋体"/>
                <w:color w:val="auto"/>
                <w:szCs w:val="21"/>
                <w:highlight w:val="none"/>
              </w:rPr>
            </w:pPr>
          </w:p>
        </w:tc>
      </w:tr>
      <w:tr w14:paraId="7A270085">
        <w:tblPrEx>
          <w:tblCellMar>
            <w:top w:w="0" w:type="dxa"/>
            <w:left w:w="108" w:type="dxa"/>
            <w:bottom w:w="0" w:type="dxa"/>
            <w:right w:w="108" w:type="dxa"/>
          </w:tblCellMar>
        </w:tblPrEx>
        <w:trPr>
          <w:trHeight w:val="400" w:hRule="atLeast"/>
        </w:trPr>
        <w:tc>
          <w:tcPr>
            <w:tcW w:w="204" w:type="pct"/>
            <w:tcBorders>
              <w:top w:val="single" w:color="000000" w:sz="4" w:space="0"/>
              <w:left w:val="single" w:color="000000" w:sz="4" w:space="0"/>
              <w:bottom w:val="single" w:color="000000" w:sz="4" w:space="0"/>
              <w:right w:val="single" w:color="000000" w:sz="4" w:space="0"/>
            </w:tcBorders>
            <w:noWrap w:val="0"/>
            <w:vAlign w:val="center"/>
          </w:tcPr>
          <w:p w14:paraId="1223C299">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9</w:t>
            </w:r>
          </w:p>
        </w:tc>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91768B">
            <w:pPr>
              <w:jc w:val="center"/>
              <w:rPr>
                <w:rFonts w:hint="eastAsia" w:ascii="宋体" w:hAnsi="宋体" w:cs="宋体"/>
                <w:b/>
                <w:bCs/>
                <w:color w:val="auto"/>
                <w:szCs w:val="21"/>
                <w:highlight w:val="none"/>
              </w:rPr>
            </w:pPr>
          </w:p>
        </w:tc>
        <w:tc>
          <w:tcPr>
            <w:tcW w:w="5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212EFA">
            <w:pPr>
              <w:jc w:val="center"/>
              <w:rPr>
                <w:rFonts w:hint="eastAsia" w:ascii="宋体" w:hAnsi="宋体" w:cs="宋体"/>
                <w:color w:val="auto"/>
                <w:szCs w:val="21"/>
                <w:highlight w:val="none"/>
              </w:rPr>
            </w:pPr>
          </w:p>
        </w:tc>
        <w:tc>
          <w:tcPr>
            <w:tcW w:w="2038" w:type="pct"/>
            <w:tcBorders>
              <w:top w:val="single" w:color="000000" w:sz="4" w:space="0"/>
              <w:left w:val="single" w:color="000000" w:sz="4" w:space="0"/>
              <w:bottom w:val="single" w:color="000000" w:sz="4" w:space="0"/>
              <w:right w:val="single" w:color="000000" w:sz="4" w:space="0"/>
            </w:tcBorders>
            <w:noWrap w:val="0"/>
            <w:vAlign w:val="center"/>
          </w:tcPr>
          <w:p w14:paraId="4FBF0694">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手动无人机，45分钟的续航能力，20公里图传距离轻型无人机。包含质保期内</w:t>
            </w:r>
            <w:r>
              <w:rPr>
                <w:rFonts w:hint="eastAsia" w:ascii="宋体" w:hAnsi="宋体" w:cs="宋体"/>
                <w:color w:val="auto"/>
                <w:kern w:val="0"/>
                <w:szCs w:val="21"/>
                <w:highlight w:val="none"/>
                <w:lang w:bidi="ar"/>
              </w:rPr>
              <w:t>无人机硬件快修换新服务</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质保期内</w:t>
            </w:r>
            <w:r>
              <w:rPr>
                <w:rFonts w:hint="eastAsia" w:ascii="宋体" w:hAnsi="宋体" w:cs="宋体"/>
                <w:color w:val="auto"/>
                <w:kern w:val="0"/>
                <w:szCs w:val="21"/>
                <w:highlight w:val="none"/>
                <w:lang w:bidi="ar"/>
              </w:rPr>
              <w:t>每架无人机电池更</w:t>
            </w:r>
            <w:r>
              <w:rPr>
                <w:rFonts w:hint="eastAsia" w:ascii="宋体" w:hAnsi="宋体" w:cs="宋体"/>
                <w:color w:val="auto"/>
                <w:kern w:val="0"/>
                <w:szCs w:val="21"/>
                <w:highlight w:val="none"/>
                <w:lang w:val="en-US" w:eastAsia="zh-CN" w:bidi="ar"/>
              </w:rPr>
              <w:t>换，</w:t>
            </w:r>
            <w:r>
              <w:rPr>
                <w:rFonts w:hint="eastAsia" w:ascii="宋体" w:hAnsi="宋体" w:cs="宋体"/>
                <w:color w:val="auto"/>
                <w:kern w:val="0"/>
                <w:szCs w:val="21"/>
                <w:highlight w:val="none"/>
                <w:lang w:bidi="ar"/>
              </w:rPr>
              <w:t>桨叶更换</w:t>
            </w:r>
            <w:r>
              <w:rPr>
                <w:rFonts w:hint="eastAsia" w:ascii="宋体" w:hAnsi="宋体" w:cs="宋体"/>
                <w:color w:val="auto"/>
                <w:kern w:val="0"/>
                <w:szCs w:val="21"/>
                <w:highlight w:val="none"/>
                <w:lang w:val="en-US" w:eastAsia="zh-CN" w:bidi="ar"/>
              </w:rPr>
              <w:t>等</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5ACF686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C468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2</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8698D93">
            <w:pPr>
              <w:widowControl/>
              <w:jc w:val="center"/>
              <w:textAlignment w:val="center"/>
              <w:rPr>
                <w:rFonts w:hint="eastAsia" w:ascii="宋体" w:hAnsi="宋体" w:cs="宋体"/>
                <w:color w:val="auto"/>
                <w:kern w:val="0"/>
                <w:szCs w:val="21"/>
                <w:highlight w:val="none"/>
                <w:lang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64D86A46">
            <w:pPr>
              <w:widowControl/>
              <w:jc w:val="center"/>
              <w:textAlignment w:val="center"/>
              <w:rPr>
                <w:rFonts w:hint="eastAsia" w:ascii="宋体" w:hAnsi="宋体" w:cs="宋体"/>
                <w:color w:val="auto"/>
                <w:kern w:val="0"/>
                <w:szCs w:val="21"/>
                <w:highlight w:val="none"/>
                <w:lang w:bidi="ar"/>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5C5AB1F">
            <w:pPr>
              <w:widowControl/>
              <w:jc w:val="center"/>
              <w:textAlignment w:val="center"/>
              <w:rPr>
                <w:rFonts w:hint="eastAsia" w:ascii="宋体" w:hAnsi="宋体" w:cs="宋体"/>
                <w:color w:val="auto"/>
                <w:kern w:val="0"/>
                <w:szCs w:val="21"/>
                <w:highlight w:val="none"/>
                <w:lang w:bidi="ar"/>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14:paraId="02AC9D19">
            <w:pPr>
              <w:widowControl/>
              <w:jc w:val="center"/>
              <w:textAlignment w:val="center"/>
              <w:rPr>
                <w:rFonts w:hint="eastAsia" w:ascii="宋体" w:hAnsi="宋体" w:cs="宋体"/>
                <w:color w:val="auto"/>
                <w:szCs w:val="21"/>
                <w:highlight w:val="none"/>
              </w:rPr>
            </w:pPr>
          </w:p>
        </w:tc>
      </w:tr>
      <w:tr w14:paraId="75B639D0">
        <w:tblPrEx>
          <w:tblCellMar>
            <w:top w:w="0" w:type="dxa"/>
            <w:left w:w="108" w:type="dxa"/>
            <w:bottom w:w="0" w:type="dxa"/>
            <w:right w:w="108" w:type="dxa"/>
          </w:tblCellMar>
        </w:tblPrEx>
        <w:trPr>
          <w:trHeight w:val="460" w:hRule="atLeast"/>
        </w:trPr>
        <w:tc>
          <w:tcPr>
            <w:tcW w:w="204" w:type="pct"/>
            <w:tcBorders>
              <w:top w:val="single" w:color="000000" w:sz="4" w:space="0"/>
              <w:left w:val="single" w:color="000000" w:sz="4" w:space="0"/>
              <w:bottom w:val="single" w:color="000000" w:sz="4" w:space="0"/>
              <w:right w:val="single" w:color="000000" w:sz="4" w:space="0"/>
            </w:tcBorders>
            <w:noWrap w:val="0"/>
            <w:vAlign w:val="center"/>
          </w:tcPr>
          <w:p w14:paraId="02A440A9">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10</w:t>
            </w:r>
          </w:p>
        </w:tc>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002C3A">
            <w:pPr>
              <w:jc w:val="center"/>
              <w:rPr>
                <w:rFonts w:hint="eastAsia" w:ascii="宋体" w:hAnsi="宋体" w:cs="宋体"/>
                <w:b/>
                <w:bCs/>
                <w:color w:val="auto"/>
                <w:szCs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580B6CE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机载喊话器</w:t>
            </w:r>
          </w:p>
        </w:tc>
        <w:tc>
          <w:tcPr>
            <w:tcW w:w="2038" w:type="pct"/>
            <w:tcBorders>
              <w:top w:val="single" w:color="000000" w:sz="4" w:space="0"/>
              <w:left w:val="single" w:color="000000" w:sz="4" w:space="0"/>
              <w:bottom w:val="single" w:color="000000" w:sz="4" w:space="0"/>
              <w:right w:val="single" w:color="000000" w:sz="4" w:space="0"/>
            </w:tcBorders>
            <w:noWrap w:val="0"/>
            <w:vAlign w:val="center"/>
          </w:tcPr>
          <w:p w14:paraId="4AB6770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适配自动无人机的机载喊话器</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03A0AEE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9DDE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10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921B8DE">
            <w:pPr>
              <w:widowControl/>
              <w:jc w:val="center"/>
              <w:textAlignment w:val="center"/>
              <w:rPr>
                <w:rFonts w:hint="eastAsia" w:ascii="宋体" w:hAnsi="宋体" w:cs="宋体"/>
                <w:color w:val="auto"/>
                <w:kern w:val="0"/>
                <w:szCs w:val="21"/>
                <w:highlight w:val="none"/>
                <w:lang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5937539F">
            <w:pPr>
              <w:widowControl/>
              <w:jc w:val="center"/>
              <w:textAlignment w:val="center"/>
              <w:rPr>
                <w:rFonts w:hint="eastAsia" w:ascii="宋体" w:hAnsi="宋体" w:cs="宋体"/>
                <w:color w:val="auto"/>
                <w:kern w:val="0"/>
                <w:szCs w:val="21"/>
                <w:highlight w:val="none"/>
                <w:lang w:bidi="ar"/>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C652504">
            <w:pPr>
              <w:widowControl/>
              <w:jc w:val="center"/>
              <w:textAlignment w:val="center"/>
              <w:rPr>
                <w:rFonts w:hint="eastAsia" w:ascii="宋体" w:hAnsi="宋体" w:cs="宋体"/>
                <w:color w:val="auto"/>
                <w:kern w:val="0"/>
                <w:szCs w:val="21"/>
                <w:highlight w:val="none"/>
                <w:lang w:bidi="ar"/>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14:paraId="53A1DEAE">
            <w:pPr>
              <w:widowControl/>
              <w:jc w:val="center"/>
              <w:textAlignment w:val="center"/>
              <w:rPr>
                <w:rFonts w:hint="eastAsia" w:ascii="宋体" w:hAnsi="宋体" w:cs="宋体"/>
                <w:color w:val="auto"/>
                <w:szCs w:val="21"/>
                <w:highlight w:val="none"/>
              </w:rPr>
            </w:pPr>
          </w:p>
        </w:tc>
      </w:tr>
      <w:tr w14:paraId="15C80708">
        <w:tblPrEx>
          <w:tblCellMar>
            <w:top w:w="0" w:type="dxa"/>
            <w:left w:w="108" w:type="dxa"/>
            <w:bottom w:w="0" w:type="dxa"/>
            <w:right w:w="108" w:type="dxa"/>
          </w:tblCellMar>
        </w:tblPrEx>
        <w:trPr>
          <w:trHeight w:val="1180" w:hRule="atLeast"/>
        </w:trPr>
        <w:tc>
          <w:tcPr>
            <w:tcW w:w="204" w:type="pct"/>
            <w:tcBorders>
              <w:top w:val="single" w:color="000000" w:sz="4" w:space="0"/>
              <w:left w:val="single" w:color="000000" w:sz="4" w:space="0"/>
              <w:bottom w:val="single" w:color="000000" w:sz="4" w:space="0"/>
              <w:right w:val="single" w:color="000000" w:sz="4" w:space="0"/>
            </w:tcBorders>
            <w:noWrap w:val="0"/>
            <w:vAlign w:val="center"/>
          </w:tcPr>
          <w:p w14:paraId="27364500">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11</w:t>
            </w:r>
          </w:p>
        </w:tc>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AF5697">
            <w:pPr>
              <w:jc w:val="center"/>
              <w:rPr>
                <w:rFonts w:hint="eastAsia" w:ascii="宋体" w:hAnsi="宋体" w:cs="宋体"/>
                <w:b/>
                <w:bCs/>
                <w:color w:val="auto"/>
                <w:szCs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59C4674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无人机内存卡</w:t>
            </w:r>
          </w:p>
        </w:tc>
        <w:tc>
          <w:tcPr>
            <w:tcW w:w="2038" w:type="pct"/>
            <w:tcBorders>
              <w:top w:val="single" w:color="000000" w:sz="4" w:space="0"/>
              <w:left w:val="single" w:color="000000" w:sz="4" w:space="0"/>
              <w:bottom w:val="single" w:color="000000" w:sz="4" w:space="0"/>
              <w:right w:val="single" w:color="000000" w:sz="4" w:space="0"/>
            </w:tcBorders>
            <w:noWrap w:val="0"/>
            <w:vAlign w:val="center"/>
          </w:tcPr>
          <w:p w14:paraId="7BADF523">
            <w:pPr>
              <w:widowControl/>
              <w:jc w:val="left"/>
              <w:textAlignment w:val="center"/>
              <w:rPr>
                <w:rFonts w:hint="eastAsia" w:ascii="宋体" w:hAnsi="宋体" w:cs="宋体"/>
                <w:color w:val="auto"/>
                <w:szCs w:val="21"/>
                <w:highlight w:val="none"/>
              </w:rPr>
            </w:pPr>
            <w:r>
              <w:rPr>
                <w:rStyle w:val="30"/>
                <w:color w:val="auto"/>
                <w:sz w:val="21"/>
                <w:szCs w:val="21"/>
                <w:highlight w:val="none"/>
                <w:lang w:bidi="ar"/>
              </w:rPr>
              <w:t>10</w:t>
            </w:r>
            <w:r>
              <w:rPr>
                <w:rStyle w:val="35"/>
                <w:rFonts w:ascii="宋体" w:hAnsi="宋体" w:eastAsia="宋体" w:cs="宋体"/>
                <w:color w:val="auto"/>
                <w:sz w:val="21"/>
                <w:szCs w:val="21"/>
                <w:highlight w:val="none"/>
                <w:lang w:bidi="ar"/>
              </w:rPr>
              <w:t>台机场内的无人机及2台手持飞行无人机均需配备TF内存卡，需满足为U3/Class10/V30及以上的存储卡，单张容量不得低于128G</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475110C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7A1C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12</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EE4A608">
            <w:pPr>
              <w:widowControl/>
              <w:jc w:val="center"/>
              <w:textAlignment w:val="center"/>
              <w:rPr>
                <w:rFonts w:hint="eastAsia" w:ascii="宋体" w:hAnsi="宋体" w:cs="宋体"/>
                <w:color w:val="auto"/>
                <w:kern w:val="0"/>
                <w:szCs w:val="21"/>
                <w:highlight w:val="none"/>
                <w:lang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5AC5C4E6">
            <w:pPr>
              <w:widowControl/>
              <w:jc w:val="center"/>
              <w:textAlignment w:val="center"/>
              <w:rPr>
                <w:rFonts w:hint="eastAsia" w:ascii="宋体" w:hAnsi="宋体" w:cs="宋体"/>
                <w:color w:val="auto"/>
                <w:kern w:val="0"/>
                <w:szCs w:val="21"/>
                <w:highlight w:val="none"/>
                <w:lang w:bidi="ar"/>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EBA10AD">
            <w:pPr>
              <w:widowControl/>
              <w:jc w:val="center"/>
              <w:textAlignment w:val="center"/>
              <w:rPr>
                <w:rFonts w:hint="eastAsia" w:ascii="宋体" w:hAnsi="宋体" w:cs="宋体"/>
                <w:color w:val="auto"/>
                <w:kern w:val="0"/>
                <w:szCs w:val="21"/>
                <w:highlight w:val="none"/>
                <w:lang w:bidi="ar"/>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14:paraId="6301D83F">
            <w:pPr>
              <w:widowControl/>
              <w:jc w:val="center"/>
              <w:textAlignment w:val="center"/>
              <w:rPr>
                <w:rFonts w:hint="eastAsia" w:ascii="宋体" w:hAnsi="宋体" w:cs="宋体"/>
                <w:color w:val="auto"/>
                <w:szCs w:val="21"/>
                <w:highlight w:val="none"/>
              </w:rPr>
            </w:pPr>
          </w:p>
        </w:tc>
      </w:tr>
      <w:tr w14:paraId="3B7F10B0">
        <w:tblPrEx>
          <w:tblCellMar>
            <w:top w:w="0" w:type="dxa"/>
            <w:left w:w="108" w:type="dxa"/>
            <w:bottom w:w="0" w:type="dxa"/>
            <w:right w:w="108" w:type="dxa"/>
          </w:tblCellMar>
        </w:tblPrEx>
        <w:trPr>
          <w:trHeight w:val="540" w:hRule="atLeast"/>
        </w:trPr>
        <w:tc>
          <w:tcPr>
            <w:tcW w:w="204" w:type="pct"/>
            <w:tcBorders>
              <w:top w:val="single" w:color="000000" w:sz="4" w:space="0"/>
              <w:left w:val="single" w:color="000000" w:sz="4" w:space="0"/>
              <w:bottom w:val="single" w:color="000000" w:sz="4" w:space="0"/>
              <w:right w:val="single" w:color="000000" w:sz="4" w:space="0"/>
            </w:tcBorders>
            <w:noWrap w:val="0"/>
            <w:vAlign w:val="center"/>
          </w:tcPr>
          <w:p w14:paraId="4375BE91">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12</w:t>
            </w:r>
          </w:p>
        </w:tc>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526E93">
            <w:pPr>
              <w:jc w:val="center"/>
              <w:rPr>
                <w:rFonts w:hint="eastAsia" w:ascii="宋体" w:hAnsi="宋体" w:cs="宋体"/>
                <w:b/>
                <w:bCs/>
                <w:color w:val="auto"/>
                <w:szCs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4483C0EB">
            <w:pPr>
              <w:widowControl/>
              <w:jc w:val="center"/>
              <w:textAlignment w:val="center"/>
              <w:rPr>
                <w:rFonts w:hint="eastAsia" w:ascii="宋体" w:hAnsi="宋体" w:cs="宋体"/>
                <w:color w:val="auto"/>
                <w:szCs w:val="21"/>
                <w:highlight w:val="none"/>
              </w:rPr>
            </w:pPr>
            <w:r>
              <w:rPr>
                <w:rStyle w:val="30"/>
                <w:color w:val="auto"/>
                <w:sz w:val="21"/>
                <w:szCs w:val="21"/>
                <w:highlight w:val="none"/>
                <w:lang w:bidi="ar"/>
              </w:rPr>
              <w:t>4G</w:t>
            </w:r>
            <w:r>
              <w:rPr>
                <w:rStyle w:val="36"/>
                <w:rFonts w:ascii="宋体" w:hAnsi="宋体" w:eastAsia="宋体" w:cs="宋体"/>
                <w:color w:val="auto"/>
                <w:highlight w:val="none"/>
                <w:lang w:bidi="ar"/>
              </w:rPr>
              <w:t>通信模块</w:t>
            </w:r>
          </w:p>
        </w:tc>
        <w:tc>
          <w:tcPr>
            <w:tcW w:w="2038" w:type="pct"/>
            <w:tcBorders>
              <w:top w:val="single" w:color="000000" w:sz="4" w:space="0"/>
              <w:left w:val="single" w:color="000000" w:sz="4" w:space="0"/>
              <w:bottom w:val="single" w:color="000000" w:sz="4" w:space="0"/>
              <w:right w:val="single" w:color="000000" w:sz="4" w:space="0"/>
            </w:tcBorders>
            <w:noWrap w:val="0"/>
            <w:vAlign w:val="center"/>
          </w:tcPr>
          <w:p w14:paraId="1BB1619A">
            <w:pPr>
              <w:widowControl/>
              <w:jc w:val="left"/>
              <w:textAlignment w:val="center"/>
              <w:rPr>
                <w:rFonts w:hint="eastAsia" w:ascii="宋体" w:hAnsi="宋体" w:cs="宋体"/>
                <w:color w:val="auto"/>
                <w:szCs w:val="21"/>
                <w:highlight w:val="none"/>
              </w:rPr>
            </w:pPr>
            <w:r>
              <w:rPr>
                <w:rStyle w:val="30"/>
                <w:color w:val="auto"/>
                <w:sz w:val="21"/>
                <w:szCs w:val="21"/>
                <w:highlight w:val="none"/>
                <w:lang w:bidi="ar"/>
              </w:rPr>
              <w:t>所有自动无人机、自动机场各装</w:t>
            </w:r>
            <w:r>
              <w:rPr>
                <w:rStyle w:val="36"/>
                <w:rFonts w:ascii="宋体" w:hAnsi="宋体" w:eastAsia="宋体" w:cs="宋体"/>
                <w:color w:val="auto"/>
                <w:highlight w:val="none"/>
                <w:lang w:bidi="ar"/>
              </w:rPr>
              <w:t>1个</w:t>
            </w:r>
          </w:p>
        </w:tc>
        <w:tc>
          <w:tcPr>
            <w:tcW w:w="232" w:type="pct"/>
            <w:tcBorders>
              <w:top w:val="single" w:color="000000" w:sz="4" w:space="0"/>
              <w:left w:val="single" w:color="000000" w:sz="4" w:space="0"/>
              <w:bottom w:val="single" w:color="000000" w:sz="4" w:space="0"/>
              <w:right w:val="single" w:color="000000" w:sz="4" w:space="0"/>
            </w:tcBorders>
            <w:noWrap w:val="0"/>
            <w:vAlign w:val="top"/>
          </w:tcPr>
          <w:p w14:paraId="4310A1E1">
            <w:pPr>
              <w:widowControl/>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A04D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20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3B92615">
            <w:pPr>
              <w:widowControl/>
              <w:jc w:val="center"/>
              <w:textAlignment w:val="center"/>
              <w:rPr>
                <w:rFonts w:hint="eastAsia" w:ascii="宋体" w:hAnsi="宋体" w:cs="宋体"/>
                <w:color w:val="auto"/>
                <w:kern w:val="0"/>
                <w:szCs w:val="21"/>
                <w:highlight w:val="none"/>
                <w:lang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69D4C7FF">
            <w:pPr>
              <w:widowControl/>
              <w:jc w:val="center"/>
              <w:textAlignment w:val="center"/>
              <w:rPr>
                <w:rFonts w:hint="eastAsia" w:ascii="宋体" w:hAnsi="宋体" w:cs="宋体"/>
                <w:color w:val="auto"/>
                <w:kern w:val="0"/>
                <w:szCs w:val="21"/>
                <w:highlight w:val="none"/>
                <w:lang w:bidi="ar"/>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ADAC97F">
            <w:pPr>
              <w:widowControl/>
              <w:jc w:val="center"/>
              <w:textAlignment w:val="center"/>
              <w:rPr>
                <w:rFonts w:hint="eastAsia" w:ascii="宋体" w:hAnsi="宋体" w:cs="宋体"/>
                <w:color w:val="auto"/>
                <w:kern w:val="0"/>
                <w:szCs w:val="21"/>
                <w:highlight w:val="none"/>
                <w:lang w:bidi="ar"/>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14:paraId="36E1C6B1">
            <w:pPr>
              <w:widowControl/>
              <w:jc w:val="center"/>
              <w:textAlignment w:val="center"/>
              <w:rPr>
                <w:rFonts w:hint="eastAsia" w:ascii="宋体" w:hAnsi="宋体" w:cs="宋体"/>
                <w:color w:val="auto"/>
                <w:szCs w:val="21"/>
                <w:highlight w:val="none"/>
              </w:rPr>
            </w:pPr>
          </w:p>
        </w:tc>
      </w:tr>
      <w:tr w14:paraId="4F3C5643">
        <w:tblPrEx>
          <w:tblCellMar>
            <w:top w:w="0" w:type="dxa"/>
            <w:left w:w="108" w:type="dxa"/>
            <w:bottom w:w="0" w:type="dxa"/>
            <w:right w:w="108" w:type="dxa"/>
          </w:tblCellMar>
        </w:tblPrEx>
        <w:trPr>
          <w:trHeight w:val="640" w:hRule="atLeast"/>
        </w:trPr>
        <w:tc>
          <w:tcPr>
            <w:tcW w:w="204" w:type="pct"/>
            <w:tcBorders>
              <w:top w:val="single" w:color="000000" w:sz="4" w:space="0"/>
              <w:left w:val="single" w:color="000000" w:sz="4" w:space="0"/>
              <w:bottom w:val="single" w:color="000000" w:sz="4" w:space="0"/>
              <w:right w:val="single" w:color="000000" w:sz="4" w:space="0"/>
            </w:tcBorders>
            <w:noWrap w:val="0"/>
            <w:vAlign w:val="center"/>
          </w:tcPr>
          <w:p w14:paraId="4AAD8D58">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kern w:val="0"/>
                <w:szCs w:val="21"/>
                <w:highlight w:val="none"/>
                <w:lang w:val="en-US" w:eastAsia="zh-CN" w:bidi="ar"/>
              </w:rPr>
              <w:t>13</w:t>
            </w:r>
          </w:p>
        </w:tc>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8B5F70">
            <w:pPr>
              <w:jc w:val="center"/>
              <w:rPr>
                <w:rFonts w:hint="eastAsia" w:ascii="宋体" w:hAnsi="宋体" w:cs="宋体"/>
                <w:b/>
                <w:bCs/>
                <w:color w:val="auto"/>
                <w:szCs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9166C0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4G物联网卡</w:t>
            </w:r>
          </w:p>
        </w:tc>
        <w:tc>
          <w:tcPr>
            <w:tcW w:w="2038" w:type="pct"/>
            <w:tcBorders>
              <w:top w:val="single" w:color="000000" w:sz="4" w:space="0"/>
              <w:left w:val="single" w:color="000000" w:sz="4" w:space="0"/>
              <w:bottom w:val="single" w:color="000000" w:sz="4" w:space="0"/>
              <w:right w:val="single" w:color="000000" w:sz="4" w:space="0"/>
            </w:tcBorders>
            <w:noWrap w:val="0"/>
            <w:vAlign w:val="center"/>
          </w:tcPr>
          <w:p w14:paraId="7C17376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10个无人机场、10个自动无人机各装1张，共20张，包含3年套餐通讯费用</w:t>
            </w:r>
          </w:p>
        </w:tc>
        <w:tc>
          <w:tcPr>
            <w:tcW w:w="232" w:type="pct"/>
            <w:tcBorders>
              <w:top w:val="single" w:color="000000" w:sz="4" w:space="0"/>
              <w:left w:val="single" w:color="000000" w:sz="4" w:space="0"/>
              <w:bottom w:val="single" w:color="000000" w:sz="4" w:space="0"/>
              <w:right w:val="single" w:color="000000" w:sz="4" w:space="0"/>
            </w:tcBorders>
            <w:noWrap w:val="0"/>
            <w:vAlign w:val="top"/>
          </w:tcPr>
          <w:p w14:paraId="1E99C868">
            <w:pPr>
              <w:widowControl/>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DCCD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20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1323263">
            <w:pPr>
              <w:widowControl/>
              <w:jc w:val="center"/>
              <w:textAlignment w:val="center"/>
              <w:rPr>
                <w:rFonts w:hint="eastAsia" w:ascii="宋体" w:hAnsi="宋体" w:cs="宋体"/>
                <w:color w:val="auto"/>
                <w:kern w:val="0"/>
                <w:szCs w:val="21"/>
                <w:highlight w:val="none"/>
                <w:lang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489551A0">
            <w:pPr>
              <w:widowControl/>
              <w:jc w:val="center"/>
              <w:textAlignment w:val="center"/>
              <w:rPr>
                <w:rFonts w:hint="eastAsia" w:ascii="宋体" w:hAnsi="宋体" w:cs="宋体"/>
                <w:color w:val="auto"/>
                <w:kern w:val="0"/>
                <w:szCs w:val="21"/>
                <w:highlight w:val="none"/>
                <w:lang w:bidi="ar"/>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DC7FCBA">
            <w:pPr>
              <w:widowControl/>
              <w:jc w:val="center"/>
              <w:textAlignment w:val="center"/>
              <w:rPr>
                <w:rFonts w:hint="eastAsia" w:ascii="宋体" w:hAnsi="宋体" w:cs="宋体"/>
                <w:color w:val="auto"/>
                <w:kern w:val="0"/>
                <w:szCs w:val="21"/>
                <w:highlight w:val="none"/>
                <w:lang w:bidi="ar"/>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14:paraId="51162E5B">
            <w:pPr>
              <w:widowControl/>
              <w:jc w:val="center"/>
              <w:textAlignment w:val="center"/>
              <w:rPr>
                <w:rFonts w:hint="eastAsia" w:ascii="宋体" w:hAnsi="宋体" w:cs="宋体"/>
                <w:color w:val="auto"/>
                <w:szCs w:val="21"/>
                <w:highlight w:val="none"/>
              </w:rPr>
            </w:pPr>
          </w:p>
        </w:tc>
      </w:tr>
      <w:tr w14:paraId="7956D32F">
        <w:tblPrEx>
          <w:tblCellMar>
            <w:top w:w="0" w:type="dxa"/>
            <w:left w:w="108" w:type="dxa"/>
            <w:bottom w:w="0" w:type="dxa"/>
            <w:right w:w="108" w:type="dxa"/>
          </w:tblCellMar>
        </w:tblPrEx>
        <w:trPr>
          <w:trHeight w:val="460" w:hRule="atLeast"/>
        </w:trPr>
        <w:tc>
          <w:tcPr>
            <w:tcW w:w="204" w:type="pct"/>
            <w:tcBorders>
              <w:top w:val="single" w:color="000000" w:sz="4" w:space="0"/>
              <w:left w:val="single" w:color="000000" w:sz="4" w:space="0"/>
              <w:bottom w:val="single" w:color="000000" w:sz="4" w:space="0"/>
              <w:right w:val="single" w:color="000000" w:sz="4" w:space="0"/>
            </w:tcBorders>
            <w:noWrap w:val="0"/>
            <w:vAlign w:val="center"/>
          </w:tcPr>
          <w:p w14:paraId="317967A7">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kern w:val="0"/>
                <w:szCs w:val="21"/>
                <w:highlight w:val="none"/>
                <w:lang w:val="en-US" w:eastAsia="zh-CN" w:bidi="ar"/>
              </w:rPr>
              <w:t>14</w:t>
            </w:r>
          </w:p>
        </w:tc>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D9826F">
            <w:pPr>
              <w:jc w:val="center"/>
              <w:rPr>
                <w:rFonts w:hint="eastAsia" w:ascii="宋体" w:hAnsi="宋体" w:cs="宋体"/>
                <w:b/>
                <w:bCs/>
                <w:color w:val="auto"/>
                <w:szCs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F438C1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手持终端</w:t>
            </w:r>
          </w:p>
        </w:tc>
        <w:tc>
          <w:tcPr>
            <w:tcW w:w="2038" w:type="pct"/>
            <w:tcBorders>
              <w:top w:val="single" w:color="000000" w:sz="4" w:space="0"/>
              <w:left w:val="single" w:color="000000" w:sz="4" w:space="0"/>
              <w:bottom w:val="single" w:color="000000" w:sz="4" w:space="0"/>
              <w:right w:val="single" w:color="000000" w:sz="4" w:space="0"/>
            </w:tcBorders>
            <w:noWrap w:val="0"/>
            <w:vAlign w:val="center"/>
          </w:tcPr>
          <w:p w14:paraId="793722A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6台，含3年4G物联网卡或套餐通信费</w:t>
            </w:r>
          </w:p>
        </w:tc>
        <w:tc>
          <w:tcPr>
            <w:tcW w:w="232" w:type="pct"/>
            <w:tcBorders>
              <w:top w:val="single" w:color="000000" w:sz="4" w:space="0"/>
              <w:left w:val="single" w:color="000000" w:sz="4" w:space="0"/>
              <w:bottom w:val="single" w:color="000000" w:sz="4" w:space="0"/>
              <w:right w:val="single" w:color="000000" w:sz="4" w:space="0"/>
            </w:tcBorders>
            <w:noWrap w:val="0"/>
            <w:vAlign w:val="top"/>
          </w:tcPr>
          <w:p w14:paraId="5ABB8FB0">
            <w:pPr>
              <w:widowControl/>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8208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6</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2152DBF">
            <w:pPr>
              <w:widowControl/>
              <w:jc w:val="center"/>
              <w:textAlignment w:val="center"/>
              <w:rPr>
                <w:rFonts w:hint="eastAsia" w:ascii="宋体" w:hAnsi="宋体" w:cs="宋体"/>
                <w:color w:val="auto"/>
                <w:kern w:val="0"/>
                <w:szCs w:val="21"/>
                <w:highlight w:val="none"/>
                <w:lang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0A86EF83">
            <w:pPr>
              <w:widowControl/>
              <w:jc w:val="center"/>
              <w:textAlignment w:val="center"/>
              <w:rPr>
                <w:rFonts w:hint="eastAsia" w:ascii="宋体" w:hAnsi="宋体" w:cs="宋体"/>
                <w:color w:val="auto"/>
                <w:kern w:val="0"/>
                <w:szCs w:val="21"/>
                <w:highlight w:val="none"/>
                <w:lang w:bidi="ar"/>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6624EF5">
            <w:pPr>
              <w:widowControl/>
              <w:jc w:val="center"/>
              <w:textAlignment w:val="center"/>
              <w:rPr>
                <w:rFonts w:hint="eastAsia" w:ascii="宋体" w:hAnsi="宋体" w:cs="宋体"/>
                <w:color w:val="auto"/>
                <w:kern w:val="0"/>
                <w:szCs w:val="21"/>
                <w:highlight w:val="none"/>
                <w:lang w:bidi="ar"/>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14:paraId="50150850">
            <w:pPr>
              <w:widowControl/>
              <w:jc w:val="center"/>
              <w:textAlignment w:val="center"/>
              <w:rPr>
                <w:rFonts w:hint="eastAsia" w:ascii="宋体" w:hAnsi="宋体" w:cs="宋体"/>
                <w:color w:val="auto"/>
                <w:szCs w:val="21"/>
                <w:highlight w:val="none"/>
              </w:rPr>
            </w:pPr>
          </w:p>
        </w:tc>
      </w:tr>
      <w:tr w14:paraId="58FFA320">
        <w:tblPrEx>
          <w:tblCellMar>
            <w:top w:w="0" w:type="dxa"/>
            <w:left w:w="108" w:type="dxa"/>
            <w:bottom w:w="0" w:type="dxa"/>
            <w:right w:w="108" w:type="dxa"/>
          </w:tblCellMar>
        </w:tblPrEx>
        <w:trPr>
          <w:trHeight w:val="2482" w:hRule="atLeast"/>
        </w:trPr>
        <w:tc>
          <w:tcPr>
            <w:tcW w:w="204" w:type="pct"/>
            <w:tcBorders>
              <w:top w:val="single" w:color="000000" w:sz="4" w:space="0"/>
              <w:left w:val="single" w:color="000000" w:sz="4" w:space="0"/>
              <w:bottom w:val="single" w:color="000000" w:sz="4" w:space="0"/>
              <w:right w:val="single" w:color="000000" w:sz="4" w:space="0"/>
            </w:tcBorders>
            <w:noWrap w:val="0"/>
            <w:vAlign w:val="center"/>
          </w:tcPr>
          <w:p w14:paraId="409B9D2F">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kern w:val="0"/>
                <w:szCs w:val="21"/>
                <w:highlight w:val="none"/>
                <w:lang w:val="en-US" w:eastAsia="zh-CN" w:bidi="ar"/>
              </w:rPr>
              <w:t>15</w:t>
            </w:r>
          </w:p>
        </w:tc>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8028EE">
            <w:pPr>
              <w:jc w:val="center"/>
              <w:rPr>
                <w:rFonts w:hint="eastAsia" w:ascii="宋体" w:hAnsi="宋体" w:cs="宋体"/>
                <w:b/>
                <w:bCs/>
                <w:color w:val="auto"/>
                <w:szCs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5603AFB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系统操作工作站</w:t>
            </w:r>
          </w:p>
        </w:tc>
        <w:tc>
          <w:tcPr>
            <w:tcW w:w="2038" w:type="pct"/>
            <w:tcBorders>
              <w:top w:val="single" w:color="000000" w:sz="4" w:space="0"/>
              <w:left w:val="single" w:color="000000" w:sz="4" w:space="0"/>
              <w:bottom w:val="single" w:color="000000" w:sz="4" w:space="0"/>
              <w:right w:val="single" w:color="000000" w:sz="4" w:space="0"/>
            </w:tcBorders>
            <w:noWrap w:val="0"/>
            <w:vAlign w:val="center"/>
          </w:tcPr>
          <w:p w14:paraId="1969FCEC">
            <w:pPr>
              <w:widowControl/>
              <w:jc w:val="left"/>
              <w:textAlignment w:val="center"/>
              <w:rPr>
                <w:rStyle w:val="36"/>
                <w:rFonts w:ascii="宋体" w:hAnsi="宋体" w:eastAsia="宋体" w:cs="宋体"/>
                <w:color w:val="auto"/>
                <w:highlight w:val="none"/>
                <w:lang w:bidi="ar"/>
              </w:rPr>
            </w:pPr>
            <w:r>
              <w:rPr>
                <w:rStyle w:val="30"/>
                <w:color w:val="auto"/>
                <w:sz w:val="21"/>
                <w:szCs w:val="21"/>
                <w:highlight w:val="none"/>
                <w:lang w:bidi="ar"/>
              </w:rPr>
              <w:t>处理器配置不低于</w:t>
            </w:r>
            <w:r>
              <w:rPr>
                <w:rStyle w:val="36"/>
                <w:rFonts w:ascii="宋体" w:hAnsi="宋体" w:eastAsia="宋体" w:cs="宋体"/>
                <w:color w:val="auto"/>
                <w:highlight w:val="none"/>
                <w:lang w:bidi="ar"/>
              </w:rPr>
              <w:t>i7-11700；内存大小不低于16GB；硬盘大小不低于512G SSD+1TB 机械硬盘；显卡不低于RTX 4080；电源不低于750W；不低于27寸2K分辨率的显示屏；包括其他必要配件。</w:t>
            </w:r>
          </w:p>
          <w:p w14:paraId="351AEBDD">
            <w:pPr>
              <w:widowControl/>
              <w:jc w:val="left"/>
              <w:textAlignment w:val="center"/>
              <w:rPr>
                <w:rStyle w:val="36"/>
                <w:rFonts w:hint="eastAsia" w:ascii="宋体" w:hAnsi="宋体" w:eastAsia="宋体" w:cs="宋体"/>
                <w:color w:val="auto"/>
                <w:highlight w:val="none"/>
                <w:lang w:val="en-US" w:eastAsia="zh-CN" w:bidi="ar"/>
              </w:rPr>
            </w:pPr>
            <w:r>
              <w:rPr>
                <w:rStyle w:val="36"/>
                <w:rFonts w:hint="eastAsia" w:ascii="宋体" w:hAnsi="宋体" w:cs="宋体"/>
                <w:color w:val="auto"/>
                <w:highlight w:val="none"/>
                <w:lang w:val="en-US" w:eastAsia="zh-CN" w:bidi="ar"/>
              </w:rPr>
              <w:t>显示</w:t>
            </w:r>
            <w:r>
              <w:rPr>
                <w:rStyle w:val="36"/>
                <w:rFonts w:hint="eastAsia" w:ascii="宋体" w:hAnsi="宋体" w:eastAsia="宋体" w:cs="宋体"/>
                <w:color w:val="auto"/>
                <w:highlight w:val="none"/>
                <w:lang w:val="en-US" w:eastAsia="zh-CN" w:bidi="ar"/>
              </w:rPr>
              <w:t>大屏屏幕尺寸：不小于85英寸，分辨率：超高清4K（不小于3840*2160），内存：4GB，存储：32GB</w:t>
            </w:r>
            <w:r>
              <w:rPr>
                <w:rStyle w:val="36"/>
                <w:rFonts w:hint="eastAsia" w:ascii="宋体" w:hAnsi="宋体" w:cs="宋体"/>
                <w:color w:val="auto"/>
                <w:highlight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noWrap w:val="0"/>
            <w:vAlign w:val="top"/>
          </w:tcPr>
          <w:p w14:paraId="33DF38DE">
            <w:pPr>
              <w:widowControl/>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台</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58D4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1</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4C237FC">
            <w:pPr>
              <w:widowControl/>
              <w:jc w:val="center"/>
              <w:textAlignment w:val="center"/>
              <w:rPr>
                <w:rFonts w:hint="eastAsia" w:ascii="宋体" w:hAnsi="宋体" w:cs="宋体"/>
                <w:color w:val="auto"/>
                <w:kern w:val="0"/>
                <w:szCs w:val="21"/>
                <w:highlight w:val="none"/>
                <w:lang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334DEA3A">
            <w:pPr>
              <w:widowControl/>
              <w:jc w:val="center"/>
              <w:textAlignment w:val="center"/>
              <w:rPr>
                <w:rFonts w:hint="eastAsia" w:ascii="宋体" w:hAnsi="宋体" w:cs="宋体"/>
                <w:color w:val="auto"/>
                <w:kern w:val="0"/>
                <w:szCs w:val="21"/>
                <w:highlight w:val="none"/>
                <w:lang w:bidi="ar"/>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C343196">
            <w:pPr>
              <w:widowControl/>
              <w:jc w:val="center"/>
              <w:textAlignment w:val="center"/>
              <w:rPr>
                <w:rFonts w:hint="eastAsia" w:ascii="宋体" w:hAnsi="宋体" w:cs="宋体"/>
                <w:color w:val="auto"/>
                <w:kern w:val="0"/>
                <w:szCs w:val="21"/>
                <w:highlight w:val="none"/>
                <w:lang w:bidi="ar"/>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14:paraId="40CD131B">
            <w:pPr>
              <w:widowControl/>
              <w:jc w:val="center"/>
              <w:textAlignment w:val="center"/>
              <w:rPr>
                <w:rFonts w:hint="eastAsia" w:ascii="宋体" w:hAnsi="宋体" w:cs="宋体"/>
                <w:color w:val="auto"/>
                <w:szCs w:val="21"/>
                <w:highlight w:val="none"/>
              </w:rPr>
            </w:pPr>
          </w:p>
        </w:tc>
      </w:tr>
      <w:tr w14:paraId="5A8A7678">
        <w:tblPrEx>
          <w:tblCellMar>
            <w:top w:w="0" w:type="dxa"/>
            <w:left w:w="108" w:type="dxa"/>
            <w:bottom w:w="0" w:type="dxa"/>
            <w:right w:w="108" w:type="dxa"/>
          </w:tblCellMar>
        </w:tblPrEx>
        <w:trPr>
          <w:trHeight w:val="947" w:hRule="atLeast"/>
        </w:trPr>
        <w:tc>
          <w:tcPr>
            <w:tcW w:w="204" w:type="pct"/>
            <w:tcBorders>
              <w:top w:val="single" w:color="000000" w:sz="4" w:space="0"/>
              <w:left w:val="single" w:color="000000" w:sz="4" w:space="0"/>
              <w:bottom w:val="single" w:color="000000" w:sz="4" w:space="0"/>
              <w:right w:val="single" w:color="000000" w:sz="4" w:space="0"/>
            </w:tcBorders>
            <w:noWrap w:val="0"/>
            <w:vAlign w:val="center"/>
          </w:tcPr>
          <w:p w14:paraId="169C28E8">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kern w:val="0"/>
                <w:szCs w:val="21"/>
                <w:highlight w:val="none"/>
                <w:lang w:val="en-US" w:eastAsia="zh-CN" w:bidi="ar"/>
              </w:rPr>
              <w:t>16</w:t>
            </w:r>
          </w:p>
        </w:tc>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27F820">
            <w:pPr>
              <w:jc w:val="center"/>
              <w:rPr>
                <w:rFonts w:hint="eastAsia" w:ascii="宋体" w:hAnsi="宋体" w:cs="宋体"/>
                <w:b/>
                <w:bCs/>
                <w:color w:val="auto"/>
                <w:szCs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7A34F98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音箱</w:t>
            </w:r>
          </w:p>
        </w:tc>
        <w:tc>
          <w:tcPr>
            <w:tcW w:w="2038" w:type="pct"/>
            <w:tcBorders>
              <w:top w:val="single" w:color="000000" w:sz="4" w:space="0"/>
              <w:left w:val="single" w:color="000000" w:sz="4" w:space="0"/>
              <w:bottom w:val="single" w:color="000000" w:sz="4" w:space="0"/>
              <w:right w:val="single" w:color="000000" w:sz="4" w:space="0"/>
            </w:tcBorders>
            <w:noWrap w:val="0"/>
            <w:vAlign w:val="center"/>
          </w:tcPr>
          <w:p w14:paraId="62B3F76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在招标人办公电脑上配备</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台音箱用于播放报警语音；系统操作工作站配置1台音箱用于播放报警语音；</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3845ACA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56B7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3</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C143CFF">
            <w:pPr>
              <w:widowControl/>
              <w:jc w:val="center"/>
              <w:textAlignment w:val="center"/>
              <w:rPr>
                <w:rFonts w:hint="eastAsia" w:ascii="宋体" w:hAnsi="宋体" w:cs="宋体"/>
                <w:color w:val="auto"/>
                <w:kern w:val="0"/>
                <w:szCs w:val="21"/>
                <w:highlight w:val="none"/>
                <w:lang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58C65D58">
            <w:pPr>
              <w:widowControl/>
              <w:jc w:val="center"/>
              <w:textAlignment w:val="center"/>
              <w:rPr>
                <w:rFonts w:hint="eastAsia" w:ascii="宋体" w:hAnsi="宋体" w:cs="宋体"/>
                <w:color w:val="auto"/>
                <w:kern w:val="0"/>
                <w:szCs w:val="21"/>
                <w:highlight w:val="none"/>
                <w:lang w:bidi="ar"/>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CDD5BEF">
            <w:pPr>
              <w:widowControl/>
              <w:jc w:val="center"/>
              <w:textAlignment w:val="center"/>
              <w:rPr>
                <w:rFonts w:hint="eastAsia" w:ascii="宋体" w:hAnsi="宋体" w:cs="宋体"/>
                <w:color w:val="auto"/>
                <w:kern w:val="0"/>
                <w:szCs w:val="21"/>
                <w:highlight w:val="none"/>
                <w:lang w:bidi="ar"/>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14:paraId="6D461B2B">
            <w:pPr>
              <w:widowControl/>
              <w:jc w:val="center"/>
              <w:textAlignment w:val="center"/>
              <w:rPr>
                <w:rFonts w:hint="eastAsia" w:ascii="宋体" w:hAnsi="宋体" w:cs="宋体"/>
                <w:color w:val="auto"/>
                <w:szCs w:val="21"/>
                <w:highlight w:val="none"/>
              </w:rPr>
            </w:pPr>
          </w:p>
        </w:tc>
      </w:tr>
      <w:tr w14:paraId="32F7E63C">
        <w:tblPrEx>
          <w:tblCellMar>
            <w:top w:w="0" w:type="dxa"/>
            <w:left w:w="108" w:type="dxa"/>
            <w:bottom w:w="0" w:type="dxa"/>
            <w:right w:w="108" w:type="dxa"/>
          </w:tblCellMar>
        </w:tblPrEx>
        <w:trPr>
          <w:trHeight w:val="540" w:hRule="atLeast"/>
        </w:trPr>
        <w:tc>
          <w:tcPr>
            <w:tcW w:w="204" w:type="pct"/>
            <w:tcBorders>
              <w:top w:val="single" w:color="000000" w:sz="4" w:space="0"/>
              <w:left w:val="single" w:color="000000" w:sz="4" w:space="0"/>
              <w:bottom w:val="single" w:color="000000" w:sz="4" w:space="0"/>
              <w:right w:val="single" w:color="000000" w:sz="4" w:space="0"/>
            </w:tcBorders>
            <w:noWrap w:val="0"/>
            <w:vAlign w:val="center"/>
          </w:tcPr>
          <w:p w14:paraId="29A18421">
            <w:pPr>
              <w:widowControl/>
              <w:jc w:val="center"/>
              <w:textAlignment w:val="center"/>
              <w:rPr>
                <w:rFonts w:hint="default" w:ascii="宋体" w:hAnsi="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17</w:t>
            </w:r>
          </w:p>
        </w:tc>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CA6B17">
            <w:pPr>
              <w:jc w:val="center"/>
              <w:rPr>
                <w:rFonts w:hint="eastAsia" w:ascii="宋体" w:hAnsi="宋体" w:cs="宋体"/>
                <w:b/>
                <w:bCs/>
                <w:color w:val="auto"/>
                <w:szCs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FA4073D">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巡查电动自行车</w:t>
            </w:r>
          </w:p>
        </w:tc>
        <w:tc>
          <w:tcPr>
            <w:tcW w:w="2038" w:type="pct"/>
            <w:tcBorders>
              <w:top w:val="single" w:color="000000" w:sz="4" w:space="0"/>
              <w:left w:val="single" w:color="000000" w:sz="4" w:space="0"/>
              <w:bottom w:val="single" w:color="000000" w:sz="4" w:space="0"/>
              <w:right w:val="single" w:color="000000" w:sz="4" w:space="0"/>
            </w:tcBorders>
            <w:noWrap w:val="0"/>
            <w:vAlign w:val="center"/>
          </w:tcPr>
          <w:p w14:paraId="71888ADF">
            <w:pPr>
              <w:widowControl/>
              <w:jc w:val="left"/>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可折叠，续航里程不少于30KM</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14:paraId="621AA151">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辆</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6584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D1380FE">
            <w:pPr>
              <w:widowControl/>
              <w:jc w:val="center"/>
              <w:textAlignment w:val="center"/>
              <w:rPr>
                <w:rFonts w:hint="eastAsia" w:ascii="宋体" w:hAnsi="宋体" w:cs="宋体"/>
                <w:color w:val="auto"/>
                <w:kern w:val="0"/>
                <w:szCs w:val="21"/>
                <w:highlight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57C04659">
            <w:pPr>
              <w:widowControl/>
              <w:jc w:val="center"/>
              <w:textAlignment w:val="center"/>
              <w:rPr>
                <w:rFonts w:hint="eastAsia" w:ascii="宋体" w:hAnsi="宋体" w:cs="宋体"/>
                <w:color w:val="auto"/>
                <w:kern w:val="0"/>
                <w:szCs w:val="21"/>
                <w:highlight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9C0D926">
            <w:pPr>
              <w:widowControl/>
              <w:jc w:val="center"/>
              <w:textAlignment w:val="center"/>
              <w:rPr>
                <w:rFonts w:hint="eastAsia" w:ascii="宋体" w:hAnsi="宋体" w:cs="宋体"/>
                <w:color w:val="auto"/>
                <w:kern w:val="0"/>
                <w:szCs w:val="21"/>
                <w:highlight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14:paraId="19313B8D">
            <w:pPr>
              <w:widowControl/>
              <w:jc w:val="center"/>
              <w:textAlignment w:val="center"/>
              <w:rPr>
                <w:rFonts w:hint="eastAsia" w:ascii="宋体" w:hAnsi="宋体" w:eastAsia="宋体" w:cs="宋体"/>
                <w:color w:val="auto"/>
                <w:kern w:val="0"/>
                <w:szCs w:val="21"/>
                <w:highlight w:val="none"/>
                <w:lang w:val="en-US" w:eastAsia="zh-CN" w:bidi="ar"/>
              </w:rPr>
            </w:pPr>
          </w:p>
        </w:tc>
      </w:tr>
      <w:tr w14:paraId="086D6D22">
        <w:tblPrEx>
          <w:tblCellMar>
            <w:top w:w="0" w:type="dxa"/>
            <w:left w:w="108" w:type="dxa"/>
            <w:bottom w:w="0" w:type="dxa"/>
            <w:right w:w="108" w:type="dxa"/>
          </w:tblCellMar>
        </w:tblPrEx>
        <w:trPr>
          <w:trHeight w:val="2953" w:hRule="atLeast"/>
        </w:trPr>
        <w:tc>
          <w:tcPr>
            <w:tcW w:w="204" w:type="pct"/>
            <w:tcBorders>
              <w:top w:val="single" w:color="000000" w:sz="4" w:space="0"/>
              <w:left w:val="single" w:color="000000" w:sz="4" w:space="0"/>
              <w:bottom w:val="single" w:color="auto" w:sz="4" w:space="0"/>
              <w:right w:val="single" w:color="000000" w:sz="4" w:space="0"/>
            </w:tcBorders>
            <w:noWrap w:val="0"/>
            <w:vAlign w:val="center"/>
          </w:tcPr>
          <w:p w14:paraId="5F85AF6B">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kern w:val="0"/>
                <w:szCs w:val="21"/>
                <w:highlight w:val="none"/>
                <w:lang w:val="en-US" w:eastAsia="zh-CN" w:bidi="ar"/>
              </w:rPr>
              <w:t>18</w:t>
            </w:r>
          </w:p>
        </w:tc>
        <w:tc>
          <w:tcPr>
            <w:tcW w:w="304" w:type="pct"/>
            <w:vMerge w:val="continue"/>
            <w:tcBorders>
              <w:top w:val="single" w:color="000000" w:sz="4" w:space="0"/>
              <w:left w:val="single" w:color="000000" w:sz="4" w:space="0"/>
              <w:bottom w:val="single" w:color="auto" w:sz="4" w:space="0"/>
              <w:right w:val="single" w:color="000000" w:sz="4" w:space="0"/>
            </w:tcBorders>
            <w:noWrap w:val="0"/>
            <w:vAlign w:val="center"/>
          </w:tcPr>
          <w:p w14:paraId="5AD23FAA">
            <w:pPr>
              <w:jc w:val="center"/>
              <w:rPr>
                <w:rFonts w:hint="eastAsia" w:ascii="宋体" w:hAnsi="宋体" w:cs="宋体"/>
                <w:b/>
                <w:bCs/>
                <w:color w:val="auto"/>
                <w:szCs w:val="21"/>
                <w:highlight w:val="none"/>
              </w:rPr>
            </w:pPr>
          </w:p>
        </w:tc>
        <w:tc>
          <w:tcPr>
            <w:tcW w:w="534" w:type="pct"/>
            <w:tcBorders>
              <w:top w:val="single" w:color="000000" w:sz="4" w:space="0"/>
              <w:left w:val="single" w:color="000000" w:sz="4" w:space="0"/>
              <w:bottom w:val="single" w:color="auto" w:sz="4" w:space="0"/>
              <w:right w:val="single" w:color="000000" w:sz="4" w:space="0"/>
            </w:tcBorders>
            <w:noWrap w:val="0"/>
            <w:vAlign w:val="center"/>
          </w:tcPr>
          <w:p w14:paraId="05316490">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视觉多模态大模型一体机</w:t>
            </w:r>
          </w:p>
          <w:p w14:paraId="44FAC4E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（本地化部署）</w:t>
            </w:r>
          </w:p>
        </w:tc>
        <w:tc>
          <w:tcPr>
            <w:tcW w:w="2038" w:type="pct"/>
            <w:tcBorders>
              <w:top w:val="single" w:color="000000" w:sz="4" w:space="0"/>
              <w:left w:val="single" w:color="000000" w:sz="4" w:space="0"/>
              <w:bottom w:val="single" w:color="auto" w:sz="4" w:space="0"/>
              <w:right w:val="single" w:color="000000" w:sz="4" w:space="0"/>
            </w:tcBorders>
            <w:noWrap w:val="0"/>
            <w:vAlign w:val="center"/>
          </w:tcPr>
          <w:p w14:paraId="38FE1B6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2U机架式</w:t>
            </w:r>
          </w:p>
          <w:p w14:paraId="7E8F3DF6">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CPU:2*Intel Xeon Silver 4210 /AMD同等配置CPU；</w:t>
            </w:r>
          </w:p>
          <w:p w14:paraId="0895B720">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内存:256GB DDR4内存；</w:t>
            </w:r>
          </w:p>
          <w:p w14:paraId="63737295">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GPU:算力不小于32TFLOPS；</w:t>
            </w:r>
          </w:p>
          <w:p w14:paraId="68378463">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硬盘：2*960GB, SATA SSD，2*4TB 3.5寸SATA HDD；</w:t>
            </w:r>
          </w:p>
          <w:p w14:paraId="081A3F3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网口:2个万兆/千兆自适应网口</w:t>
            </w:r>
            <w:r>
              <w:rPr>
                <w:rFonts w:hint="eastAsia" w:ascii="宋体" w:hAnsi="宋体" w:cs="宋体"/>
                <w:color w:val="auto"/>
                <w:kern w:val="0"/>
                <w:szCs w:val="21"/>
                <w:highlight w:val="none"/>
                <w:lang w:eastAsia="zh-CN" w:bidi="ar"/>
              </w:rPr>
              <w:t>（包括采购、运输、</w:t>
            </w:r>
            <w:r>
              <w:rPr>
                <w:rFonts w:hint="eastAsia" w:ascii="宋体" w:hAnsi="宋体" w:eastAsia="宋体" w:cs="宋体"/>
                <w:color w:val="auto"/>
                <w:kern w:val="0"/>
                <w:szCs w:val="21"/>
                <w:highlight w:val="none"/>
                <w:lang w:bidi="ar"/>
              </w:rPr>
              <w:t>布线施工、现场测试等服务</w:t>
            </w:r>
            <w:r>
              <w:rPr>
                <w:rFonts w:hint="eastAsia" w:ascii="宋体" w:hAnsi="宋体" w:cs="宋体"/>
                <w:color w:val="auto"/>
                <w:kern w:val="0"/>
                <w:szCs w:val="21"/>
                <w:highlight w:val="none"/>
                <w:lang w:eastAsia="zh-CN" w:bidi="ar"/>
              </w:rPr>
              <w:t>安装、调试和相应耗材投入）</w:t>
            </w:r>
          </w:p>
        </w:tc>
        <w:tc>
          <w:tcPr>
            <w:tcW w:w="232" w:type="pct"/>
            <w:tcBorders>
              <w:top w:val="single" w:color="000000" w:sz="4" w:space="0"/>
              <w:left w:val="single" w:color="000000" w:sz="4" w:space="0"/>
              <w:bottom w:val="single" w:color="auto" w:sz="4" w:space="0"/>
              <w:right w:val="single" w:color="000000" w:sz="4" w:space="0"/>
            </w:tcBorders>
            <w:noWrap w:val="0"/>
            <w:vAlign w:val="center"/>
          </w:tcPr>
          <w:p w14:paraId="2F301EF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eastAsia="zh-CN" w:bidi="ar"/>
              </w:rPr>
              <w:t>台</w:t>
            </w:r>
          </w:p>
        </w:tc>
        <w:tc>
          <w:tcPr>
            <w:tcW w:w="234"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7CA98D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1</w:t>
            </w:r>
          </w:p>
        </w:tc>
        <w:tc>
          <w:tcPr>
            <w:tcW w:w="405" w:type="pct"/>
            <w:tcBorders>
              <w:top w:val="single" w:color="000000" w:sz="4" w:space="0"/>
              <w:left w:val="single" w:color="000000" w:sz="4" w:space="0"/>
              <w:bottom w:val="single" w:color="auto" w:sz="4" w:space="0"/>
              <w:right w:val="single" w:color="000000" w:sz="4" w:space="0"/>
            </w:tcBorders>
            <w:noWrap w:val="0"/>
            <w:vAlign w:val="center"/>
          </w:tcPr>
          <w:p w14:paraId="2E30BB65">
            <w:pPr>
              <w:widowControl/>
              <w:jc w:val="center"/>
              <w:textAlignment w:val="center"/>
              <w:rPr>
                <w:rFonts w:hint="eastAsia" w:ascii="宋体" w:hAnsi="宋体" w:eastAsia="宋体" w:cs="宋体"/>
                <w:color w:val="auto"/>
                <w:kern w:val="0"/>
                <w:szCs w:val="21"/>
                <w:highlight w:val="none"/>
                <w:lang w:bidi="ar"/>
              </w:rPr>
            </w:pPr>
          </w:p>
        </w:tc>
        <w:tc>
          <w:tcPr>
            <w:tcW w:w="234" w:type="pct"/>
            <w:tcBorders>
              <w:top w:val="single" w:color="000000" w:sz="4" w:space="0"/>
              <w:left w:val="single" w:color="000000" w:sz="4" w:space="0"/>
              <w:bottom w:val="single" w:color="auto" w:sz="4" w:space="0"/>
              <w:right w:val="single" w:color="000000" w:sz="4" w:space="0"/>
            </w:tcBorders>
            <w:noWrap w:val="0"/>
            <w:vAlign w:val="center"/>
          </w:tcPr>
          <w:p w14:paraId="28206ED0">
            <w:pPr>
              <w:widowControl/>
              <w:jc w:val="center"/>
              <w:textAlignment w:val="center"/>
              <w:rPr>
                <w:rFonts w:hint="eastAsia" w:ascii="宋体" w:hAnsi="宋体" w:eastAsia="宋体" w:cs="宋体"/>
                <w:color w:val="auto"/>
                <w:kern w:val="0"/>
                <w:szCs w:val="21"/>
                <w:highlight w:val="none"/>
                <w:lang w:bidi="ar"/>
              </w:rPr>
            </w:pPr>
          </w:p>
        </w:tc>
        <w:tc>
          <w:tcPr>
            <w:tcW w:w="405" w:type="pct"/>
            <w:tcBorders>
              <w:top w:val="single" w:color="000000" w:sz="4" w:space="0"/>
              <w:left w:val="single" w:color="000000" w:sz="4" w:space="0"/>
              <w:bottom w:val="single" w:color="auto" w:sz="4" w:space="0"/>
              <w:right w:val="single" w:color="000000" w:sz="4" w:space="0"/>
            </w:tcBorders>
            <w:noWrap w:val="0"/>
            <w:vAlign w:val="center"/>
          </w:tcPr>
          <w:p w14:paraId="0F1F9F67">
            <w:pPr>
              <w:widowControl/>
              <w:jc w:val="center"/>
              <w:textAlignment w:val="center"/>
              <w:rPr>
                <w:rFonts w:hint="eastAsia" w:ascii="宋体" w:hAnsi="宋体" w:eastAsia="宋体" w:cs="宋体"/>
                <w:color w:val="auto"/>
                <w:kern w:val="0"/>
                <w:szCs w:val="21"/>
                <w:highlight w:val="none"/>
                <w:lang w:bidi="ar"/>
              </w:rPr>
            </w:pPr>
          </w:p>
        </w:tc>
        <w:tc>
          <w:tcPr>
            <w:tcW w:w="408" w:type="pct"/>
            <w:tcBorders>
              <w:top w:val="single" w:color="000000" w:sz="4" w:space="0"/>
              <w:left w:val="single" w:color="000000" w:sz="4" w:space="0"/>
              <w:bottom w:val="single" w:color="auto" w:sz="4" w:space="0"/>
              <w:right w:val="single" w:color="000000" w:sz="4" w:space="0"/>
            </w:tcBorders>
            <w:noWrap w:val="0"/>
            <w:vAlign w:val="center"/>
          </w:tcPr>
          <w:p w14:paraId="7C0C0B94">
            <w:pPr>
              <w:widowControl/>
              <w:jc w:val="center"/>
              <w:textAlignment w:val="center"/>
              <w:rPr>
                <w:rFonts w:hint="eastAsia" w:ascii="宋体" w:hAnsi="宋体" w:eastAsia="宋体" w:cs="宋体"/>
                <w:color w:val="auto"/>
                <w:kern w:val="0"/>
                <w:sz w:val="21"/>
                <w:szCs w:val="21"/>
                <w:highlight w:val="none"/>
                <w:lang w:val="en-US" w:eastAsia="zh-CN" w:bidi="ar"/>
              </w:rPr>
            </w:pPr>
          </w:p>
        </w:tc>
      </w:tr>
      <w:tr w14:paraId="0C4B3C42">
        <w:tblPrEx>
          <w:tblCellMar>
            <w:top w:w="0" w:type="dxa"/>
            <w:left w:w="108" w:type="dxa"/>
            <w:bottom w:w="0" w:type="dxa"/>
            <w:right w:w="108" w:type="dxa"/>
          </w:tblCellMar>
        </w:tblPrEx>
        <w:trPr>
          <w:trHeight w:val="2251" w:hRule="atLeast"/>
        </w:trPr>
        <w:tc>
          <w:tcPr>
            <w:tcW w:w="204" w:type="pct"/>
            <w:tcBorders>
              <w:top w:val="single" w:color="auto" w:sz="4" w:space="0"/>
              <w:left w:val="single" w:color="auto" w:sz="4" w:space="0"/>
              <w:bottom w:val="single" w:color="auto" w:sz="4" w:space="0"/>
              <w:right w:val="single" w:color="auto" w:sz="4" w:space="0"/>
            </w:tcBorders>
            <w:noWrap w:val="0"/>
            <w:vAlign w:val="center"/>
          </w:tcPr>
          <w:p w14:paraId="5355417D">
            <w:pPr>
              <w:jc w:val="center"/>
              <w:rPr>
                <w:color w:val="auto"/>
                <w:highlight w:val="none"/>
              </w:rPr>
            </w:pPr>
          </w:p>
          <w:p w14:paraId="7E67CCDC">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kern w:val="0"/>
                <w:szCs w:val="21"/>
                <w:highlight w:val="none"/>
                <w:lang w:val="en-US" w:eastAsia="zh-CN" w:bidi="ar"/>
              </w:rPr>
              <w:t>19</w:t>
            </w:r>
          </w:p>
        </w:tc>
        <w:tc>
          <w:tcPr>
            <w:tcW w:w="304" w:type="pct"/>
            <w:vMerge w:val="continue"/>
            <w:tcBorders>
              <w:top w:val="single" w:color="auto" w:sz="4" w:space="0"/>
              <w:left w:val="single" w:color="auto" w:sz="4" w:space="0"/>
              <w:bottom w:val="single" w:color="auto" w:sz="4" w:space="0"/>
              <w:right w:val="single" w:color="auto" w:sz="4" w:space="0"/>
            </w:tcBorders>
            <w:noWrap w:val="0"/>
            <w:vAlign w:val="center"/>
          </w:tcPr>
          <w:p w14:paraId="67CDC6FB">
            <w:pPr>
              <w:jc w:val="center"/>
              <w:rPr>
                <w:rFonts w:hint="eastAsia" w:ascii="宋体" w:hAnsi="宋体" w:cs="宋体"/>
                <w:b/>
                <w:bCs/>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noWrap w:val="0"/>
            <w:vAlign w:val="center"/>
          </w:tcPr>
          <w:p w14:paraId="3A4AFDB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服务器</w:t>
            </w:r>
          </w:p>
          <w:p w14:paraId="6405EAF8">
            <w:pPr>
              <w:widowControl/>
              <w:jc w:val="center"/>
              <w:textAlignment w:val="center"/>
              <w:rPr>
                <w:rFonts w:hint="eastAsia" w:ascii="宋体" w:hAnsi="宋体" w:cs="宋体"/>
                <w:color w:val="auto"/>
                <w:kern w:val="0"/>
                <w:szCs w:val="21"/>
                <w:highlight w:val="none"/>
                <w:lang w:bidi="ar"/>
              </w:rPr>
            </w:pPr>
            <w:r>
              <w:rPr>
                <w:rFonts w:hint="eastAsia" w:ascii="宋体" w:hAnsi="宋体" w:eastAsia="宋体" w:cs="宋体"/>
                <w:color w:val="auto"/>
                <w:kern w:val="0"/>
                <w:szCs w:val="21"/>
                <w:highlight w:val="none"/>
                <w:lang w:bidi="ar"/>
              </w:rPr>
              <w:t>（本地化部署）</w:t>
            </w:r>
          </w:p>
        </w:tc>
        <w:tc>
          <w:tcPr>
            <w:tcW w:w="2038" w:type="pct"/>
            <w:tcBorders>
              <w:top w:val="single" w:color="auto" w:sz="4" w:space="0"/>
              <w:left w:val="single" w:color="auto" w:sz="4" w:space="0"/>
              <w:bottom w:val="single" w:color="auto" w:sz="4" w:space="0"/>
              <w:right w:val="single" w:color="auto" w:sz="4" w:space="0"/>
            </w:tcBorders>
            <w:noWrap w:val="0"/>
            <w:vAlign w:val="center"/>
          </w:tcPr>
          <w:p w14:paraId="6E058543">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2台 （对应10台机场接入）</w:t>
            </w:r>
          </w:p>
          <w:p w14:paraId="2EDD57E3">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单台配置如下：</w:t>
            </w:r>
          </w:p>
          <w:p w14:paraId="270BB449">
            <w:pPr>
              <w:widowControl/>
              <w:jc w:val="left"/>
              <w:textAlignment w:val="center"/>
              <w:rPr>
                <w:rFonts w:hint="eastAsia" w:ascii="宋体" w:hAnsi="宋体" w:cs="宋体"/>
                <w:color w:val="auto"/>
                <w:kern w:val="0"/>
                <w:szCs w:val="21"/>
                <w:highlight w:val="none"/>
                <w:lang w:bidi="ar"/>
              </w:rPr>
            </w:pPr>
            <w:r>
              <w:rPr>
                <w:rFonts w:hint="eastAsia" w:ascii="宋体" w:hAnsi="宋体" w:eastAsia="宋体" w:cs="宋体"/>
                <w:color w:val="auto"/>
                <w:kern w:val="0"/>
                <w:szCs w:val="21"/>
                <w:highlight w:val="none"/>
                <w:lang w:bidi="ar"/>
              </w:rPr>
              <w:t>CPU：2×6336Y（2.4G/24核心/48线程）；内存：256G DDR4 3200；硬盘1：2×480G SSD；硬盘2：1×20T SATA；GPU：2×4090；阵列卡：2G缓存阵列卡；网卡：4个千兆电口+2个万兆光口，含2个万兆多模光模块；电源：双冗余电源；其他：2U机架式，含标准导轨</w:t>
            </w:r>
            <w:r>
              <w:rPr>
                <w:rFonts w:hint="eastAsia" w:ascii="宋体" w:hAnsi="宋体" w:cs="宋体"/>
                <w:color w:val="auto"/>
                <w:kern w:val="0"/>
                <w:szCs w:val="21"/>
                <w:highlight w:val="none"/>
                <w:lang w:eastAsia="zh-CN" w:bidi="ar"/>
              </w:rPr>
              <w:t>。（包括采购、运输、</w:t>
            </w:r>
            <w:r>
              <w:rPr>
                <w:rFonts w:hint="eastAsia" w:ascii="宋体" w:hAnsi="宋体" w:eastAsia="宋体" w:cs="宋体"/>
                <w:color w:val="auto"/>
                <w:kern w:val="0"/>
                <w:szCs w:val="21"/>
                <w:highlight w:val="none"/>
                <w:lang w:bidi="ar"/>
              </w:rPr>
              <w:t>布线施工、现场测试等服务</w:t>
            </w:r>
            <w:r>
              <w:rPr>
                <w:rFonts w:hint="eastAsia" w:ascii="宋体" w:hAnsi="宋体" w:cs="宋体"/>
                <w:color w:val="auto"/>
                <w:kern w:val="0"/>
                <w:szCs w:val="21"/>
                <w:highlight w:val="none"/>
                <w:lang w:eastAsia="zh-CN" w:bidi="ar"/>
              </w:rPr>
              <w:t>安装、调试和相应耗材投入）</w:t>
            </w:r>
          </w:p>
        </w:tc>
        <w:tc>
          <w:tcPr>
            <w:tcW w:w="232" w:type="pct"/>
            <w:tcBorders>
              <w:top w:val="single" w:color="auto" w:sz="4" w:space="0"/>
              <w:left w:val="single" w:color="auto" w:sz="4" w:space="0"/>
              <w:bottom w:val="single" w:color="auto" w:sz="4" w:space="0"/>
              <w:right w:val="single" w:color="auto" w:sz="4" w:space="0"/>
            </w:tcBorders>
            <w:noWrap w:val="0"/>
            <w:vAlign w:val="top"/>
          </w:tcPr>
          <w:p w14:paraId="16597D28">
            <w:pPr>
              <w:widowControl/>
              <w:jc w:val="center"/>
              <w:textAlignment w:val="top"/>
              <w:rPr>
                <w:rFonts w:hint="eastAsia" w:ascii="宋体" w:hAnsi="宋体" w:cs="宋体"/>
                <w:color w:val="auto"/>
                <w:kern w:val="0"/>
                <w:szCs w:val="21"/>
                <w:highlight w:val="none"/>
                <w:lang w:eastAsia="zh-CN" w:bidi="ar"/>
              </w:rPr>
            </w:pPr>
          </w:p>
          <w:p w14:paraId="31521758">
            <w:pPr>
              <w:widowControl/>
              <w:jc w:val="center"/>
              <w:textAlignment w:val="top"/>
              <w:rPr>
                <w:rFonts w:hint="eastAsia" w:ascii="宋体" w:hAnsi="宋体" w:cs="宋体"/>
                <w:color w:val="auto"/>
                <w:kern w:val="0"/>
                <w:szCs w:val="21"/>
                <w:highlight w:val="none"/>
                <w:lang w:eastAsia="zh-CN" w:bidi="ar"/>
              </w:rPr>
            </w:pPr>
          </w:p>
          <w:p w14:paraId="76FA1896">
            <w:pPr>
              <w:widowControl/>
              <w:jc w:val="center"/>
              <w:textAlignment w:val="top"/>
              <w:rPr>
                <w:rFonts w:hint="eastAsia" w:ascii="宋体" w:hAnsi="宋体" w:cs="宋体"/>
                <w:color w:val="auto"/>
                <w:kern w:val="0"/>
                <w:szCs w:val="21"/>
                <w:highlight w:val="none"/>
                <w:lang w:eastAsia="zh-CN" w:bidi="ar"/>
              </w:rPr>
            </w:pPr>
          </w:p>
          <w:p w14:paraId="447FDADD">
            <w:pPr>
              <w:widowControl/>
              <w:jc w:val="center"/>
              <w:textAlignment w:val="top"/>
              <w:rPr>
                <w:rFonts w:hint="eastAsia" w:ascii="宋体" w:hAnsi="宋体" w:cs="宋体"/>
                <w:color w:val="auto"/>
                <w:kern w:val="0"/>
                <w:szCs w:val="21"/>
                <w:highlight w:val="none"/>
                <w:lang w:eastAsia="zh-CN" w:bidi="ar"/>
              </w:rPr>
            </w:pPr>
          </w:p>
          <w:p w14:paraId="5391EA00">
            <w:pPr>
              <w:widowControl/>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eastAsia="zh-CN" w:bidi="ar"/>
              </w:rPr>
              <w:t>套</w:t>
            </w:r>
          </w:p>
        </w:tc>
        <w:tc>
          <w:tcPr>
            <w:tcW w:w="2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AE2072">
            <w:pPr>
              <w:rPr>
                <w:color w:val="auto"/>
                <w:highlight w:val="none"/>
              </w:rPr>
            </w:pPr>
          </w:p>
          <w:p w14:paraId="4679132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val="en-US" w:eastAsia="zh-CN" w:bidi="ar"/>
              </w:rPr>
              <w:t>1</w:t>
            </w:r>
          </w:p>
        </w:tc>
        <w:tc>
          <w:tcPr>
            <w:tcW w:w="405" w:type="pct"/>
            <w:tcBorders>
              <w:top w:val="single" w:color="auto" w:sz="4" w:space="0"/>
              <w:left w:val="single" w:color="auto" w:sz="4" w:space="0"/>
              <w:bottom w:val="single" w:color="auto" w:sz="4" w:space="0"/>
              <w:right w:val="single" w:color="auto" w:sz="4" w:space="0"/>
            </w:tcBorders>
            <w:noWrap w:val="0"/>
            <w:vAlign w:val="center"/>
          </w:tcPr>
          <w:p w14:paraId="7BCC3E8F">
            <w:pPr>
              <w:widowControl/>
              <w:jc w:val="center"/>
              <w:textAlignment w:val="center"/>
              <w:rPr>
                <w:rFonts w:hint="eastAsia" w:ascii="宋体" w:hAnsi="宋体" w:cs="宋体"/>
                <w:color w:val="auto"/>
                <w:kern w:val="0"/>
                <w:szCs w:val="21"/>
                <w:highlight w:val="none"/>
                <w:lang w:val="en-US" w:eastAsia="zh-CN" w:bidi="ar"/>
              </w:rPr>
            </w:pPr>
          </w:p>
        </w:tc>
        <w:tc>
          <w:tcPr>
            <w:tcW w:w="234" w:type="pct"/>
            <w:tcBorders>
              <w:top w:val="single" w:color="auto" w:sz="4" w:space="0"/>
              <w:left w:val="single" w:color="auto" w:sz="4" w:space="0"/>
              <w:bottom w:val="single" w:color="auto" w:sz="4" w:space="0"/>
              <w:right w:val="single" w:color="auto" w:sz="4" w:space="0"/>
            </w:tcBorders>
            <w:noWrap w:val="0"/>
            <w:vAlign w:val="center"/>
          </w:tcPr>
          <w:p w14:paraId="6A8D980A">
            <w:pPr>
              <w:widowControl/>
              <w:jc w:val="center"/>
              <w:textAlignment w:val="center"/>
              <w:rPr>
                <w:rFonts w:hint="eastAsia" w:ascii="宋体" w:hAnsi="宋体" w:cs="宋体"/>
                <w:color w:val="auto"/>
                <w:kern w:val="0"/>
                <w:szCs w:val="21"/>
                <w:highlight w:val="none"/>
                <w:lang w:val="en-US" w:eastAsia="zh-CN" w:bidi="ar"/>
              </w:rPr>
            </w:pPr>
          </w:p>
        </w:tc>
        <w:tc>
          <w:tcPr>
            <w:tcW w:w="405" w:type="pct"/>
            <w:tcBorders>
              <w:top w:val="single" w:color="auto" w:sz="4" w:space="0"/>
              <w:left w:val="single" w:color="auto" w:sz="4" w:space="0"/>
              <w:bottom w:val="single" w:color="auto" w:sz="4" w:space="0"/>
              <w:right w:val="single" w:color="auto" w:sz="4" w:space="0"/>
            </w:tcBorders>
            <w:noWrap w:val="0"/>
            <w:vAlign w:val="center"/>
          </w:tcPr>
          <w:p w14:paraId="33A8BA4D">
            <w:pPr>
              <w:widowControl/>
              <w:jc w:val="center"/>
              <w:textAlignment w:val="center"/>
              <w:rPr>
                <w:rFonts w:hint="eastAsia" w:ascii="宋体" w:hAnsi="宋体" w:cs="宋体"/>
                <w:color w:val="auto"/>
                <w:kern w:val="0"/>
                <w:szCs w:val="21"/>
                <w:highlight w:val="none"/>
                <w:lang w:val="en-US" w:eastAsia="zh-CN" w:bidi="ar"/>
              </w:rPr>
            </w:pPr>
          </w:p>
        </w:tc>
        <w:tc>
          <w:tcPr>
            <w:tcW w:w="408" w:type="pct"/>
            <w:tcBorders>
              <w:top w:val="single" w:color="auto" w:sz="4" w:space="0"/>
              <w:left w:val="single" w:color="auto" w:sz="4" w:space="0"/>
              <w:bottom w:val="single" w:color="auto" w:sz="4" w:space="0"/>
              <w:right w:val="single" w:color="auto" w:sz="4" w:space="0"/>
            </w:tcBorders>
            <w:noWrap w:val="0"/>
            <w:vAlign w:val="center"/>
          </w:tcPr>
          <w:p w14:paraId="2F50F1AC">
            <w:pPr>
              <w:widowControl/>
              <w:jc w:val="center"/>
              <w:textAlignment w:val="center"/>
              <w:rPr>
                <w:rFonts w:hint="eastAsia" w:ascii="宋体" w:hAnsi="宋体" w:eastAsia="宋体" w:cs="宋体"/>
                <w:color w:val="auto"/>
                <w:szCs w:val="21"/>
                <w:highlight w:val="none"/>
                <w:lang w:eastAsia="zh-CN"/>
              </w:rPr>
            </w:pPr>
          </w:p>
        </w:tc>
      </w:tr>
      <w:tr w14:paraId="54EE05B6">
        <w:tblPrEx>
          <w:tblCellMar>
            <w:top w:w="0" w:type="dxa"/>
            <w:left w:w="108" w:type="dxa"/>
            <w:bottom w:w="0" w:type="dxa"/>
            <w:right w:w="108" w:type="dxa"/>
          </w:tblCellMar>
        </w:tblPrEx>
        <w:trPr>
          <w:trHeight w:val="643" w:hRule="atLeast"/>
        </w:trPr>
        <w:tc>
          <w:tcPr>
            <w:tcW w:w="204" w:type="pct"/>
            <w:tcBorders>
              <w:top w:val="single" w:color="auto" w:sz="4" w:space="0"/>
              <w:left w:val="single" w:color="auto" w:sz="4" w:space="0"/>
              <w:bottom w:val="single" w:color="auto" w:sz="4" w:space="0"/>
              <w:right w:val="single" w:color="auto" w:sz="4" w:space="0"/>
            </w:tcBorders>
            <w:noWrap w:val="0"/>
            <w:vAlign w:val="center"/>
          </w:tcPr>
          <w:p w14:paraId="53A48B52">
            <w:pPr>
              <w:widowControl/>
              <w:jc w:val="center"/>
              <w:textAlignment w:val="center"/>
              <w:rPr>
                <w:rFonts w:hint="default" w:ascii="宋体" w:hAnsi="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20</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57E2C645">
            <w:pPr>
              <w:jc w:val="center"/>
              <w:rPr>
                <w:rFonts w:hint="eastAsia" w:ascii="宋体" w:hAnsi="宋体" w:cs="宋体"/>
                <w:b/>
                <w:bCs/>
                <w:color w:val="auto"/>
                <w:szCs w:val="21"/>
                <w:highlight w:val="none"/>
              </w:rPr>
            </w:pPr>
          </w:p>
        </w:tc>
        <w:tc>
          <w:tcPr>
            <w:tcW w:w="534" w:type="pct"/>
            <w:tcBorders>
              <w:top w:val="single" w:color="auto" w:sz="4" w:space="0"/>
              <w:left w:val="single" w:color="auto" w:sz="4" w:space="0"/>
              <w:bottom w:val="single" w:color="auto" w:sz="4" w:space="0"/>
              <w:right w:val="single" w:color="auto" w:sz="4" w:space="0"/>
            </w:tcBorders>
            <w:noWrap w:val="0"/>
            <w:vAlign w:val="center"/>
          </w:tcPr>
          <w:p w14:paraId="122E5944">
            <w:pPr>
              <w:widowControl/>
              <w:jc w:val="center"/>
              <w:textAlignment w:val="center"/>
              <w:rPr>
                <w:rFonts w:hint="eastAsia" w:ascii="宋体" w:hAnsi="宋体" w:eastAsia="宋体" w:cs="宋体"/>
                <w:color w:val="auto"/>
                <w:kern w:val="0"/>
                <w:szCs w:val="21"/>
                <w:highlight w:val="none"/>
                <w:lang w:bidi="ar"/>
              </w:rPr>
            </w:pPr>
          </w:p>
        </w:tc>
        <w:tc>
          <w:tcPr>
            <w:tcW w:w="2038" w:type="pct"/>
            <w:tcBorders>
              <w:top w:val="single" w:color="auto" w:sz="4" w:space="0"/>
              <w:left w:val="single" w:color="auto" w:sz="4" w:space="0"/>
              <w:bottom w:val="single" w:color="auto" w:sz="4" w:space="0"/>
              <w:right w:val="single" w:color="auto" w:sz="4" w:space="0"/>
            </w:tcBorders>
            <w:noWrap w:val="0"/>
            <w:vAlign w:val="center"/>
          </w:tcPr>
          <w:p w14:paraId="5FA32422">
            <w:pPr>
              <w:widowControl/>
              <w:jc w:val="left"/>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报价总价（元）</w:t>
            </w:r>
          </w:p>
        </w:tc>
        <w:tc>
          <w:tcPr>
            <w:tcW w:w="1919" w:type="pct"/>
            <w:gridSpan w:val="6"/>
            <w:tcBorders>
              <w:top w:val="single" w:color="auto" w:sz="4" w:space="0"/>
              <w:left w:val="single" w:color="auto" w:sz="4" w:space="0"/>
              <w:bottom w:val="single" w:color="auto" w:sz="4" w:space="0"/>
              <w:right w:val="single" w:color="auto" w:sz="4" w:space="0"/>
            </w:tcBorders>
            <w:noWrap w:val="0"/>
            <w:vAlign w:val="top"/>
          </w:tcPr>
          <w:p w14:paraId="12937E63">
            <w:pPr>
              <w:widowControl/>
              <w:jc w:val="center"/>
              <w:textAlignment w:val="center"/>
              <w:rPr>
                <w:rFonts w:hint="eastAsia" w:ascii="宋体" w:hAnsi="宋体" w:eastAsia="宋体" w:cs="宋体"/>
                <w:color w:val="auto"/>
                <w:szCs w:val="21"/>
                <w:highlight w:val="none"/>
                <w:lang w:eastAsia="zh-CN"/>
              </w:rPr>
            </w:pPr>
          </w:p>
        </w:tc>
      </w:tr>
    </w:tbl>
    <w:p w14:paraId="0120274D">
      <w:pPr>
        <w:rPr>
          <w:rFonts w:ascii="宋体" w:hAnsi="宋体" w:cs="宋体"/>
          <w:color w:val="auto"/>
          <w:spacing w:val="-8"/>
          <w:sz w:val="22"/>
          <w:szCs w:val="22"/>
          <w:highlight w:val="none"/>
        </w:rPr>
      </w:pPr>
    </w:p>
    <w:p w14:paraId="276F7A75">
      <w:pPr>
        <w:rPr>
          <w:rFonts w:hint="eastAsia" w:ascii="宋体" w:hAnsi="宋体" w:cs="宋体"/>
          <w:color w:val="auto"/>
          <w:spacing w:val="-8"/>
          <w:sz w:val="21"/>
          <w:szCs w:val="21"/>
          <w:highlight w:val="none"/>
        </w:rPr>
      </w:pPr>
      <w:r>
        <w:rPr>
          <w:rFonts w:ascii="宋体" w:hAnsi="宋体" w:cs="宋体"/>
          <w:color w:val="auto"/>
          <w:spacing w:val="-8"/>
          <w:sz w:val="22"/>
          <w:szCs w:val="22"/>
          <w:highlight w:val="none"/>
        </w:rPr>
        <w:t>注：</w:t>
      </w:r>
      <w:r>
        <w:rPr>
          <w:rFonts w:hint="eastAsia" w:ascii="宋体" w:hAnsi="宋体" w:cs="宋体"/>
          <w:color w:val="auto"/>
          <w:spacing w:val="-8"/>
          <w:sz w:val="21"/>
          <w:szCs w:val="21"/>
          <w:highlight w:val="none"/>
        </w:rPr>
        <w:t xml:space="preserve"> 1、上表序号1～19的“含税总价”合计金额与报价明细表的“投标总价”金额不一致或错误时，按招标文件第三章3.1.3、3.1.4、3.1.5进行修订。  </w:t>
      </w:r>
    </w:p>
    <w:p w14:paraId="0610B75F">
      <w:pPr>
        <w:rPr>
          <w:rFonts w:hint="eastAsia" w:ascii="宋体" w:hAnsi="宋体" w:cs="宋体"/>
          <w:color w:val="auto"/>
          <w:spacing w:val="-4"/>
          <w:position w:val="14"/>
          <w:sz w:val="21"/>
          <w:szCs w:val="21"/>
          <w:highlight w:val="none"/>
        </w:rPr>
      </w:pPr>
      <w:r>
        <w:rPr>
          <w:rFonts w:hint="eastAsia" w:ascii="宋体" w:hAnsi="宋体" w:cs="宋体"/>
          <w:color w:val="auto"/>
          <w:spacing w:val="-8"/>
          <w:sz w:val="21"/>
          <w:szCs w:val="21"/>
          <w:highlight w:val="none"/>
        </w:rPr>
        <w:t>2、投标函的投标总报价、东莞市轨道交通1号线运营期地铁控制保护区综合管理系统项目报价表的投标总价、报价明细表的投标总价不一致时，以报价明细表的投标总价为准，如报价明细表的投标总价有修订的，以修订后的投标总价为准。</w:t>
      </w:r>
      <w:r>
        <w:rPr>
          <w:rFonts w:ascii="宋体" w:hAnsi="宋体" w:cs="宋体"/>
          <w:color w:val="auto"/>
          <w:spacing w:val="-4"/>
          <w:position w:val="14"/>
          <w:sz w:val="21"/>
          <w:szCs w:val="21"/>
          <w:highlight w:val="none"/>
        </w:rPr>
        <w:t xml:space="preserve"> </w:t>
      </w:r>
    </w:p>
    <w:p w14:paraId="5E54A567">
      <w:pPr>
        <w:widowControl/>
        <w:ind w:left="575"/>
        <w:jc w:val="left"/>
        <w:rPr>
          <w:rFonts w:hint="eastAsia" w:ascii="宋体" w:hAnsi="宋体" w:cs="宋体"/>
          <w:color w:val="auto"/>
          <w:spacing w:val="-4"/>
          <w:position w:val="14"/>
          <w:sz w:val="22"/>
          <w:szCs w:val="22"/>
          <w:highlight w:val="none"/>
          <w:lang w:bidi="ar"/>
        </w:rPr>
      </w:pPr>
    </w:p>
    <w:p w14:paraId="3DCF0C29">
      <w:pPr>
        <w:tabs>
          <w:tab w:val="left" w:pos="8364"/>
        </w:tabs>
        <w:snapToGrid w:val="0"/>
        <w:spacing w:line="360" w:lineRule="exact"/>
        <w:ind w:right="-58" w:firstLine="2730" w:firstLineChars="1300"/>
        <w:rPr>
          <w:rFonts w:hint="eastAsia"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u w:val="single"/>
        </w:rPr>
        <w:t xml:space="preserve">                                   </w:t>
      </w:r>
      <w:r>
        <w:rPr>
          <w:rFonts w:hint="eastAsia" w:ascii="宋体" w:hAnsi="宋体"/>
          <w:color w:val="auto"/>
          <w:szCs w:val="21"/>
          <w:highlight w:val="none"/>
        </w:rPr>
        <w:t>（单位公章）</w:t>
      </w:r>
    </w:p>
    <w:p w14:paraId="574D33F9">
      <w:pPr>
        <w:tabs>
          <w:tab w:val="left" w:pos="8364"/>
        </w:tabs>
        <w:snapToGrid w:val="0"/>
        <w:spacing w:line="360" w:lineRule="exact"/>
        <w:ind w:right="-58" w:firstLine="2730" w:firstLineChars="1300"/>
        <w:rPr>
          <w:rFonts w:hint="eastAsia" w:ascii="宋体" w:hAnsi="宋体"/>
          <w:color w:val="auto"/>
          <w:szCs w:val="21"/>
          <w:highlight w:val="none"/>
        </w:rPr>
      </w:pPr>
      <w:r>
        <w:rPr>
          <w:rFonts w:hint="eastAsia" w:ascii="宋体" w:hAnsi="宋体"/>
          <w:color w:val="auto"/>
          <w:szCs w:val="21"/>
          <w:highlight w:val="none"/>
        </w:rPr>
        <w:t>法定代表人或其授权代表：</w:t>
      </w:r>
      <w:r>
        <w:rPr>
          <w:rFonts w:ascii="宋体" w:hAnsi="宋体"/>
          <w:color w:val="auto"/>
          <w:szCs w:val="21"/>
          <w:highlight w:val="none"/>
          <w:u w:val="single"/>
        </w:rPr>
        <w:t xml:space="preserve">                               </w:t>
      </w:r>
      <w:r>
        <w:rPr>
          <w:rFonts w:hint="eastAsia" w:ascii="宋体" w:hAnsi="宋体"/>
          <w:color w:val="auto"/>
          <w:szCs w:val="21"/>
          <w:highlight w:val="none"/>
        </w:rPr>
        <w:t>（签字或签章）</w:t>
      </w:r>
    </w:p>
    <w:p w14:paraId="7D2D877D">
      <w:pPr>
        <w:tabs>
          <w:tab w:val="left" w:pos="8364"/>
        </w:tabs>
        <w:snapToGrid w:val="0"/>
        <w:spacing w:line="360" w:lineRule="exact"/>
        <w:ind w:right="-58" w:firstLine="6090" w:firstLineChars="2900"/>
        <w:rPr>
          <w:rFonts w:hint="eastAsia"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77C03E65">
      <w:pPr>
        <w:keepNext/>
        <w:keepLines/>
        <w:adjustRightInd w:val="0"/>
        <w:spacing w:before="240" w:after="60"/>
        <w:textAlignment w:val="baseline"/>
        <w:outlineLvl w:val="0"/>
        <w:rPr>
          <w:rFonts w:hint="eastAsia" w:ascii="宋体" w:hAnsi="宋体"/>
          <w:b/>
          <w:color w:val="auto"/>
          <w:kern w:val="24"/>
          <w:sz w:val="28"/>
          <w:szCs w:val="20"/>
          <w:highlight w:val="none"/>
        </w:rPr>
      </w:pPr>
      <w:r>
        <w:rPr>
          <w:rFonts w:hint="eastAsia" w:ascii="宋体" w:hAnsi="宋体"/>
          <w:b/>
          <w:color w:val="auto"/>
          <w:sz w:val="28"/>
          <w:szCs w:val="28"/>
          <w:highlight w:val="none"/>
        </w:rPr>
        <w:br w:type="page"/>
      </w:r>
      <w:bookmarkStart w:id="1453" w:name="_Toc7077"/>
      <w:bookmarkStart w:id="1454" w:name="_Toc32058"/>
      <w:bookmarkStart w:id="1455" w:name="_Toc25988"/>
      <w:bookmarkStart w:id="1456" w:name="_Toc23504"/>
      <w:bookmarkStart w:id="1457" w:name="_Toc18105"/>
      <w:bookmarkStart w:id="1458" w:name="_Toc15248"/>
      <w:bookmarkStart w:id="1459" w:name="_Toc9590814"/>
      <w:bookmarkStart w:id="1460" w:name="_Toc17527"/>
      <w:bookmarkStart w:id="1461" w:name="_Toc18991"/>
      <w:bookmarkStart w:id="1462" w:name="_Toc352"/>
      <w:r>
        <w:rPr>
          <w:rFonts w:hint="eastAsia" w:ascii="宋体" w:hAnsi="宋体"/>
          <w:b/>
          <w:color w:val="auto"/>
          <w:kern w:val="24"/>
          <w:sz w:val="28"/>
          <w:szCs w:val="20"/>
          <w:highlight w:val="none"/>
        </w:rPr>
        <w:t>七</w:t>
      </w:r>
      <w:r>
        <w:rPr>
          <w:rFonts w:ascii="宋体" w:hAnsi="宋体"/>
          <w:b/>
          <w:color w:val="auto"/>
          <w:kern w:val="24"/>
          <w:sz w:val="28"/>
          <w:szCs w:val="20"/>
          <w:highlight w:val="none"/>
        </w:rPr>
        <w:t>.</w:t>
      </w:r>
      <w:r>
        <w:rPr>
          <w:rFonts w:hint="eastAsia" w:ascii="宋体" w:hAnsi="宋体"/>
          <w:b/>
          <w:color w:val="auto"/>
          <w:kern w:val="24"/>
          <w:sz w:val="28"/>
          <w:szCs w:val="20"/>
          <w:highlight w:val="none"/>
        </w:rPr>
        <w:t>合同条款响应性承诺</w:t>
      </w:r>
      <w:bookmarkEnd w:id="1453"/>
      <w:bookmarkEnd w:id="1454"/>
      <w:bookmarkEnd w:id="1455"/>
      <w:bookmarkEnd w:id="1456"/>
      <w:bookmarkEnd w:id="1457"/>
      <w:bookmarkEnd w:id="1458"/>
      <w:bookmarkEnd w:id="1459"/>
      <w:bookmarkEnd w:id="1460"/>
      <w:bookmarkEnd w:id="1461"/>
      <w:bookmarkEnd w:id="1462"/>
    </w:p>
    <w:p w14:paraId="177A68F5">
      <w:pPr>
        <w:rPr>
          <w:rFonts w:hint="eastAsia" w:ascii="宋体" w:hAnsi="宋体"/>
          <w:color w:val="auto"/>
          <w:sz w:val="24"/>
          <w:szCs w:val="22"/>
          <w:highlight w:val="none"/>
        </w:rPr>
      </w:pPr>
    </w:p>
    <w:p w14:paraId="539FE999">
      <w:pPr>
        <w:spacing w:line="480" w:lineRule="auto"/>
        <w:jc w:val="center"/>
        <w:rPr>
          <w:rFonts w:hint="eastAsia" w:ascii="宋体" w:hAnsi="宋体"/>
          <w:b/>
          <w:color w:val="auto"/>
          <w:szCs w:val="21"/>
          <w:highlight w:val="none"/>
        </w:rPr>
      </w:pPr>
      <w:r>
        <w:rPr>
          <w:rFonts w:hint="eastAsia" w:ascii="宋体" w:hAnsi="宋体"/>
          <w:b/>
          <w:color w:val="auto"/>
          <w:szCs w:val="21"/>
          <w:highlight w:val="none"/>
        </w:rPr>
        <w:t>承诺书</w:t>
      </w:r>
    </w:p>
    <w:p w14:paraId="05589454">
      <w:pPr>
        <w:spacing w:line="480" w:lineRule="auto"/>
        <w:jc w:val="center"/>
        <w:rPr>
          <w:rFonts w:hint="eastAsia" w:ascii="宋体" w:hAnsi="宋体"/>
          <w:color w:val="auto"/>
          <w:szCs w:val="21"/>
          <w:highlight w:val="none"/>
        </w:rPr>
      </w:pPr>
      <w:r>
        <w:rPr>
          <w:rFonts w:hint="eastAsia" w:ascii="宋体" w:hAnsi="宋体"/>
          <w:color w:val="auto"/>
          <w:szCs w:val="21"/>
          <w:highlight w:val="none"/>
        </w:rPr>
        <w:t>（项目名称： 东莞市轨道交通1号线运营期地铁控制保护区综合管理系统</w:t>
      </w:r>
      <w:r>
        <w:rPr>
          <w:rFonts w:hint="eastAsia" w:ascii="宋体" w:hAnsi="宋体"/>
          <w:color w:val="auto"/>
          <w:szCs w:val="21"/>
          <w:highlight w:val="none"/>
          <w:lang w:val="en-US" w:eastAsia="zh-CN"/>
        </w:rPr>
        <w:t>项目</w:t>
      </w:r>
      <w:r>
        <w:rPr>
          <w:rFonts w:hint="eastAsia" w:ascii="宋体" w:hAnsi="宋体"/>
          <w:color w:val="auto"/>
          <w:szCs w:val="21"/>
          <w:highlight w:val="none"/>
        </w:rPr>
        <w:t xml:space="preserve"> ）</w:t>
      </w:r>
    </w:p>
    <w:p w14:paraId="6852ED2D">
      <w:pPr>
        <w:spacing w:line="480" w:lineRule="auto"/>
        <w:rPr>
          <w:rFonts w:hint="eastAsia" w:ascii="宋体" w:hAnsi="宋体"/>
          <w:color w:val="auto"/>
          <w:szCs w:val="21"/>
          <w:highlight w:val="none"/>
        </w:rPr>
      </w:pPr>
    </w:p>
    <w:p w14:paraId="00E3674D">
      <w:pPr>
        <w:spacing w:line="480" w:lineRule="auto"/>
        <w:rPr>
          <w:rFonts w:hint="eastAsia" w:ascii="宋体" w:hAnsi="宋体"/>
          <w:color w:val="auto"/>
          <w:szCs w:val="21"/>
          <w:highlight w:val="none"/>
        </w:rPr>
      </w:pPr>
    </w:p>
    <w:p w14:paraId="78EE0285">
      <w:pPr>
        <w:spacing w:line="480" w:lineRule="auto"/>
        <w:rPr>
          <w:rFonts w:hint="eastAsia" w:ascii="宋体" w:hAnsi="宋体"/>
          <w:color w:val="auto"/>
          <w:szCs w:val="21"/>
          <w:highlight w:val="none"/>
        </w:rPr>
      </w:pPr>
      <w:r>
        <w:rPr>
          <w:rFonts w:hint="eastAsia" w:ascii="宋体" w:hAnsi="宋体"/>
          <w:color w:val="auto"/>
          <w:szCs w:val="21"/>
          <w:highlight w:val="none"/>
        </w:rPr>
        <w:t>东莞市轨道一号线建设发展有限公司：</w:t>
      </w:r>
    </w:p>
    <w:p w14:paraId="4DAF3D39">
      <w:pPr>
        <w:tabs>
          <w:tab w:val="left" w:pos="7027"/>
        </w:tabs>
        <w:snapToGrid w:val="0"/>
        <w:spacing w:line="480" w:lineRule="auto"/>
        <w:ind w:left="171" w:firstLine="567"/>
        <w:rPr>
          <w:rFonts w:hint="eastAsia" w:ascii="宋体" w:hAnsi="宋体"/>
          <w:color w:val="auto"/>
          <w:szCs w:val="21"/>
          <w:highlight w:val="none"/>
        </w:rPr>
      </w:pPr>
      <w:r>
        <w:rPr>
          <w:rFonts w:hint="eastAsia" w:ascii="宋体" w:hAnsi="宋体"/>
          <w:color w:val="auto"/>
          <w:szCs w:val="21"/>
          <w:highlight w:val="none"/>
        </w:rPr>
        <w:t>我司承诺：我方提交的投标文件的内容实质上响应招标文件合同条款的要求，若投标文件中与招标文件有重大偏离或保留的内容自动作废并按招标文件的要求执行。若我方中标，我方同意并承诺按照招标文件合同条款的要求履行合同，否则视同我司放弃中标。</w:t>
      </w:r>
    </w:p>
    <w:p w14:paraId="29DF6796">
      <w:pPr>
        <w:spacing w:line="440" w:lineRule="exact"/>
        <w:rPr>
          <w:rFonts w:hint="eastAsia" w:ascii="宋体" w:hAnsi="宋体"/>
          <w:color w:val="auto"/>
          <w:szCs w:val="21"/>
          <w:highlight w:val="none"/>
        </w:rPr>
      </w:pPr>
    </w:p>
    <w:p w14:paraId="20972D99">
      <w:pPr>
        <w:spacing w:line="360" w:lineRule="auto"/>
        <w:ind w:firstLine="457" w:firstLineChars="218"/>
        <w:rPr>
          <w:rFonts w:hint="eastAsia" w:ascii="宋体" w:hAnsi="宋体"/>
          <w:color w:val="auto"/>
          <w:szCs w:val="21"/>
          <w:highlight w:val="none"/>
        </w:rPr>
      </w:pPr>
    </w:p>
    <w:p w14:paraId="785E017D">
      <w:pPr>
        <w:spacing w:line="440" w:lineRule="exact"/>
        <w:ind w:firstLine="3795" w:firstLineChars="1800"/>
        <w:rPr>
          <w:rFonts w:hint="eastAsia" w:ascii="宋体" w:hAnsi="宋体"/>
          <w:b/>
          <w:bCs/>
          <w:color w:val="auto"/>
          <w:szCs w:val="21"/>
          <w:highlight w:val="none"/>
        </w:rPr>
      </w:pPr>
    </w:p>
    <w:p w14:paraId="70286299">
      <w:pPr>
        <w:spacing w:line="440" w:lineRule="exact"/>
        <w:ind w:firstLine="480"/>
        <w:rPr>
          <w:rFonts w:hint="eastAsia" w:ascii="宋体" w:hAnsi="宋体"/>
          <w:b/>
          <w:bCs/>
          <w:color w:val="auto"/>
          <w:szCs w:val="21"/>
          <w:highlight w:val="none"/>
        </w:rPr>
      </w:pPr>
    </w:p>
    <w:p w14:paraId="6924A455">
      <w:pPr>
        <w:rPr>
          <w:rFonts w:hint="eastAsia" w:ascii="宋体" w:hAnsi="宋体"/>
          <w:color w:val="auto"/>
          <w:szCs w:val="21"/>
          <w:highlight w:val="none"/>
          <w:u w:val="singl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r>
        <w:rPr>
          <w:rFonts w:hint="eastAsia" w:ascii="宋体" w:hAnsi="宋体"/>
          <w:color w:val="auto"/>
          <w:szCs w:val="21"/>
          <w:highlight w:val="none"/>
        </w:rPr>
        <w:t>（单位公章）</w:t>
      </w:r>
    </w:p>
    <w:p w14:paraId="03DFCF38">
      <w:pPr>
        <w:rPr>
          <w:rFonts w:hint="eastAsia" w:ascii="宋体" w:hAnsi="宋体"/>
          <w:color w:val="auto"/>
          <w:szCs w:val="21"/>
          <w:highlight w:val="none"/>
        </w:rPr>
      </w:pPr>
    </w:p>
    <w:p w14:paraId="3F485AC9">
      <w:pPr>
        <w:tabs>
          <w:tab w:val="left" w:pos="8364"/>
        </w:tabs>
        <w:snapToGrid w:val="0"/>
        <w:spacing w:line="360" w:lineRule="exact"/>
        <w:ind w:right="-58"/>
        <w:rPr>
          <w:rFonts w:hint="eastAsia" w:ascii="宋体" w:hAnsi="宋体"/>
          <w:color w:val="auto"/>
          <w:szCs w:val="21"/>
          <w:highlight w:val="none"/>
        </w:rPr>
      </w:pPr>
      <w:r>
        <w:rPr>
          <w:rFonts w:hint="eastAsia" w:ascii="宋体" w:hAnsi="宋体"/>
          <w:color w:val="auto"/>
          <w:szCs w:val="21"/>
          <w:highlight w:val="none"/>
        </w:rPr>
        <w:t>法定代表人或其授权代表：</w:t>
      </w:r>
      <w:r>
        <w:rPr>
          <w:rFonts w:ascii="宋体" w:hAnsi="宋体"/>
          <w:color w:val="auto"/>
          <w:szCs w:val="21"/>
          <w:highlight w:val="none"/>
          <w:u w:val="single"/>
        </w:rPr>
        <w:t xml:space="preserve">             </w:t>
      </w:r>
      <w:r>
        <w:rPr>
          <w:rFonts w:hint="eastAsia" w:ascii="宋体" w:hAnsi="宋体"/>
          <w:color w:val="auto"/>
          <w:szCs w:val="21"/>
          <w:highlight w:val="none"/>
        </w:rPr>
        <w:t>（签字或签章）</w:t>
      </w:r>
    </w:p>
    <w:p w14:paraId="67ACE066">
      <w:pPr>
        <w:rPr>
          <w:rFonts w:hint="eastAsia" w:ascii="宋体" w:hAnsi="宋体"/>
          <w:color w:val="auto"/>
          <w:szCs w:val="21"/>
          <w:highlight w:val="none"/>
        </w:rPr>
      </w:pPr>
    </w:p>
    <w:p w14:paraId="15A03BC8">
      <w:pPr>
        <w:rPr>
          <w:rFonts w:hint="eastAsia" w:ascii="宋体" w:hAnsi="宋体"/>
          <w:color w:val="auto"/>
          <w:szCs w:val="21"/>
          <w:highlight w:val="none"/>
        </w:rPr>
      </w:pPr>
      <w:r>
        <w:rPr>
          <w:rFonts w:hint="eastAsia" w:ascii="宋体" w:hAnsi="宋体"/>
          <w:color w:val="auto"/>
          <w:szCs w:val="21"/>
          <w:highlight w:val="none"/>
        </w:rPr>
        <w:t>地址：</w:t>
      </w:r>
    </w:p>
    <w:p w14:paraId="1EF3631F">
      <w:pPr>
        <w:rPr>
          <w:rFonts w:hint="eastAsia" w:ascii="宋体" w:hAnsi="宋体"/>
          <w:color w:val="auto"/>
          <w:szCs w:val="21"/>
          <w:highlight w:val="none"/>
        </w:rPr>
      </w:pPr>
    </w:p>
    <w:p w14:paraId="6478E888">
      <w:pPr>
        <w:rPr>
          <w:rFonts w:hint="eastAsia" w:ascii="宋体" w:hAnsi="宋体"/>
          <w:color w:val="auto"/>
          <w:szCs w:val="21"/>
          <w:highlight w:val="none"/>
        </w:rPr>
      </w:pPr>
      <w:r>
        <w:rPr>
          <w:rFonts w:hint="eastAsia" w:ascii="宋体" w:hAnsi="宋体"/>
          <w:color w:val="auto"/>
          <w:szCs w:val="21"/>
          <w:highlight w:val="none"/>
        </w:rPr>
        <w:t xml:space="preserve">日期： </w:t>
      </w:r>
      <w:r>
        <w:rPr>
          <w:rFonts w:ascii="宋体" w:hAnsi="宋体"/>
          <w:color w:val="auto"/>
          <w:szCs w:val="21"/>
          <w:highlight w:val="none"/>
        </w:rPr>
        <w:t xml:space="preserve">       </w:t>
      </w: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 xml:space="preserve">月 </w:t>
      </w:r>
      <w:r>
        <w:rPr>
          <w:rFonts w:ascii="宋体" w:hAnsi="宋体"/>
          <w:color w:val="auto"/>
          <w:szCs w:val="21"/>
          <w:highlight w:val="none"/>
        </w:rPr>
        <w:t xml:space="preserve">   </w:t>
      </w:r>
      <w:r>
        <w:rPr>
          <w:rFonts w:hint="eastAsia" w:ascii="宋体" w:hAnsi="宋体"/>
          <w:color w:val="auto"/>
          <w:szCs w:val="21"/>
          <w:highlight w:val="none"/>
        </w:rPr>
        <w:t>日</w:t>
      </w:r>
    </w:p>
    <w:p w14:paraId="62ED0BD9">
      <w:pPr>
        <w:rPr>
          <w:rFonts w:hint="eastAsia" w:ascii="宋体" w:hAnsi="宋体"/>
          <w:color w:val="auto"/>
          <w:szCs w:val="22"/>
          <w:highlight w:val="none"/>
        </w:rPr>
      </w:pPr>
    </w:p>
    <w:p w14:paraId="45081B8D">
      <w:pPr>
        <w:rPr>
          <w:rFonts w:hint="eastAsia" w:ascii="宋体" w:hAnsi="宋体"/>
          <w:color w:val="auto"/>
          <w:szCs w:val="22"/>
          <w:highlight w:val="none"/>
        </w:rPr>
      </w:pPr>
    </w:p>
    <w:p w14:paraId="3823C76E">
      <w:pPr>
        <w:rPr>
          <w:rFonts w:hint="eastAsia" w:ascii="宋体" w:hAnsi="宋体"/>
          <w:color w:val="auto"/>
          <w:szCs w:val="22"/>
          <w:highlight w:val="none"/>
        </w:rPr>
      </w:pPr>
    </w:p>
    <w:p w14:paraId="7E1306B2">
      <w:pPr>
        <w:rPr>
          <w:rFonts w:hint="eastAsia" w:ascii="宋体" w:hAnsi="宋体"/>
          <w:color w:val="auto"/>
          <w:szCs w:val="22"/>
          <w:highlight w:val="none"/>
        </w:rPr>
      </w:pPr>
    </w:p>
    <w:p w14:paraId="21CF93D3">
      <w:pPr>
        <w:rPr>
          <w:rFonts w:hint="eastAsia" w:ascii="宋体" w:hAnsi="宋体"/>
          <w:color w:val="auto"/>
          <w:szCs w:val="22"/>
          <w:highlight w:val="none"/>
        </w:rPr>
      </w:pPr>
    </w:p>
    <w:p w14:paraId="7BB71916">
      <w:pPr>
        <w:rPr>
          <w:rFonts w:hint="eastAsia" w:ascii="宋体" w:hAnsi="宋体"/>
          <w:color w:val="auto"/>
          <w:szCs w:val="22"/>
          <w:highlight w:val="none"/>
        </w:rPr>
      </w:pPr>
    </w:p>
    <w:p w14:paraId="789AABCE">
      <w:pPr>
        <w:rPr>
          <w:rFonts w:hint="eastAsia" w:ascii="宋体" w:hAnsi="宋体"/>
          <w:color w:val="auto"/>
          <w:szCs w:val="22"/>
          <w:highlight w:val="none"/>
        </w:rPr>
      </w:pPr>
    </w:p>
    <w:p w14:paraId="7F366094">
      <w:pPr>
        <w:rPr>
          <w:rFonts w:hint="eastAsia" w:ascii="宋体" w:hAnsi="宋体"/>
          <w:color w:val="auto"/>
          <w:szCs w:val="22"/>
          <w:highlight w:val="none"/>
        </w:rPr>
      </w:pPr>
    </w:p>
    <w:p w14:paraId="2DFD1BE8">
      <w:pPr>
        <w:rPr>
          <w:rFonts w:hint="eastAsia" w:ascii="宋体" w:hAnsi="宋体"/>
          <w:color w:val="auto"/>
          <w:szCs w:val="22"/>
          <w:highlight w:val="none"/>
        </w:rPr>
      </w:pPr>
    </w:p>
    <w:p w14:paraId="61B5F5BD">
      <w:pPr>
        <w:rPr>
          <w:rFonts w:hint="eastAsia" w:ascii="宋体" w:hAnsi="宋体"/>
          <w:color w:val="auto"/>
          <w:szCs w:val="22"/>
          <w:highlight w:val="none"/>
        </w:rPr>
      </w:pPr>
    </w:p>
    <w:p w14:paraId="5CFB6A98">
      <w:pPr>
        <w:rPr>
          <w:rFonts w:hint="eastAsia" w:ascii="宋体" w:hAnsi="宋体"/>
          <w:color w:val="auto"/>
          <w:szCs w:val="22"/>
          <w:highlight w:val="none"/>
        </w:rPr>
      </w:pPr>
    </w:p>
    <w:p w14:paraId="242D2AD0">
      <w:pPr>
        <w:rPr>
          <w:rFonts w:hint="eastAsia" w:ascii="宋体" w:hAnsi="宋体"/>
          <w:color w:val="auto"/>
          <w:szCs w:val="22"/>
          <w:highlight w:val="none"/>
        </w:rPr>
      </w:pPr>
    </w:p>
    <w:p w14:paraId="5996EDD6">
      <w:pPr>
        <w:rPr>
          <w:rFonts w:hint="eastAsia" w:ascii="宋体" w:hAnsi="宋体"/>
          <w:color w:val="auto"/>
          <w:szCs w:val="22"/>
          <w:highlight w:val="none"/>
        </w:rPr>
      </w:pPr>
    </w:p>
    <w:p w14:paraId="4A584EA7">
      <w:pPr>
        <w:rPr>
          <w:rFonts w:hint="eastAsia" w:ascii="宋体" w:hAnsi="宋体"/>
          <w:color w:val="auto"/>
          <w:szCs w:val="22"/>
          <w:highlight w:val="none"/>
        </w:rPr>
      </w:pPr>
    </w:p>
    <w:p w14:paraId="3A1A8141">
      <w:pPr>
        <w:rPr>
          <w:rFonts w:hint="eastAsia" w:ascii="宋体" w:hAnsi="宋体"/>
          <w:color w:val="auto"/>
          <w:szCs w:val="22"/>
          <w:highlight w:val="none"/>
        </w:rPr>
      </w:pPr>
    </w:p>
    <w:p w14:paraId="642F374C">
      <w:pPr>
        <w:pStyle w:val="4"/>
        <w:ind w:firstLine="137"/>
        <w:rPr>
          <w:rFonts w:hint="eastAsia" w:ascii="宋体" w:hAnsi="宋体"/>
          <w:color w:val="auto"/>
          <w:highlight w:val="none"/>
        </w:rPr>
      </w:pPr>
      <w:r>
        <w:rPr>
          <w:rFonts w:ascii="宋体" w:hAnsi="宋体"/>
          <w:strike/>
          <w:color w:val="auto"/>
          <w:highlight w:val="none"/>
        </w:rPr>
        <w:br w:type="page"/>
      </w:r>
      <w:bookmarkStart w:id="1463" w:name="_Toc11541"/>
      <w:bookmarkStart w:id="1464" w:name="_Toc19711"/>
      <w:bookmarkStart w:id="1465" w:name="_Toc18830"/>
      <w:bookmarkStart w:id="1466" w:name="_Toc21737"/>
      <w:bookmarkStart w:id="1467" w:name="_Toc21425"/>
      <w:bookmarkStart w:id="1468" w:name="_Toc18272"/>
      <w:r>
        <w:rPr>
          <w:rFonts w:hint="eastAsia" w:ascii="宋体" w:hAnsi="宋体"/>
          <w:color w:val="auto"/>
          <w:kern w:val="24"/>
          <w:sz w:val="28"/>
          <w:szCs w:val="20"/>
          <w:highlight w:val="none"/>
        </w:rPr>
        <w:t>八</w:t>
      </w:r>
      <w:r>
        <w:rPr>
          <w:rFonts w:ascii="宋体" w:hAnsi="宋体"/>
          <w:color w:val="auto"/>
          <w:kern w:val="24"/>
          <w:sz w:val="28"/>
          <w:szCs w:val="20"/>
          <w:highlight w:val="none"/>
        </w:rPr>
        <w:t>.</w:t>
      </w:r>
      <w:r>
        <w:rPr>
          <w:rFonts w:hint="eastAsia" w:ascii="宋体" w:hAnsi="宋体"/>
          <w:color w:val="auto"/>
          <w:highlight w:val="none"/>
        </w:rPr>
        <w:t>投标人类似项目业绩表</w:t>
      </w:r>
      <w:bookmarkEnd w:id="1463"/>
      <w:bookmarkEnd w:id="1464"/>
      <w:bookmarkEnd w:id="1465"/>
      <w:bookmarkEnd w:id="1466"/>
      <w:bookmarkEnd w:id="1467"/>
      <w:bookmarkEnd w:id="1468"/>
    </w:p>
    <w:tbl>
      <w:tblPr>
        <w:tblStyle w:val="21"/>
        <w:tblW w:w="4998" w:type="pct"/>
        <w:tblInd w:w="0" w:type="dxa"/>
        <w:tblLayout w:type="autofit"/>
        <w:tblCellMar>
          <w:top w:w="0" w:type="dxa"/>
          <w:left w:w="108" w:type="dxa"/>
          <w:bottom w:w="0" w:type="dxa"/>
          <w:right w:w="108" w:type="dxa"/>
        </w:tblCellMar>
      </w:tblPr>
      <w:tblGrid>
        <w:gridCol w:w="846"/>
        <w:gridCol w:w="1551"/>
        <w:gridCol w:w="1878"/>
        <w:gridCol w:w="2202"/>
        <w:gridCol w:w="1285"/>
        <w:gridCol w:w="2087"/>
      </w:tblGrid>
      <w:tr w14:paraId="6A98001F">
        <w:tblPrEx>
          <w:tblCellMar>
            <w:top w:w="0" w:type="dxa"/>
            <w:left w:w="108" w:type="dxa"/>
            <w:bottom w:w="0" w:type="dxa"/>
            <w:right w:w="108" w:type="dxa"/>
          </w:tblCellMar>
        </w:tblPrEx>
        <w:trPr>
          <w:trHeight w:val="810" w:hRule="atLeast"/>
        </w:trPr>
        <w:tc>
          <w:tcPr>
            <w:tcW w:w="429" w:type="pct"/>
            <w:tcBorders>
              <w:top w:val="single" w:color="auto" w:sz="8" w:space="0"/>
              <w:left w:val="single" w:color="auto" w:sz="8" w:space="0"/>
              <w:bottom w:val="single" w:color="auto" w:sz="8" w:space="0"/>
              <w:right w:val="single" w:color="auto" w:sz="4" w:space="0"/>
            </w:tcBorders>
            <w:vAlign w:val="center"/>
          </w:tcPr>
          <w:p w14:paraId="0ADF5A2E">
            <w:pPr>
              <w:spacing w:line="360" w:lineRule="auto"/>
              <w:rPr>
                <w:rFonts w:hint="eastAsia" w:ascii="宋体" w:hAnsi="宋体"/>
                <w:color w:val="auto"/>
                <w:szCs w:val="22"/>
                <w:highlight w:val="none"/>
              </w:rPr>
            </w:pPr>
            <w:r>
              <w:rPr>
                <w:rFonts w:hint="eastAsia" w:ascii="宋体" w:hAnsi="宋体"/>
                <w:color w:val="auto"/>
                <w:szCs w:val="22"/>
                <w:highlight w:val="none"/>
              </w:rPr>
              <w:t>序                号</w:t>
            </w:r>
          </w:p>
        </w:tc>
        <w:tc>
          <w:tcPr>
            <w:tcW w:w="787" w:type="pct"/>
            <w:tcBorders>
              <w:top w:val="single" w:color="auto" w:sz="8" w:space="0"/>
              <w:left w:val="nil"/>
              <w:bottom w:val="single" w:color="auto" w:sz="8" w:space="0"/>
              <w:right w:val="single" w:color="auto" w:sz="4" w:space="0"/>
            </w:tcBorders>
            <w:vAlign w:val="center"/>
          </w:tcPr>
          <w:p w14:paraId="5C8B23B8">
            <w:pPr>
              <w:spacing w:line="360" w:lineRule="auto"/>
              <w:rPr>
                <w:rFonts w:hint="eastAsia" w:ascii="宋体" w:hAnsi="宋体"/>
                <w:color w:val="auto"/>
                <w:szCs w:val="22"/>
                <w:highlight w:val="none"/>
              </w:rPr>
            </w:pPr>
            <w:r>
              <w:rPr>
                <w:rFonts w:hint="eastAsia" w:ascii="宋体" w:hAnsi="宋体"/>
                <w:color w:val="auto"/>
                <w:szCs w:val="22"/>
                <w:highlight w:val="none"/>
              </w:rPr>
              <w:t>项目名称</w:t>
            </w:r>
          </w:p>
        </w:tc>
        <w:tc>
          <w:tcPr>
            <w:tcW w:w="953" w:type="pct"/>
            <w:tcBorders>
              <w:top w:val="single" w:color="auto" w:sz="8" w:space="0"/>
              <w:left w:val="nil"/>
              <w:bottom w:val="single" w:color="auto" w:sz="8" w:space="0"/>
              <w:right w:val="single" w:color="auto" w:sz="4" w:space="0"/>
            </w:tcBorders>
            <w:vAlign w:val="center"/>
          </w:tcPr>
          <w:p w14:paraId="60CFDCFC">
            <w:pPr>
              <w:spacing w:line="360" w:lineRule="auto"/>
              <w:rPr>
                <w:rFonts w:hint="eastAsia" w:ascii="宋体" w:hAnsi="宋体"/>
                <w:color w:val="auto"/>
                <w:szCs w:val="22"/>
                <w:highlight w:val="none"/>
              </w:rPr>
            </w:pPr>
            <w:r>
              <w:rPr>
                <w:rFonts w:hint="eastAsia" w:ascii="宋体" w:hAnsi="宋体"/>
                <w:color w:val="auto"/>
                <w:szCs w:val="22"/>
                <w:highlight w:val="none"/>
              </w:rPr>
              <w:t>项目概况</w:t>
            </w:r>
          </w:p>
        </w:tc>
        <w:tc>
          <w:tcPr>
            <w:tcW w:w="1117" w:type="pct"/>
            <w:tcBorders>
              <w:top w:val="single" w:color="auto" w:sz="8" w:space="0"/>
              <w:left w:val="nil"/>
              <w:bottom w:val="single" w:color="auto" w:sz="8" w:space="0"/>
              <w:right w:val="single" w:color="auto" w:sz="4" w:space="0"/>
            </w:tcBorders>
            <w:vAlign w:val="center"/>
          </w:tcPr>
          <w:p w14:paraId="622290B3">
            <w:pPr>
              <w:spacing w:line="360" w:lineRule="auto"/>
              <w:jc w:val="left"/>
              <w:rPr>
                <w:rFonts w:hint="eastAsia" w:ascii="宋体" w:hAnsi="宋体"/>
                <w:color w:val="auto"/>
                <w:szCs w:val="22"/>
                <w:highlight w:val="none"/>
              </w:rPr>
            </w:pPr>
            <w:r>
              <w:rPr>
                <w:rFonts w:hint="eastAsia" w:ascii="宋体" w:hAnsi="宋体"/>
                <w:color w:val="auto"/>
                <w:szCs w:val="22"/>
                <w:highlight w:val="none"/>
              </w:rPr>
              <w:t>项目内容</w:t>
            </w:r>
          </w:p>
        </w:tc>
        <w:tc>
          <w:tcPr>
            <w:tcW w:w="652" w:type="pct"/>
            <w:tcBorders>
              <w:top w:val="single" w:color="auto" w:sz="8" w:space="0"/>
              <w:left w:val="nil"/>
              <w:bottom w:val="single" w:color="auto" w:sz="8" w:space="0"/>
              <w:right w:val="single" w:color="auto" w:sz="8" w:space="0"/>
            </w:tcBorders>
            <w:vAlign w:val="center"/>
          </w:tcPr>
          <w:p w14:paraId="74FB32D8">
            <w:pPr>
              <w:spacing w:line="360" w:lineRule="auto"/>
              <w:rPr>
                <w:rFonts w:hint="eastAsia" w:ascii="宋体" w:hAnsi="宋体"/>
                <w:color w:val="auto"/>
                <w:szCs w:val="22"/>
                <w:highlight w:val="none"/>
              </w:rPr>
            </w:pPr>
            <w:r>
              <w:rPr>
                <w:rFonts w:hint="eastAsia" w:ascii="宋体" w:hAnsi="宋体"/>
                <w:color w:val="auto"/>
                <w:szCs w:val="22"/>
                <w:highlight w:val="none"/>
              </w:rPr>
              <w:t>完工时间</w:t>
            </w:r>
          </w:p>
        </w:tc>
        <w:tc>
          <w:tcPr>
            <w:tcW w:w="1059" w:type="pct"/>
            <w:tcBorders>
              <w:top w:val="single" w:color="auto" w:sz="8" w:space="0"/>
              <w:left w:val="nil"/>
              <w:bottom w:val="single" w:color="auto" w:sz="8" w:space="0"/>
              <w:right w:val="single" w:color="auto" w:sz="8" w:space="0"/>
            </w:tcBorders>
            <w:vAlign w:val="center"/>
          </w:tcPr>
          <w:p w14:paraId="3DC26AFE">
            <w:pPr>
              <w:spacing w:line="360" w:lineRule="auto"/>
              <w:rPr>
                <w:rFonts w:hint="eastAsia" w:ascii="宋体" w:hAnsi="宋体"/>
                <w:color w:val="auto"/>
                <w:szCs w:val="22"/>
                <w:highlight w:val="none"/>
              </w:rPr>
            </w:pPr>
            <w:r>
              <w:rPr>
                <w:rFonts w:hint="eastAsia" w:ascii="宋体" w:hAnsi="宋体"/>
                <w:color w:val="auto"/>
                <w:szCs w:val="22"/>
                <w:highlight w:val="none"/>
              </w:rPr>
              <w:t>招标人名称、地址、电话</w:t>
            </w:r>
          </w:p>
        </w:tc>
      </w:tr>
      <w:tr w14:paraId="3A700FEE">
        <w:tblPrEx>
          <w:tblCellMar>
            <w:top w:w="0" w:type="dxa"/>
            <w:left w:w="108" w:type="dxa"/>
            <w:bottom w:w="0" w:type="dxa"/>
            <w:right w:w="108" w:type="dxa"/>
          </w:tblCellMar>
        </w:tblPrEx>
        <w:trPr>
          <w:trHeight w:val="900" w:hRule="atLeast"/>
        </w:trPr>
        <w:tc>
          <w:tcPr>
            <w:tcW w:w="429" w:type="pct"/>
            <w:tcBorders>
              <w:top w:val="nil"/>
              <w:left w:val="single" w:color="auto" w:sz="8" w:space="0"/>
              <w:bottom w:val="single" w:color="auto" w:sz="4" w:space="0"/>
              <w:right w:val="single" w:color="auto" w:sz="4" w:space="0"/>
            </w:tcBorders>
            <w:noWrap/>
            <w:vAlign w:val="bottom"/>
          </w:tcPr>
          <w:p w14:paraId="7989216D">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787" w:type="pct"/>
            <w:tcBorders>
              <w:top w:val="nil"/>
              <w:left w:val="nil"/>
              <w:bottom w:val="single" w:color="auto" w:sz="4" w:space="0"/>
              <w:right w:val="single" w:color="auto" w:sz="4" w:space="0"/>
            </w:tcBorders>
            <w:noWrap/>
            <w:vAlign w:val="bottom"/>
          </w:tcPr>
          <w:p w14:paraId="793250DD">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953" w:type="pct"/>
            <w:tcBorders>
              <w:top w:val="nil"/>
              <w:left w:val="nil"/>
              <w:bottom w:val="single" w:color="auto" w:sz="4" w:space="0"/>
              <w:right w:val="single" w:color="auto" w:sz="4" w:space="0"/>
            </w:tcBorders>
            <w:noWrap/>
            <w:vAlign w:val="bottom"/>
          </w:tcPr>
          <w:p w14:paraId="65F36E74">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1117" w:type="pct"/>
            <w:tcBorders>
              <w:top w:val="nil"/>
              <w:left w:val="nil"/>
              <w:bottom w:val="single" w:color="auto" w:sz="4" w:space="0"/>
              <w:right w:val="single" w:color="auto" w:sz="4" w:space="0"/>
            </w:tcBorders>
            <w:noWrap/>
            <w:vAlign w:val="bottom"/>
          </w:tcPr>
          <w:p w14:paraId="7FC57DB8">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652" w:type="pct"/>
            <w:tcBorders>
              <w:top w:val="nil"/>
              <w:left w:val="nil"/>
              <w:bottom w:val="single" w:color="auto" w:sz="4" w:space="0"/>
              <w:right w:val="single" w:color="auto" w:sz="8" w:space="0"/>
            </w:tcBorders>
            <w:noWrap/>
            <w:vAlign w:val="bottom"/>
          </w:tcPr>
          <w:p w14:paraId="351EE3A9">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1059" w:type="pct"/>
            <w:tcBorders>
              <w:top w:val="nil"/>
              <w:left w:val="nil"/>
              <w:bottom w:val="single" w:color="auto" w:sz="4" w:space="0"/>
              <w:right w:val="single" w:color="auto" w:sz="8" w:space="0"/>
            </w:tcBorders>
            <w:noWrap/>
            <w:vAlign w:val="bottom"/>
          </w:tcPr>
          <w:p w14:paraId="305A37E6">
            <w:pPr>
              <w:spacing w:line="360" w:lineRule="auto"/>
              <w:rPr>
                <w:rFonts w:hint="eastAsia" w:ascii="宋体" w:hAnsi="宋体"/>
                <w:color w:val="auto"/>
                <w:szCs w:val="22"/>
                <w:highlight w:val="none"/>
              </w:rPr>
            </w:pPr>
          </w:p>
        </w:tc>
      </w:tr>
      <w:tr w14:paraId="633D89A3">
        <w:tblPrEx>
          <w:tblCellMar>
            <w:top w:w="0" w:type="dxa"/>
            <w:left w:w="108" w:type="dxa"/>
            <w:bottom w:w="0" w:type="dxa"/>
            <w:right w:w="108" w:type="dxa"/>
          </w:tblCellMar>
        </w:tblPrEx>
        <w:trPr>
          <w:trHeight w:val="900" w:hRule="atLeast"/>
        </w:trPr>
        <w:tc>
          <w:tcPr>
            <w:tcW w:w="429" w:type="pct"/>
            <w:tcBorders>
              <w:top w:val="nil"/>
              <w:left w:val="single" w:color="auto" w:sz="8" w:space="0"/>
              <w:bottom w:val="single" w:color="auto" w:sz="4" w:space="0"/>
              <w:right w:val="single" w:color="auto" w:sz="4" w:space="0"/>
            </w:tcBorders>
            <w:noWrap/>
            <w:vAlign w:val="bottom"/>
          </w:tcPr>
          <w:p w14:paraId="67249FBA">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787" w:type="pct"/>
            <w:tcBorders>
              <w:top w:val="nil"/>
              <w:left w:val="nil"/>
              <w:bottom w:val="single" w:color="auto" w:sz="4" w:space="0"/>
              <w:right w:val="single" w:color="auto" w:sz="4" w:space="0"/>
            </w:tcBorders>
            <w:noWrap/>
            <w:vAlign w:val="bottom"/>
          </w:tcPr>
          <w:p w14:paraId="3D961A4B">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953" w:type="pct"/>
            <w:tcBorders>
              <w:top w:val="nil"/>
              <w:left w:val="nil"/>
              <w:bottom w:val="single" w:color="auto" w:sz="4" w:space="0"/>
              <w:right w:val="single" w:color="auto" w:sz="4" w:space="0"/>
            </w:tcBorders>
            <w:noWrap/>
            <w:vAlign w:val="bottom"/>
          </w:tcPr>
          <w:p w14:paraId="6D7B4C31">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1117" w:type="pct"/>
            <w:tcBorders>
              <w:top w:val="nil"/>
              <w:left w:val="nil"/>
              <w:bottom w:val="single" w:color="auto" w:sz="4" w:space="0"/>
              <w:right w:val="single" w:color="auto" w:sz="4" w:space="0"/>
            </w:tcBorders>
            <w:noWrap/>
            <w:vAlign w:val="bottom"/>
          </w:tcPr>
          <w:p w14:paraId="61BD6464">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652" w:type="pct"/>
            <w:tcBorders>
              <w:top w:val="nil"/>
              <w:left w:val="nil"/>
              <w:bottom w:val="single" w:color="auto" w:sz="4" w:space="0"/>
              <w:right w:val="single" w:color="auto" w:sz="8" w:space="0"/>
            </w:tcBorders>
            <w:noWrap/>
            <w:vAlign w:val="bottom"/>
          </w:tcPr>
          <w:p w14:paraId="4B6EC952">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1059" w:type="pct"/>
            <w:tcBorders>
              <w:top w:val="nil"/>
              <w:left w:val="nil"/>
              <w:bottom w:val="single" w:color="auto" w:sz="4" w:space="0"/>
              <w:right w:val="single" w:color="auto" w:sz="8" w:space="0"/>
            </w:tcBorders>
            <w:noWrap/>
            <w:vAlign w:val="bottom"/>
          </w:tcPr>
          <w:p w14:paraId="1DBDF618">
            <w:pPr>
              <w:spacing w:line="360" w:lineRule="auto"/>
              <w:rPr>
                <w:rFonts w:hint="eastAsia" w:ascii="宋体" w:hAnsi="宋体"/>
                <w:color w:val="auto"/>
                <w:szCs w:val="22"/>
                <w:highlight w:val="none"/>
              </w:rPr>
            </w:pPr>
          </w:p>
        </w:tc>
      </w:tr>
      <w:tr w14:paraId="12DA5DAB">
        <w:tblPrEx>
          <w:tblCellMar>
            <w:top w:w="0" w:type="dxa"/>
            <w:left w:w="108" w:type="dxa"/>
            <w:bottom w:w="0" w:type="dxa"/>
            <w:right w:w="108" w:type="dxa"/>
          </w:tblCellMar>
        </w:tblPrEx>
        <w:trPr>
          <w:trHeight w:val="900" w:hRule="atLeast"/>
        </w:trPr>
        <w:tc>
          <w:tcPr>
            <w:tcW w:w="429" w:type="pct"/>
            <w:tcBorders>
              <w:top w:val="nil"/>
              <w:left w:val="single" w:color="auto" w:sz="8" w:space="0"/>
              <w:bottom w:val="single" w:color="auto" w:sz="4" w:space="0"/>
              <w:right w:val="single" w:color="auto" w:sz="4" w:space="0"/>
            </w:tcBorders>
            <w:noWrap/>
            <w:vAlign w:val="bottom"/>
          </w:tcPr>
          <w:p w14:paraId="34F55F1F">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787" w:type="pct"/>
            <w:tcBorders>
              <w:top w:val="nil"/>
              <w:left w:val="nil"/>
              <w:bottom w:val="single" w:color="auto" w:sz="4" w:space="0"/>
              <w:right w:val="single" w:color="auto" w:sz="4" w:space="0"/>
            </w:tcBorders>
            <w:noWrap/>
            <w:vAlign w:val="bottom"/>
          </w:tcPr>
          <w:p w14:paraId="71BA0F65">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953" w:type="pct"/>
            <w:tcBorders>
              <w:top w:val="nil"/>
              <w:left w:val="nil"/>
              <w:bottom w:val="single" w:color="auto" w:sz="4" w:space="0"/>
              <w:right w:val="single" w:color="auto" w:sz="4" w:space="0"/>
            </w:tcBorders>
            <w:noWrap/>
            <w:vAlign w:val="bottom"/>
          </w:tcPr>
          <w:p w14:paraId="2B9D217C">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1117" w:type="pct"/>
            <w:tcBorders>
              <w:top w:val="nil"/>
              <w:left w:val="nil"/>
              <w:bottom w:val="single" w:color="auto" w:sz="4" w:space="0"/>
              <w:right w:val="single" w:color="auto" w:sz="4" w:space="0"/>
            </w:tcBorders>
            <w:noWrap/>
            <w:vAlign w:val="bottom"/>
          </w:tcPr>
          <w:p w14:paraId="654F6C71">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652" w:type="pct"/>
            <w:tcBorders>
              <w:top w:val="nil"/>
              <w:left w:val="nil"/>
              <w:bottom w:val="single" w:color="auto" w:sz="4" w:space="0"/>
              <w:right w:val="single" w:color="auto" w:sz="8" w:space="0"/>
            </w:tcBorders>
            <w:noWrap/>
            <w:vAlign w:val="bottom"/>
          </w:tcPr>
          <w:p w14:paraId="051EF04C">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1059" w:type="pct"/>
            <w:tcBorders>
              <w:top w:val="nil"/>
              <w:left w:val="nil"/>
              <w:bottom w:val="single" w:color="auto" w:sz="4" w:space="0"/>
              <w:right w:val="single" w:color="auto" w:sz="8" w:space="0"/>
            </w:tcBorders>
            <w:noWrap/>
            <w:vAlign w:val="bottom"/>
          </w:tcPr>
          <w:p w14:paraId="4D7C5A16">
            <w:pPr>
              <w:spacing w:line="360" w:lineRule="auto"/>
              <w:rPr>
                <w:rFonts w:hint="eastAsia" w:ascii="宋体" w:hAnsi="宋体"/>
                <w:color w:val="auto"/>
                <w:szCs w:val="22"/>
                <w:highlight w:val="none"/>
              </w:rPr>
            </w:pPr>
          </w:p>
        </w:tc>
      </w:tr>
      <w:tr w14:paraId="48E73EB9">
        <w:tblPrEx>
          <w:tblCellMar>
            <w:top w:w="0" w:type="dxa"/>
            <w:left w:w="108" w:type="dxa"/>
            <w:bottom w:w="0" w:type="dxa"/>
            <w:right w:w="108" w:type="dxa"/>
          </w:tblCellMar>
        </w:tblPrEx>
        <w:trPr>
          <w:trHeight w:val="900" w:hRule="atLeast"/>
        </w:trPr>
        <w:tc>
          <w:tcPr>
            <w:tcW w:w="429" w:type="pct"/>
            <w:tcBorders>
              <w:top w:val="nil"/>
              <w:left w:val="single" w:color="auto" w:sz="8" w:space="0"/>
              <w:bottom w:val="single" w:color="auto" w:sz="4" w:space="0"/>
              <w:right w:val="single" w:color="auto" w:sz="4" w:space="0"/>
            </w:tcBorders>
            <w:noWrap/>
            <w:vAlign w:val="bottom"/>
          </w:tcPr>
          <w:p w14:paraId="3A793C84">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787" w:type="pct"/>
            <w:tcBorders>
              <w:top w:val="nil"/>
              <w:left w:val="nil"/>
              <w:bottom w:val="single" w:color="auto" w:sz="4" w:space="0"/>
              <w:right w:val="single" w:color="auto" w:sz="4" w:space="0"/>
            </w:tcBorders>
            <w:noWrap/>
            <w:vAlign w:val="bottom"/>
          </w:tcPr>
          <w:p w14:paraId="009E8BBC">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953" w:type="pct"/>
            <w:tcBorders>
              <w:top w:val="nil"/>
              <w:left w:val="nil"/>
              <w:bottom w:val="single" w:color="auto" w:sz="4" w:space="0"/>
              <w:right w:val="single" w:color="auto" w:sz="4" w:space="0"/>
            </w:tcBorders>
            <w:noWrap/>
            <w:vAlign w:val="bottom"/>
          </w:tcPr>
          <w:p w14:paraId="0065231E">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1117" w:type="pct"/>
            <w:tcBorders>
              <w:top w:val="nil"/>
              <w:left w:val="nil"/>
              <w:bottom w:val="single" w:color="auto" w:sz="4" w:space="0"/>
              <w:right w:val="single" w:color="auto" w:sz="4" w:space="0"/>
            </w:tcBorders>
            <w:noWrap/>
            <w:vAlign w:val="bottom"/>
          </w:tcPr>
          <w:p w14:paraId="2C89A5F6">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652" w:type="pct"/>
            <w:tcBorders>
              <w:top w:val="nil"/>
              <w:left w:val="nil"/>
              <w:bottom w:val="single" w:color="auto" w:sz="4" w:space="0"/>
              <w:right w:val="single" w:color="auto" w:sz="8" w:space="0"/>
            </w:tcBorders>
            <w:noWrap/>
            <w:vAlign w:val="bottom"/>
          </w:tcPr>
          <w:p w14:paraId="4A79EAAC">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1059" w:type="pct"/>
            <w:tcBorders>
              <w:top w:val="nil"/>
              <w:left w:val="nil"/>
              <w:bottom w:val="single" w:color="auto" w:sz="4" w:space="0"/>
              <w:right w:val="single" w:color="auto" w:sz="8" w:space="0"/>
            </w:tcBorders>
            <w:noWrap/>
            <w:vAlign w:val="bottom"/>
          </w:tcPr>
          <w:p w14:paraId="10477CF4">
            <w:pPr>
              <w:spacing w:line="360" w:lineRule="auto"/>
              <w:rPr>
                <w:rFonts w:hint="eastAsia" w:ascii="宋体" w:hAnsi="宋体"/>
                <w:color w:val="auto"/>
                <w:szCs w:val="22"/>
                <w:highlight w:val="none"/>
              </w:rPr>
            </w:pPr>
          </w:p>
        </w:tc>
      </w:tr>
      <w:tr w14:paraId="7F714AB6">
        <w:tblPrEx>
          <w:tblCellMar>
            <w:top w:w="0" w:type="dxa"/>
            <w:left w:w="108" w:type="dxa"/>
            <w:bottom w:w="0" w:type="dxa"/>
            <w:right w:w="108" w:type="dxa"/>
          </w:tblCellMar>
        </w:tblPrEx>
        <w:trPr>
          <w:trHeight w:val="900" w:hRule="atLeast"/>
        </w:trPr>
        <w:tc>
          <w:tcPr>
            <w:tcW w:w="429" w:type="pct"/>
            <w:tcBorders>
              <w:top w:val="nil"/>
              <w:left w:val="single" w:color="auto" w:sz="8" w:space="0"/>
              <w:bottom w:val="single" w:color="auto" w:sz="4" w:space="0"/>
              <w:right w:val="single" w:color="auto" w:sz="4" w:space="0"/>
            </w:tcBorders>
            <w:noWrap/>
            <w:vAlign w:val="bottom"/>
          </w:tcPr>
          <w:p w14:paraId="228D523A">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787" w:type="pct"/>
            <w:tcBorders>
              <w:top w:val="nil"/>
              <w:left w:val="nil"/>
              <w:bottom w:val="single" w:color="auto" w:sz="4" w:space="0"/>
              <w:right w:val="single" w:color="auto" w:sz="4" w:space="0"/>
            </w:tcBorders>
            <w:noWrap/>
            <w:vAlign w:val="bottom"/>
          </w:tcPr>
          <w:p w14:paraId="38DBAF7C">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953" w:type="pct"/>
            <w:tcBorders>
              <w:top w:val="nil"/>
              <w:left w:val="nil"/>
              <w:bottom w:val="single" w:color="auto" w:sz="4" w:space="0"/>
              <w:right w:val="single" w:color="auto" w:sz="4" w:space="0"/>
            </w:tcBorders>
            <w:noWrap/>
            <w:vAlign w:val="bottom"/>
          </w:tcPr>
          <w:p w14:paraId="1DC595FA">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1117" w:type="pct"/>
            <w:tcBorders>
              <w:top w:val="nil"/>
              <w:left w:val="nil"/>
              <w:bottom w:val="single" w:color="auto" w:sz="4" w:space="0"/>
              <w:right w:val="single" w:color="auto" w:sz="4" w:space="0"/>
            </w:tcBorders>
            <w:noWrap/>
            <w:vAlign w:val="bottom"/>
          </w:tcPr>
          <w:p w14:paraId="7BB9D2FF">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652" w:type="pct"/>
            <w:tcBorders>
              <w:top w:val="nil"/>
              <w:left w:val="nil"/>
              <w:bottom w:val="single" w:color="auto" w:sz="4" w:space="0"/>
              <w:right w:val="single" w:color="auto" w:sz="8" w:space="0"/>
            </w:tcBorders>
            <w:noWrap/>
            <w:vAlign w:val="bottom"/>
          </w:tcPr>
          <w:p w14:paraId="3F5B907B">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1059" w:type="pct"/>
            <w:tcBorders>
              <w:top w:val="nil"/>
              <w:left w:val="nil"/>
              <w:bottom w:val="single" w:color="auto" w:sz="4" w:space="0"/>
              <w:right w:val="single" w:color="auto" w:sz="8" w:space="0"/>
            </w:tcBorders>
            <w:noWrap/>
            <w:vAlign w:val="bottom"/>
          </w:tcPr>
          <w:p w14:paraId="7D160996">
            <w:pPr>
              <w:spacing w:line="360" w:lineRule="auto"/>
              <w:rPr>
                <w:rFonts w:hint="eastAsia" w:ascii="宋体" w:hAnsi="宋体"/>
                <w:color w:val="auto"/>
                <w:szCs w:val="22"/>
                <w:highlight w:val="none"/>
              </w:rPr>
            </w:pPr>
          </w:p>
        </w:tc>
      </w:tr>
      <w:tr w14:paraId="3C55BAA9">
        <w:tblPrEx>
          <w:tblCellMar>
            <w:top w:w="0" w:type="dxa"/>
            <w:left w:w="108" w:type="dxa"/>
            <w:bottom w:w="0" w:type="dxa"/>
            <w:right w:w="108" w:type="dxa"/>
          </w:tblCellMar>
        </w:tblPrEx>
        <w:trPr>
          <w:trHeight w:val="900" w:hRule="atLeast"/>
        </w:trPr>
        <w:tc>
          <w:tcPr>
            <w:tcW w:w="429" w:type="pct"/>
            <w:tcBorders>
              <w:top w:val="nil"/>
              <w:left w:val="single" w:color="auto" w:sz="8" w:space="0"/>
              <w:bottom w:val="single" w:color="auto" w:sz="8" w:space="0"/>
              <w:right w:val="single" w:color="auto" w:sz="4" w:space="0"/>
            </w:tcBorders>
            <w:noWrap/>
            <w:vAlign w:val="bottom"/>
          </w:tcPr>
          <w:p w14:paraId="02588642">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787" w:type="pct"/>
            <w:tcBorders>
              <w:top w:val="nil"/>
              <w:left w:val="nil"/>
              <w:bottom w:val="single" w:color="auto" w:sz="8" w:space="0"/>
              <w:right w:val="single" w:color="auto" w:sz="4" w:space="0"/>
            </w:tcBorders>
            <w:noWrap/>
            <w:vAlign w:val="bottom"/>
          </w:tcPr>
          <w:p w14:paraId="5483F5F6">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953" w:type="pct"/>
            <w:tcBorders>
              <w:top w:val="nil"/>
              <w:left w:val="nil"/>
              <w:bottom w:val="single" w:color="auto" w:sz="8" w:space="0"/>
              <w:right w:val="single" w:color="auto" w:sz="4" w:space="0"/>
            </w:tcBorders>
            <w:noWrap/>
            <w:vAlign w:val="bottom"/>
          </w:tcPr>
          <w:p w14:paraId="5BB65C7E">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1117" w:type="pct"/>
            <w:tcBorders>
              <w:top w:val="nil"/>
              <w:left w:val="nil"/>
              <w:bottom w:val="single" w:color="auto" w:sz="8" w:space="0"/>
              <w:right w:val="single" w:color="auto" w:sz="4" w:space="0"/>
            </w:tcBorders>
            <w:noWrap/>
            <w:vAlign w:val="bottom"/>
          </w:tcPr>
          <w:p w14:paraId="596D823C">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652" w:type="pct"/>
            <w:tcBorders>
              <w:top w:val="nil"/>
              <w:left w:val="nil"/>
              <w:bottom w:val="single" w:color="auto" w:sz="8" w:space="0"/>
              <w:right w:val="single" w:color="auto" w:sz="8" w:space="0"/>
            </w:tcBorders>
            <w:noWrap/>
            <w:vAlign w:val="bottom"/>
          </w:tcPr>
          <w:p w14:paraId="4813C3AC">
            <w:pPr>
              <w:spacing w:line="360" w:lineRule="auto"/>
              <w:rPr>
                <w:rFonts w:hint="eastAsia" w:ascii="宋体" w:hAnsi="宋体"/>
                <w:color w:val="auto"/>
                <w:szCs w:val="22"/>
                <w:highlight w:val="none"/>
              </w:rPr>
            </w:pPr>
            <w:r>
              <w:rPr>
                <w:rFonts w:hint="eastAsia" w:ascii="宋体" w:hAnsi="宋体"/>
                <w:color w:val="auto"/>
                <w:szCs w:val="22"/>
                <w:highlight w:val="none"/>
              </w:rPr>
              <w:t>　</w:t>
            </w:r>
          </w:p>
        </w:tc>
        <w:tc>
          <w:tcPr>
            <w:tcW w:w="1059" w:type="pct"/>
            <w:tcBorders>
              <w:top w:val="nil"/>
              <w:left w:val="nil"/>
              <w:bottom w:val="single" w:color="auto" w:sz="8" w:space="0"/>
              <w:right w:val="single" w:color="auto" w:sz="8" w:space="0"/>
            </w:tcBorders>
            <w:noWrap/>
            <w:vAlign w:val="bottom"/>
          </w:tcPr>
          <w:p w14:paraId="60098CC9">
            <w:pPr>
              <w:spacing w:line="360" w:lineRule="auto"/>
              <w:rPr>
                <w:rFonts w:hint="eastAsia" w:ascii="宋体" w:hAnsi="宋体"/>
                <w:color w:val="auto"/>
                <w:szCs w:val="22"/>
                <w:highlight w:val="none"/>
              </w:rPr>
            </w:pPr>
          </w:p>
        </w:tc>
      </w:tr>
    </w:tbl>
    <w:p w14:paraId="474B06CF">
      <w:pPr>
        <w:spacing w:line="400" w:lineRule="exact"/>
        <w:jc w:val="left"/>
        <w:rPr>
          <w:color w:val="auto"/>
          <w:highlight w:val="none"/>
        </w:rPr>
      </w:pPr>
    </w:p>
    <w:p w14:paraId="5F7423D4">
      <w:pPr>
        <w:topLinePunct/>
        <w:spacing w:line="420" w:lineRule="exact"/>
        <w:jc w:val="left"/>
        <w:rPr>
          <w:rFonts w:hint="eastAsia" w:ascii="宋体" w:hAnsi="宋体"/>
          <w:color w:val="auto"/>
          <w:szCs w:val="21"/>
          <w:highlight w:val="none"/>
        </w:rPr>
      </w:pPr>
      <w:r>
        <w:rPr>
          <w:rFonts w:hint="eastAsia" w:ascii="宋体" w:hAnsi="宋体"/>
          <w:color w:val="auto"/>
          <w:szCs w:val="21"/>
          <w:highlight w:val="none"/>
        </w:rPr>
        <w:t>注：投标人应根据评标办法项目业绩的要求提供相关证明材料，具体详见评标办法。</w:t>
      </w:r>
    </w:p>
    <w:p w14:paraId="6A3B3F04">
      <w:pPr>
        <w:rPr>
          <w:rFonts w:hint="eastAsia" w:ascii="宋体" w:hAnsi="宋体"/>
          <w:color w:val="auto"/>
          <w:szCs w:val="21"/>
          <w:highlight w:val="none"/>
        </w:rPr>
      </w:pPr>
    </w:p>
    <w:p w14:paraId="5A470173">
      <w:pPr>
        <w:rPr>
          <w:rFonts w:hint="eastAsia" w:ascii="宋体" w:hAnsi="宋体"/>
          <w:color w:val="auto"/>
          <w:szCs w:val="21"/>
          <w:highlight w:val="none"/>
        </w:rPr>
      </w:pPr>
    </w:p>
    <w:p w14:paraId="67E0E4D8">
      <w:pPr>
        <w:rPr>
          <w:rFonts w:hint="eastAsia" w:ascii="宋体" w:hAnsi="宋体"/>
          <w:color w:val="auto"/>
          <w:szCs w:val="21"/>
          <w:highlight w:val="none"/>
        </w:rPr>
      </w:pPr>
    </w:p>
    <w:p w14:paraId="10547837">
      <w:pPr>
        <w:rPr>
          <w:rFonts w:hint="eastAsia" w:ascii="宋体" w:hAnsi="宋体"/>
          <w:color w:val="auto"/>
          <w:szCs w:val="21"/>
          <w:highlight w:val="none"/>
          <w:u w:val="singl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r>
        <w:rPr>
          <w:rFonts w:hint="eastAsia" w:ascii="宋体" w:hAnsi="宋体"/>
          <w:color w:val="auto"/>
          <w:szCs w:val="21"/>
          <w:highlight w:val="none"/>
        </w:rPr>
        <w:t>（单位公章）</w:t>
      </w:r>
    </w:p>
    <w:p w14:paraId="29D61C53">
      <w:pPr>
        <w:rPr>
          <w:rFonts w:hint="eastAsia" w:ascii="宋体" w:hAnsi="宋体"/>
          <w:color w:val="auto"/>
          <w:szCs w:val="21"/>
          <w:highlight w:val="none"/>
        </w:rPr>
      </w:pPr>
    </w:p>
    <w:p w14:paraId="17D1FCA5">
      <w:pPr>
        <w:tabs>
          <w:tab w:val="left" w:pos="8364"/>
        </w:tabs>
        <w:snapToGrid w:val="0"/>
        <w:spacing w:line="360" w:lineRule="exact"/>
        <w:ind w:right="-58"/>
        <w:rPr>
          <w:rFonts w:hint="eastAsia" w:ascii="宋体" w:hAnsi="宋体"/>
          <w:color w:val="auto"/>
          <w:szCs w:val="21"/>
          <w:highlight w:val="none"/>
        </w:rPr>
      </w:pPr>
      <w:r>
        <w:rPr>
          <w:rFonts w:hint="eastAsia" w:ascii="宋体" w:hAnsi="宋体"/>
          <w:color w:val="auto"/>
          <w:szCs w:val="21"/>
          <w:highlight w:val="none"/>
        </w:rPr>
        <w:t>法定代表人或其授权代表：</w:t>
      </w:r>
      <w:r>
        <w:rPr>
          <w:rFonts w:ascii="宋体" w:hAnsi="宋体"/>
          <w:color w:val="auto"/>
          <w:szCs w:val="21"/>
          <w:highlight w:val="none"/>
          <w:u w:val="single"/>
        </w:rPr>
        <w:t xml:space="preserve">             </w:t>
      </w:r>
      <w:r>
        <w:rPr>
          <w:rFonts w:hint="eastAsia" w:ascii="宋体" w:hAnsi="宋体"/>
          <w:color w:val="auto"/>
          <w:szCs w:val="21"/>
          <w:highlight w:val="none"/>
        </w:rPr>
        <w:t>（签字或签章）</w:t>
      </w:r>
    </w:p>
    <w:p w14:paraId="3716441D">
      <w:pPr>
        <w:rPr>
          <w:rFonts w:hint="eastAsia" w:ascii="宋体" w:hAnsi="宋体"/>
          <w:color w:val="auto"/>
          <w:szCs w:val="21"/>
          <w:highlight w:val="none"/>
        </w:rPr>
      </w:pPr>
    </w:p>
    <w:p w14:paraId="403595BA">
      <w:pPr>
        <w:rPr>
          <w:rFonts w:hint="eastAsia" w:ascii="宋体" w:hAnsi="宋体"/>
          <w:color w:val="auto"/>
          <w:szCs w:val="21"/>
          <w:highlight w:val="none"/>
        </w:rPr>
      </w:pPr>
      <w:r>
        <w:rPr>
          <w:rFonts w:hint="eastAsia" w:ascii="宋体" w:hAnsi="宋体"/>
          <w:color w:val="auto"/>
          <w:szCs w:val="21"/>
          <w:highlight w:val="none"/>
        </w:rPr>
        <w:t>地址：</w:t>
      </w:r>
    </w:p>
    <w:p w14:paraId="271D36D3">
      <w:pPr>
        <w:rPr>
          <w:rFonts w:hint="eastAsia" w:ascii="宋体" w:hAnsi="宋体"/>
          <w:color w:val="auto"/>
          <w:szCs w:val="21"/>
          <w:highlight w:val="none"/>
        </w:rPr>
      </w:pPr>
    </w:p>
    <w:p w14:paraId="6BD046E0">
      <w:pPr>
        <w:rPr>
          <w:rFonts w:hint="eastAsia" w:ascii="宋体" w:hAnsi="宋体"/>
          <w:color w:val="auto"/>
          <w:szCs w:val="21"/>
          <w:highlight w:val="none"/>
        </w:rPr>
      </w:pPr>
      <w:r>
        <w:rPr>
          <w:rFonts w:hint="eastAsia" w:ascii="宋体" w:hAnsi="宋体"/>
          <w:color w:val="auto"/>
          <w:szCs w:val="21"/>
          <w:highlight w:val="none"/>
        </w:rPr>
        <w:t xml:space="preserve">日期： </w:t>
      </w:r>
      <w:r>
        <w:rPr>
          <w:rFonts w:ascii="宋体" w:hAnsi="宋体"/>
          <w:color w:val="auto"/>
          <w:szCs w:val="21"/>
          <w:highlight w:val="none"/>
        </w:rPr>
        <w:t xml:space="preserve">       </w:t>
      </w: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 xml:space="preserve">月 </w:t>
      </w:r>
      <w:r>
        <w:rPr>
          <w:rFonts w:ascii="宋体" w:hAnsi="宋体"/>
          <w:color w:val="auto"/>
          <w:szCs w:val="21"/>
          <w:highlight w:val="none"/>
        </w:rPr>
        <w:t xml:space="preserve">   </w:t>
      </w:r>
      <w:r>
        <w:rPr>
          <w:rFonts w:hint="eastAsia" w:ascii="宋体" w:hAnsi="宋体"/>
          <w:color w:val="auto"/>
          <w:szCs w:val="21"/>
          <w:highlight w:val="none"/>
        </w:rPr>
        <w:t>日</w:t>
      </w:r>
    </w:p>
    <w:p w14:paraId="6DCA8F14">
      <w:pPr>
        <w:rPr>
          <w:rFonts w:hint="eastAsia" w:ascii="宋体" w:hAnsi="宋体"/>
          <w:color w:val="auto"/>
          <w:szCs w:val="22"/>
          <w:highlight w:val="none"/>
        </w:rPr>
      </w:pPr>
    </w:p>
    <w:p w14:paraId="2D232142">
      <w:pPr>
        <w:pStyle w:val="8"/>
        <w:rPr>
          <w:color w:val="auto"/>
          <w:highlight w:val="none"/>
        </w:rPr>
      </w:pPr>
    </w:p>
    <w:p w14:paraId="280519BA">
      <w:pPr>
        <w:topLinePunct/>
        <w:spacing w:line="420" w:lineRule="exact"/>
        <w:jc w:val="left"/>
        <w:rPr>
          <w:rFonts w:hint="eastAsia" w:ascii="宋体" w:hAnsi="宋体"/>
          <w:color w:val="auto"/>
          <w:szCs w:val="21"/>
          <w:highlight w:val="none"/>
        </w:rPr>
      </w:pPr>
    </w:p>
    <w:p w14:paraId="70EE427F">
      <w:pPr>
        <w:spacing w:line="360" w:lineRule="auto"/>
        <w:ind w:firstLine="960" w:firstLineChars="400"/>
        <w:rPr>
          <w:rFonts w:hint="eastAsia" w:ascii="宋体" w:hAnsi="宋体"/>
          <w:color w:val="auto"/>
          <w:sz w:val="24"/>
          <w:szCs w:val="22"/>
          <w:highlight w:val="none"/>
        </w:rPr>
      </w:pPr>
    </w:p>
    <w:p w14:paraId="1A501117">
      <w:pPr>
        <w:rPr>
          <w:rFonts w:hint="eastAsia" w:ascii="宋体" w:hAnsi="宋体"/>
          <w:color w:val="auto"/>
          <w:szCs w:val="22"/>
          <w:highlight w:val="none"/>
        </w:rPr>
      </w:pPr>
    </w:p>
    <w:p w14:paraId="703959E3">
      <w:pPr>
        <w:widowControl/>
        <w:jc w:val="left"/>
        <w:rPr>
          <w:rFonts w:hint="eastAsia" w:ascii="宋体" w:hAnsi="宋体" w:cs="宋体"/>
          <w:color w:val="auto"/>
          <w:kern w:val="0"/>
          <w:szCs w:val="28"/>
          <w:highlight w:val="none"/>
        </w:rPr>
      </w:pPr>
      <w:r>
        <w:rPr>
          <w:rFonts w:ascii="宋体" w:hAnsi="宋体" w:cs="宋体"/>
          <w:color w:val="auto"/>
          <w:kern w:val="0"/>
          <w:szCs w:val="28"/>
          <w:highlight w:val="none"/>
        </w:rPr>
        <w:br w:type="page"/>
      </w:r>
    </w:p>
    <w:p w14:paraId="50DD3331">
      <w:pPr>
        <w:pStyle w:val="4"/>
        <w:ind w:firstLine="137"/>
        <w:rPr>
          <w:rFonts w:hint="eastAsia" w:ascii="宋体" w:hAnsi="宋体"/>
          <w:color w:val="auto"/>
          <w:highlight w:val="none"/>
        </w:rPr>
      </w:pPr>
      <w:bookmarkStart w:id="1469" w:name="_Toc3891"/>
      <w:bookmarkStart w:id="1470" w:name="_Toc6562"/>
      <w:bookmarkStart w:id="1471" w:name="_Toc9396"/>
      <w:bookmarkStart w:id="1472" w:name="_Toc19564"/>
      <w:r>
        <w:rPr>
          <w:rFonts w:hint="eastAsia" w:ascii="宋体" w:hAnsi="宋体" w:cs="Arial"/>
          <w:color w:val="auto"/>
          <w:sz w:val="28"/>
          <w:szCs w:val="28"/>
          <w:highlight w:val="none"/>
        </w:rPr>
        <w:t>九</w:t>
      </w:r>
      <w:r>
        <w:rPr>
          <w:rFonts w:ascii="宋体" w:hAnsi="宋体" w:cs="Arial"/>
          <w:color w:val="auto"/>
          <w:sz w:val="28"/>
          <w:szCs w:val="28"/>
          <w:highlight w:val="none"/>
        </w:rPr>
        <w:t xml:space="preserve">. </w:t>
      </w:r>
      <w:r>
        <w:rPr>
          <w:rFonts w:hint="eastAsia" w:ascii="宋体" w:hAnsi="宋体"/>
          <w:color w:val="auto"/>
          <w:highlight w:val="none"/>
        </w:rPr>
        <w:t>拟委任的主要人员汇总表</w:t>
      </w:r>
      <w:bookmarkEnd w:id="1469"/>
      <w:bookmarkEnd w:id="1470"/>
      <w:bookmarkEnd w:id="1471"/>
      <w:bookmarkEnd w:id="1472"/>
    </w:p>
    <w:tbl>
      <w:tblPr>
        <w:tblStyle w:val="21"/>
        <w:tblW w:w="8953" w:type="dxa"/>
        <w:jc w:val="center"/>
        <w:tblLayout w:type="autofit"/>
        <w:tblCellMar>
          <w:top w:w="0" w:type="dxa"/>
          <w:left w:w="108" w:type="dxa"/>
          <w:bottom w:w="0" w:type="dxa"/>
          <w:right w:w="108" w:type="dxa"/>
        </w:tblCellMar>
      </w:tblPr>
      <w:tblGrid>
        <w:gridCol w:w="520"/>
        <w:gridCol w:w="693"/>
        <w:gridCol w:w="1213"/>
        <w:gridCol w:w="1207"/>
        <w:gridCol w:w="955"/>
        <w:gridCol w:w="818"/>
        <w:gridCol w:w="1228"/>
        <w:gridCol w:w="1500"/>
        <w:gridCol w:w="819"/>
      </w:tblGrid>
      <w:tr w14:paraId="2DBE040A">
        <w:tblPrEx>
          <w:tblCellMar>
            <w:top w:w="0" w:type="dxa"/>
            <w:left w:w="108" w:type="dxa"/>
            <w:bottom w:w="0" w:type="dxa"/>
            <w:right w:w="108" w:type="dxa"/>
          </w:tblCellMar>
        </w:tblPrEx>
        <w:trPr>
          <w:trHeight w:val="716" w:hRule="atLeast"/>
          <w:jc w:val="center"/>
        </w:trPr>
        <w:tc>
          <w:tcPr>
            <w:tcW w:w="520" w:type="dxa"/>
            <w:tcBorders>
              <w:top w:val="single" w:color="auto" w:sz="8" w:space="0"/>
              <w:left w:val="single" w:color="auto" w:sz="8" w:space="0"/>
              <w:bottom w:val="single" w:color="auto" w:sz="8" w:space="0"/>
              <w:right w:val="single" w:color="auto" w:sz="4" w:space="0"/>
            </w:tcBorders>
            <w:vAlign w:val="center"/>
          </w:tcPr>
          <w:p w14:paraId="46BC042E">
            <w:pPr>
              <w:spacing w:line="360" w:lineRule="auto"/>
              <w:rPr>
                <w:rFonts w:hint="eastAsia" w:ascii="宋体" w:hAnsi="宋体"/>
                <w:color w:val="auto"/>
                <w:szCs w:val="22"/>
                <w:highlight w:val="none"/>
              </w:rPr>
            </w:pPr>
            <w:r>
              <w:rPr>
                <w:rFonts w:hint="eastAsia" w:ascii="宋体" w:hAnsi="宋体"/>
                <w:color w:val="auto"/>
                <w:szCs w:val="22"/>
                <w:highlight w:val="none"/>
              </w:rPr>
              <w:t>序                号</w:t>
            </w:r>
          </w:p>
        </w:tc>
        <w:tc>
          <w:tcPr>
            <w:tcW w:w="693" w:type="dxa"/>
            <w:tcBorders>
              <w:top w:val="single" w:color="auto" w:sz="8" w:space="0"/>
              <w:left w:val="nil"/>
              <w:bottom w:val="single" w:color="auto" w:sz="8" w:space="0"/>
              <w:right w:val="single" w:color="auto" w:sz="4" w:space="0"/>
            </w:tcBorders>
            <w:vAlign w:val="center"/>
          </w:tcPr>
          <w:p w14:paraId="1C918831">
            <w:pPr>
              <w:spacing w:line="360" w:lineRule="auto"/>
              <w:rPr>
                <w:rFonts w:hint="eastAsia" w:ascii="宋体" w:hAnsi="宋体"/>
                <w:color w:val="auto"/>
                <w:szCs w:val="22"/>
                <w:highlight w:val="none"/>
              </w:rPr>
            </w:pPr>
            <w:r>
              <w:rPr>
                <w:rFonts w:hint="eastAsia" w:ascii="宋体" w:hAnsi="宋体"/>
                <w:color w:val="auto"/>
                <w:szCs w:val="22"/>
                <w:highlight w:val="none"/>
              </w:rPr>
              <w:t>姓名</w:t>
            </w:r>
          </w:p>
        </w:tc>
        <w:tc>
          <w:tcPr>
            <w:tcW w:w="1213" w:type="dxa"/>
            <w:tcBorders>
              <w:top w:val="single" w:color="auto" w:sz="8" w:space="0"/>
              <w:left w:val="nil"/>
              <w:bottom w:val="single" w:color="auto" w:sz="8" w:space="0"/>
              <w:right w:val="single" w:color="auto" w:sz="4" w:space="0"/>
            </w:tcBorders>
            <w:vAlign w:val="center"/>
          </w:tcPr>
          <w:p w14:paraId="73E4238D">
            <w:pPr>
              <w:spacing w:line="360" w:lineRule="auto"/>
              <w:rPr>
                <w:rFonts w:hint="eastAsia" w:ascii="宋体" w:hAnsi="宋体"/>
                <w:color w:val="auto"/>
                <w:szCs w:val="22"/>
                <w:highlight w:val="none"/>
              </w:rPr>
            </w:pPr>
            <w:r>
              <w:rPr>
                <w:rFonts w:hint="eastAsia" w:ascii="宋体" w:hAnsi="宋体"/>
                <w:color w:val="auto"/>
                <w:szCs w:val="22"/>
                <w:highlight w:val="none"/>
              </w:rPr>
              <w:t>拟在本项目中任职</w:t>
            </w:r>
          </w:p>
        </w:tc>
        <w:tc>
          <w:tcPr>
            <w:tcW w:w="1207" w:type="dxa"/>
            <w:tcBorders>
              <w:top w:val="single" w:color="auto" w:sz="8" w:space="0"/>
              <w:left w:val="nil"/>
              <w:bottom w:val="single" w:color="auto" w:sz="8" w:space="0"/>
              <w:right w:val="single" w:color="auto" w:sz="4" w:space="0"/>
            </w:tcBorders>
            <w:vAlign w:val="center"/>
          </w:tcPr>
          <w:p w14:paraId="5EAB8C08">
            <w:pPr>
              <w:spacing w:line="360" w:lineRule="auto"/>
              <w:rPr>
                <w:rFonts w:hint="eastAsia" w:ascii="宋体" w:hAnsi="宋体"/>
                <w:color w:val="auto"/>
                <w:szCs w:val="22"/>
                <w:highlight w:val="none"/>
              </w:rPr>
            </w:pPr>
            <w:r>
              <w:rPr>
                <w:rFonts w:hint="eastAsia" w:ascii="宋体" w:hAnsi="宋体"/>
                <w:color w:val="auto"/>
                <w:szCs w:val="22"/>
                <w:highlight w:val="none"/>
              </w:rPr>
              <w:t>毕业学校、专业</w:t>
            </w:r>
          </w:p>
        </w:tc>
        <w:tc>
          <w:tcPr>
            <w:tcW w:w="955" w:type="dxa"/>
            <w:tcBorders>
              <w:top w:val="single" w:color="auto" w:sz="8" w:space="0"/>
              <w:left w:val="nil"/>
              <w:bottom w:val="single" w:color="auto" w:sz="8" w:space="0"/>
              <w:right w:val="single" w:color="auto" w:sz="4" w:space="0"/>
            </w:tcBorders>
            <w:vAlign w:val="center"/>
          </w:tcPr>
          <w:p w14:paraId="3101A3C1">
            <w:pPr>
              <w:spacing w:line="360" w:lineRule="auto"/>
              <w:rPr>
                <w:rFonts w:hint="eastAsia" w:ascii="宋体" w:hAnsi="宋体"/>
                <w:color w:val="auto"/>
                <w:szCs w:val="22"/>
                <w:highlight w:val="none"/>
              </w:rPr>
            </w:pPr>
            <w:r>
              <w:rPr>
                <w:rFonts w:hint="eastAsia" w:ascii="宋体" w:hAnsi="宋体"/>
                <w:color w:val="auto"/>
                <w:szCs w:val="22"/>
                <w:highlight w:val="none"/>
              </w:rPr>
              <w:t>学 历</w:t>
            </w:r>
          </w:p>
        </w:tc>
        <w:tc>
          <w:tcPr>
            <w:tcW w:w="818" w:type="dxa"/>
            <w:tcBorders>
              <w:top w:val="single" w:color="auto" w:sz="8" w:space="0"/>
              <w:left w:val="nil"/>
              <w:bottom w:val="single" w:color="auto" w:sz="8" w:space="0"/>
              <w:right w:val="single" w:color="auto" w:sz="4" w:space="0"/>
            </w:tcBorders>
            <w:vAlign w:val="center"/>
          </w:tcPr>
          <w:p w14:paraId="0149232D">
            <w:pPr>
              <w:spacing w:line="360" w:lineRule="auto"/>
              <w:rPr>
                <w:rFonts w:hint="eastAsia" w:ascii="宋体" w:hAnsi="宋体"/>
                <w:color w:val="auto"/>
                <w:szCs w:val="22"/>
                <w:highlight w:val="none"/>
              </w:rPr>
            </w:pPr>
            <w:r>
              <w:rPr>
                <w:rFonts w:hint="eastAsia" w:ascii="宋体" w:hAnsi="宋体"/>
                <w:color w:val="auto"/>
                <w:szCs w:val="22"/>
                <w:highlight w:val="none"/>
              </w:rPr>
              <w:t>职 称</w:t>
            </w:r>
          </w:p>
        </w:tc>
        <w:tc>
          <w:tcPr>
            <w:tcW w:w="1228" w:type="dxa"/>
            <w:tcBorders>
              <w:top w:val="single" w:color="auto" w:sz="8" w:space="0"/>
              <w:left w:val="nil"/>
              <w:bottom w:val="single" w:color="auto" w:sz="8" w:space="0"/>
              <w:right w:val="single" w:color="auto" w:sz="4" w:space="0"/>
            </w:tcBorders>
            <w:vAlign w:val="center"/>
          </w:tcPr>
          <w:p w14:paraId="3D7432C6">
            <w:pPr>
              <w:spacing w:line="360" w:lineRule="auto"/>
              <w:rPr>
                <w:rFonts w:hint="eastAsia" w:ascii="宋体" w:hAnsi="宋体"/>
                <w:color w:val="auto"/>
                <w:szCs w:val="22"/>
                <w:highlight w:val="none"/>
              </w:rPr>
            </w:pPr>
            <w:r>
              <w:rPr>
                <w:rFonts w:hint="eastAsia" w:ascii="宋体" w:hAnsi="宋体"/>
                <w:color w:val="auto"/>
                <w:szCs w:val="22"/>
                <w:highlight w:val="none"/>
              </w:rPr>
              <w:t>参加工作时间</w:t>
            </w:r>
          </w:p>
        </w:tc>
        <w:tc>
          <w:tcPr>
            <w:tcW w:w="1500" w:type="dxa"/>
            <w:tcBorders>
              <w:top w:val="single" w:color="auto" w:sz="8" w:space="0"/>
              <w:left w:val="nil"/>
              <w:bottom w:val="single" w:color="auto" w:sz="8" w:space="0"/>
              <w:right w:val="single" w:color="auto" w:sz="4" w:space="0"/>
            </w:tcBorders>
            <w:vAlign w:val="center"/>
          </w:tcPr>
          <w:p w14:paraId="5974B2A2">
            <w:pPr>
              <w:spacing w:line="360" w:lineRule="auto"/>
              <w:rPr>
                <w:rFonts w:hint="eastAsia" w:ascii="宋体" w:hAnsi="宋体"/>
                <w:color w:val="auto"/>
                <w:szCs w:val="22"/>
                <w:highlight w:val="none"/>
              </w:rPr>
            </w:pPr>
            <w:r>
              <w:rPr>
                <w:rFonts w:hint="eastAsia" w:ascii="宋体" w:hAnsi="宋体"/>
                <w:color w:val="auto"/>
                <w:szCs w:val="22"/>
                <w:highlight w:val="none"/>
              </w:rPr>
              <w:t>从事系统开发工作年限</w:t>
            </w:r>
          </w:p>
        </w:tc>
        <w:tc>
          <w:tcPr>
            <w:tcW w:w="819" w:type="dxa"/>
            <w:tcBorders>
              <w:top w:val="single" w:color="auto" w:sz="8" w:space="0"/>
              <w:left w:val="nil"/>
              <w:bottom w:val="single" w:color="auto" w:sz="8" w:space="0"/>
              <w:right w:val="single" w:color="auto" w:sz="8" w:space="0"/>
            </w:tcBorders>
            <w:vAlign w:val="center"/>
          </w:tcPr>
          <w:p w14:paraId="59ADAD9F">
            <w:pPr>
              <w:spacing w:line="360" w:lineRule="auto"/>
              <w:rPr>
                <w:rFonts w:hint="eastAsia" w:ascii="宋体" w:hAnsi="宋体"/>
                <w:color w:val="auto"/>
                <w:szCs w:val="22"/>
                <w:highlight w:val="none"/>
              </w:rPr>
            </w:pPr>
            <w:r>
              <w:rPr>
                <w:rFonts w:hint="eastAsia" w:ascii="宋体" w:hAnsi="宋体"/>
                <w:color w:val="auto"/>
                <w:szCs w:val="22"/>
                <w:highlight w:val="none"/>
              </w:rPr>
              <w:t>备注</w:t>
            </w:r>
          </w:p>
        </w:tc>
      </w:tr>
      <w:tr w14:paraId="7EB4A7F0">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14:paraId="3B044436">
            <w:pPr>
              <w:spacing w:line="360" w:lineRule="auto"/>
              <w:ind w:firstLine="420"/>
              <w:rPr>
                <w:rFonts w:hint="eastAsia" w:ascii="宋体" w:hAnsi="宋体"/>
                <w:color w:val="auto"/>
                <w:szCs w:val="22"/>
                <w:highlight w:val="none"/>
              </w:rPr>
            </w:pPr>
          </w:p>
        </w:tc>
        <w:tc>
          <w:tcPr>
            <w:tcW w:w="693" w:type="dxa"/>
            <w:tcBorders>
              <w:top w:val="nil"/>
              <w:left w:val="nil"/>
              <w:bottom w:val="single" w:color="auto" w:sz="4" w:space="0"/>
              <w:right w:val="single" w:color="auto" w:sz="4" w:space="0"/>
            </w:tcBorders>
            <w:noWrap/>
            <w:vAlign w:val="bottom"/>
          </w:tcPr>
          <w:p w14:paraId="6BCF9DEC">
            <w:pPr>
              <w:spacing w:line="360" w:lineRule="auto"/>
              <w:ind w:firstLine="420"/>
              <w:rPr>
                <w:rFonts w:hint="eastAsia" w:ascii="宋体" w:hAnsi="宋体"/>
                <w:color w:val="auto"/>
                <w:szCs w:val="22"/>
                <w:highlight w:val="none"/>
              </w:rPr>
            </w:pPr>
          </w:p>
        </w:tc>
        <w:tc>
          <w:tcPr>
            <w:tcW w:w="1213" w:type="dxa"/>
            <w:tcBorders>
              <w:top w:val="nil"/>
              <w:left w:val="nil"/>
              <w:bottom w:val="single" w:color="auto" w:sz="4" w:space="0"/>
              <w:right w:val="single" w:color="auto" w:sz="4" w:space="0"/>
            </w:tcBorders>
            <w:noWrap/>
            <w:vAlign w:val="bottom"/>
          </w:tcPr>
          <w:p w14:paraId="40E51F8F">
            <w:pPr>
              <w:spacing w:line="360" w:lineRule="auto"/>
              <w:ind w:firstLine="420"/>
              <w:rPr>
                <w:rFonts w:hint="eastAsia" w:ascii="宋体" w:hAnsi="宋体"/>
                <w:color w:val="auto"/>
                <w:szCs w:val="22"/>
                <w:highlight w:val="none"/>
              </w:rPr>
            </w:pPr>
          </w:p>
        </w:tc>
        <w:tc>
          <w:tcPr>
            <w:tcW w:w="1207" w:type="dxa"/>
            <w:tcBorders>
              <w:top w:val="nil"/>
              <w:left w:val="nil"/>
              <w:bottom w:val="single" w:color="auto" w:sz="4" w:space="0"/>
              <w:right w:val="single" w:color="auto" w:sz="4" w:space="0"/>
            </w:tcBorders>
            <w:noWrap/>
            <w:vAlign w:val="bottom"/>
          </w:tcPr>
          <w:p w14:paraId="0E4649C6">
            <w:pPr>
              <w:spacing w:line="360" w:lineRule="auto"/>
              <w:ind w:firstLine="420"/>
              <w:rPr>
                <w:rFonts w:hint="eastAsia" w:ascii="宋体" w:hAnsi="宋体"/>
                <w:color w:val="auto"/>
                <w:szCs w:val="22"/>
                <w:highlight w:val="none"/>
              </w:rPr>
            </w:pPr>
          </w:p>
        </w:tc>
        <w:tc>
          <w:tcPr>
            <w:tcW w:w="955" w:type="dxa"/>
            <w:tcBorders>
              <w:top w:val="nil"/>
              <w:left w:val="nil"/>
              <w:bottom w:val="single" w:color="auto" w:sz="4" w:space="0"/>
              <w:right w:val="single" w:color="auto" w:sz="4" w:space="0"/>
            </w:tcBorders>
            <w:noWrap/>
            <w:vAlign w:val="bottom"/>
          </w:tcPr>
          <w:p w14:paraId="39AC7ADB">
            <w:pPr>
              <w:spacing w:line="360" w:lineRule="auto"/>
              <w:ind w:firstLine="420"/>
              <w:rPr>
                <w:rFonts w:hint="eastAsia" w:ascii="宋体" w:hAnsi="宋体"/>
                <w:color w:val="auto"/>
                <w:szCs w:val="22"/>
                <w:highlight w:val="none"/>
              </w:rPr>
            </w:pPr>
          </w:p>
        </w:tc>
        <w:tc>
          <w:tcPr>
            <w:tcW w:w="818" w:type="dxa"/>
            <w:tcBorders>
              <w:top w:val="nil"/>
              <w:left w:val="nil"/>
              <w:bottom w:val="single" w:color="auto" w:sz="4" w:space="0"/>
              <w:right w:val="single" w:color="auto" w:sz="4" w:space="0"/>
            </w:tcBorders>
            <w:noWrap/>
            <w:vAlign w:val="bottom"/>
          </w:tcPr>
          <w:p w14:paraId="55B756F3">
            <w:pPr>
              <w:spacing w:line="360" w:lineRule="auto"/>
              <w:ind w:firstLine="420"/>
              <w:rPr>
                <w:rFonts w:hint="eastAsia" w:ascii="宋体" w:hAnsi="宋体"/>
                <w:color w:val="auto"/>
                <w:szCs w:val="22"/>
                <w:highlight w:val="none"/>
              </w:rPr>
            </w:pPr>
          </w:p>
        </w:tc>
        <w:tc>
          <w:tcPr>
            <w:tcW w:w="1228" w:type="dxa"/>
            <w:tcBorders>
              <w:top w:val="nil"/>
              <w:left w:val="nil"/>
              <w:bottom w:val="single" w:color="auto" w:sz="4" w:space="0"/>
              <w:right w:val="single" w:color="auto" w:sz="4" w:space="0"/>
            </w:tcBorders>
            <w:noWrap/>
            <w:vAlign w:val="bottom"/>
          </w:tcPr>
          <w:p w14:paraId="41D9E1DB">
            <w:pPr>
              <w:spacing w:line="360" w:lineRule="auto"/>
              <w:ind w:firstLine="420"/>
              <w:rPr>
                <w:rFonts w:hint="eastAsia" w:ascii="宋体" w:hAnsi="宋体"/>
                <w:color w:val="auto"/>
                <w:szCs w:val="22"/>
                <w:highlight w:val="none"/>
              </w:rPr>
            </w:pPr>
          </w:p>
        </w:tc>
        <w:tc>
          <w:tcPr>
            <w:tcW w:w="1500" w:type="dxa"/>
            <w:tcBorders>
              <w:top w:val="nil"/>
              <w:left w:val="nil"/>
              <w:bottom w:val="single" w:color="auto" w:sz="4" w:space="0"/>
              <w:right w:val="single" w:color="auto" w:sz="4" w:space="0"/>
            </w:tcBorders>
            <w:noWrap/>
            <w:vAlign w:val="bottom"/>
          </w:tcPr>
          <w:p w14:paraId="58B580A9">
            <w:pPr>
              <w:spacing w:line="360" w:lineRule="auto"/>
              <w:ind w:firstLine="420"/>
              <w:rPr>
                <w:rFonts w:hint="eastAsia" w:ascii="宋体" w:hAnsi="宋体"/>
                <w:color w:val="auto"/>
                <w:szCs w:val="22"/>
                <w:highlight w:val="none"/>
              </w:rPr>
            </w:pPr>
          </w:p>
        </w:tc>
        <w:tc>
          <w:tcPr>
            <w:tcW w:w="819" w:type="dxa"/>
            <w:tcBorders>
              <w:top w:val="nil"/>
              <w:left w:val="nil"/>
              <w:bottom w:val="single" w:color="auto" w:sz="4" w:space="0"/>
              <w:right w:val="single" w:color="auto" w:sz="8" w:space="0"/>
            </w:tcBorders>
            <w:noWrap/>
            <w:vAlign w:val="bottom"/>
          </w:tcPr>
          <w:p w14:paraId="4BEF2C39">
            <w:pPr>
              <w:spacing w:line="360" w:lineRule="auto"/>
              <w:ind w:firstLine="420"/>
              <w:rPr>
                <w:rFonts w:hint="eastAsia" w:ascii="宋体" w:hAnsi="宋体"/>
                <w:color w:val="auto"/>
                <w:szCs w:val="22"/>
                <w:highlight w:val="none"/>
              </w:rPr>
            </w:pPr>
          </w:p>
        </w:tc>
      </w:tr>
      <w:tr w14:paraId="106FBA3F">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14:paraId="6BC804CC">
            <w:pPr>
              <w:spacing w:line="360" w:lineRule="auto"/>
              <w:ind w:firstLine="420"/>
              <w:rPr>
                <w:rFonts w:hint="eastAsia" w:ascii="宋体" w:hAnsi="宋体"/>
                <w:color w:val="auto"/>
                <w:szCs w:val="22"/>
                <w:highlight w:val="none"/>
              </w:rPr>
            </w:pPr>
          </w:p>
        </w:tc>
        <w:tc>
          <w:tcPr>
            <w:tcW w:w="693" w:type="dxa"/>
            <w:tcBorders>
              <w:top w:val="nil"/>
              <w:left w:val="nil"/>
              <w:bottom w:val="single" w:color="auto" w:sz="4" w:space="0"/>
              <w:right w:val="single" w:color="auto" w:sz="4" w:space="0"/>
            </w:tcBorders>
            <w:noWrap/>
            <w:vAlign w:val="bottom"/>
          </w:tcPr>
          <w:p w14:paraId="18475DF1">
            <w:pPr>
              <w:spacing w:line="360" w:lineRule="auto"/>
              <w:ind w:firstLine="420"/>
              <w:rPr>
                <w:rFonts w:hint="eastAsia" w:ascii="宋体" w:hAnsi="宋体"/>
                <w:color w:val="auto"/>
                <w:szCs w:val="22"/>
                <w:highlight w:val="none"/>
              </w:rPr>
            </w:pPr>
          </w:p>
        </w:tc>
        <w:tc>
          <w:tcPr>
            <w:tcW w:w="1213" w:type="dxa"/>
            <w:tcBorders>
              <w:top w:val="nil"/>
              <w:left w:val="nil"/>
              <w:bottom w:val="single" w:color="auto" w:sz="4" w:space="0"/>
              <w:right w:val="single" w:color="auto" w:sz="4" w:space="0"/>
            </w:tcBorders>
            <w:noWrap/>
            <w:vAlign w:val="bottom"/>
          </w:tcPr>
          <w:p w14:paraId="6D270580">
            <w:pPr>
              <w:spacing w:line="360" w:lineRule="auto"/>
              <w:ind w:firstLine="420"/>
              <w:rPr>
                <w:rFonts w:hint="eastAsia" w:ascii="宋体" w:hAnsi="宋体"/>
                <w:color w:val="auto"/>
                <w:szCs w:val="22"/>
                <w:highlight w:val="none"/>
              </w:rPr>
            </w:pPr>
          </w:p>
        </w:tc>
        <w:tc>
          <w:tcPr>
            <w:tcW w:w="1207" w:type="dxa"/>
            <w:tcBorders>
              <w:top w:val="nil"/>
              <w:left w:val="nil"/>
              <w:bottom w:val="single" w:color="auto" w:sz="4" w:space="0"/>
              <w:right w:val="single" w:color="auto" w:sz="4" w:space="0"/>
            </w:tcBorders>
            <w:noWrap/>
            <w:vAlign w:val="bottom"/>
          </w:tcPr>
          <w:p w14:paraId="7D8996C2">
            <w:pPr>
              <w:spacing w:line="360" w:lineRule="auto"/>
              <w:ind w:firstLine="420"/>
              <w:rPr>
                <w:rFonts w:hint="eastAsia" w:ascii="宋体" w:hAnsi="宋体"/>
                <w:color w:val="auto"/>
                <w:szCs w:val="22"/>
                <w:highlight w:val="none"/>
              </w:rPr>
            </w:pPr>
          </w:p>
        </w:tc>
        <w:tc>
          <w:tcPr>
            <w:tcW w:w="955" w:type="dxa"/>
            <w:tcBorders>
              <w:top w:val="nil"/>
              <w:left w:val="nil"/>
              <w:bottom w:val="single" w:color="auto" w:sz="4" w:space="0"/>
              <w:right w:val="single" w:color="auto" w:sz="4" w:space="0"/>
            </w:tcBorders>
            <w:noWrap/>
            <w:vAlign w:val="bottom"/>
          </w:tcPr>
          <w:p w14:paraId="5F165F0B">
            <w:pPr>
              <w:spacing w:line="360" w:lineRule="auto"/>
              <w:ind w:firstLine="420"/>
              <w:rPr>
                <w:rFonts w:hint="eastAsia" w:ascii="宋体" w:hAnsi="宋体"/>
                <w:color w:val="auto"/>
                <w:szCs w:val="22"/>
                <w:highlight w:val="none"/>
              </w:rPr>
            </w:pPr>
          </w:p>
        </w:tc>
        <w:tc>
          <w:tcPr>
            <w:tcW w:w="818" w:type="dxa"/>
            <w:tcBorders>
              <w:top w:val="nil"/>
              <w:left w:val="nil"/>
              <w:bottom w:val="single" w:color="auto" w:sz="4" w:space="0"/>
              <w:right w:val="single" w:color="auto" w:sz="4" w:space="0"/>
            </w:tcBorders>
            <w:noWrap/>
            <w:vAlign w:val="bottom"/>
          </w:tcPr>
          <w:p w14:paraId="1143164C">
            <w:pPr>
              <w:spacing w:line="360" w:lineRule="auto"/>
              <w:ind w:firstLine="420"/>
              <w:rPr>
                <w:rFonts w:hint="eastAsia" w:ascii="宋体" w:hAnsi="宋体"/>
                <w:color w:val="auto"/>
                <w:szCs w:val="22"/>
                <w:highlight w:val="none"/>
              </w:rPr>
            </w:pPr>
          </w:p>
        </w:tc>
        <w:tc>
          <w:tcPr>
            <w:tcW w:w="1228" w:type="dxa"/>
            <w:tcBorders>
              <w:top w:val="nil"/>
              <w:left w:val="nil"/>
              <w:bottom w:val="single" w:color="auto" w:sz="4" w:space="0"/>
              <w:right w:val="single" w:color="auto" w:sz="4" w:space="0"/>
            </w:tcBorders>
            <w:noWrap/>
            <w:vAlign w:val="bottom"/>
          </w:tcPr>
          <w:p w14:paraId="5674A08F">
            <w:pPr>
              <w:spacing w:line="360" w:lineRule="auto"/>
              <w:ind w:firstLine="420"/>
              <w:rPr>
                <w:rFonts w:hint="eastAsia" w:ascii="宋体" w:hAnsi="宋体"/>
                <w:color w:val="auto"/>
                <w:szCs w:val="22"/>
                <w:highlight w:val="none"/>
              </w:rPr>
            </w:pPr>
          </w:p>
        </w:tc>
        <w:tc>
          <w:tcPr>
            <w:tcW w:w="1500" w:type="dxa"/>
            <w:tcBorders>
              <w:top w:val="nil"/>
              <w:left w:val="nil"/>
              <w:bottom w:val="single" w:color="auto" w:sz="4" w:space="0"/>
              <w:right w:val="single" w:color="auto" w:sz="4" w:space="0"/>
            </w:tcBorders>
            <w:noWrap/>
            <w:vAlign w:val="bottom"/>
          </w:tcPr>
          <w:p w14:paraId="4E17204B">
            <w:pPr>
              <w:spacing w:line="360" w:lineRule="auto"/>
              <w:ind w:firstLine="420"/>
              <w:rPr>
                <w:rFonts w:hint="eastAsia" w:ascii="宋体" w:hAnsi="宋体"/>
                <w:color w:val="auto"/>
                <w:szCs w:val="22"/>
                <w:highlight w:val="none"/>
              </w:rPr>
            </w:pPr>
          </w:p>
        </w:tc>
        <w:tc>
          <w:tcPr>
            <w:tcW w:w="819" w:type="dxa"/>
            <w:tcBorders>
              <w:top w:val="nil"/>
              <w:left w:val="nil"/>
              <w:bottom w:val="single" w:color="auto" w:sz="4" w:space="0"/>
              <w:right w:val="single" w:color="auto" w:sz="8" w:space="0"/>
            </w:tcBorders>
            <w:noWrap/>
            <w:vAlign w:val="bottom"/>
          </w:tcPr>
          <w:p w14:paraId="68E29F79">
            <w:pPr>
              <w:spacing w:line="360" w:lineRule="auto"/>
              <w:ind w:firstLine="420"/>
              <w:rPr>
                <w:rFonts w:hint="eastAsia" w:ascii="宋体" w:hAnsi="宋体"/>
                <w:color w:val="auto"/>
                <w:szCs w:val="22"/>
                <w:highlight w:val="none"/>
              </w:rPr>
            </w:pPr>
          </w:p>
        </w:tc>
      </w:tr>
      <w:tr w14:paraId="00F9D236">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14:paraId="25B894B1">
            <w:pPr>
              <w:spacing w:line="360" w:lineRule="auto"/>
              <w:ind w:firstLine="420"/>
              <w:rPr>
                <w:rFonts w:hint="eastAsia" w:ascii="宋体" w:hAnsi="宋体"/>
                <w:color w:val="auto"/>
                <w:szCs w:val="22"/>
                <w:highlight w:val="none"/>
              </w:rPr>
            </w:pPr>
          </w:p>
        </w:tc>
        <w:tc>
          <w:tcPr>
            <w:tcW w:w="693" w:type="dxa"/>
            <w:tcBorders>
              <w:top w:val="nil"/>
              <w:left w:val="nil"/>
              <w:bottom w:val="single" w:color="auto" w:sz="4" w:space="0"/>
              <w:right w:val="single" w:color="auto" w:sz="4" w:space="0"/>
            </w:tcBorders>
            <w:noWrap/>
            <w:vAlign w:val="bottom"/>
          </w:tcPr>
          <w:p w14:paraId="08C19E28">
            <w:pPr>
              <w:spacing w:line="360" w:lineRule="auto"/>
              <w:ind w:firstLine="420"/>
              <w:rPr>
                <w:rFonts w:hint="eastAsia" w:ascii="宋体" w:hAnsi="宋体"/>
                <w:color w:val="auto"/>
                <w:szCs w:val="22"/>
                <w:highlight w:val="none"/>
              </w:rPr>
            </w:pPr>
          </w:p>
        </w:tc>
        <w:tc>
          <w:tcPr>
            <w:tcW w:w="1213" w:type="dxa"/>
            <w:tcBorders>
              <w:top w:val="nil"/>
              <w:left w:val="nil"/>
              <w:bottom w:val="single" w:color="auto" w:sz="4" w:space="0"/>
              <w:right w:val="single" w:color="auto" w:sz="4" w:space="0"/>
            </w:tcBorders>
            <w:noWrap/>
            <w:vAlign w:val="bottom"/>
          </w:tcPr>
          <w:p w14:paraId="2663885E">
            <w:pPr>
              <w:spacing w:line="360" w:lineRule="auto"/>
              <w:ind w:firstLine="420"/>
              <w:rPr>
                <w:rFonts w:hint="eastAsia" w:ascii="宋体" w:hAnsi="宋体"/>
                <w:color w:val="auto"/>
                <w:szCs w:val="22"/>
                <w:highlight w:val="none"/>
              </w:rPr>
            </w:pPr>
          </w:p>
        </w:tc>
        <w:tc>
          <w:tcPr>
            <w:tcW w:w="1207" w:type="dxa"/>
            <w:tcBorders>
              <w:top w:val="nil"/>
              <w:left w:val="nil"/>
              <w:bottom w:val="single" w:color="auto" w:sz="4" w:space="0"/>
              <w:right w:val="single" w:color="auto" w:sz="4" w:space="0"/>
            </w:tcBorders>
            <w:noWrap/>
            <w:vAlign w:val="bottom"/>
          </w:tcPr>
          <w:p w14:paraId="4671C7A7">
            <w:pPr>
              <w:spacing w:line="360" w:lineRule="auto"/>
              <w:ind w:firstLine="420"/>
              <w:rPr>
                <w:rFonts w:hint="eastAsia" w:ascii="宋体" w:hAnsi="宋体"/>
                <w:color w:val="auto"/>
                <w:szCs w:val="22"/>
                <w:highlight w:val="none"/>
              </w:rPr>
            </w:pPr>
          </w:p>
        </w:tc>
        <w:tc>
          <w:tcPr>
            <w:tcW w:w="955" w:type="dxa"/>
            <w:tcBorders>
              <w:top w:val="nil"/>
              <w:left w:val="nil"/>
              <w:bottom w:val="single" w:color="auto" w:sz="4" w:space="0"/>
              <w:right w:val="single" w:color="auto" w:sz="4" w:space="0"/>
            </w:tcBorders>
            <w:noWrap/>
            <w:vAlign w:val="bottom"/>
          </w:tcPr>
          <w:p w14:paraId="4C38F86B">
            <w:pPr>
              <w:spacing w:line="360" w:lineRule="auto"/>
              <w:ind w:firstLine="420"/>
              <w:rPr>
                <w:rFonts w:hint="eastAsia" w:ascii="宋体" w:hAnsi="宋体"/>
                <w:color w:val="auto"/>
                <w:szCs w:val="22"/>
                <w:highlight w:val="none"/>
              </w:rPr>
            </w:pPr>
          </w:p>
        </w:tc>
        <w:tc>
          <w:tcPr>
            <w:tcW w:w="818" w:type="dxa"/>
            <w:tcBorders>
              <w:top w:val="nil"/>
              <w:left w:val="nil"/>
              <w:bottom w:val="single" w:color="auto" w:sz="4" w:space="0"/>
              <w:right w:val="single" w:color="auto" w:sz="4" w:space="0"/>
            </w:tcBorders>
            <w:noWrap/>
            <w:vAlign w:val="bottom"/>
          </w:tcPr>
          <w:p w14:paraId="7277E8E5">
            <w:pPr>
              <w:spacing w:line="360" w:lineRule="auto"/>
              <w:ind w:firstLine="420"/>
              <w:rPr>
                <w:rFonts w:hint="eastAsia" w:ascii="宋体" w:hAnsi="宋体"/>
                <w:color w:val="auto"/>
                <w:szCs w:val="22"/>
                <w:highlight w:val="none"/>
              </w:rPr>
            </w:pPr>
          </w:p>
        </w:tc>
        <w:tc>
          <w:tcPr>
            <w:tcW w:w="1228" w:type="dxa"/>
            <w:tcBorders>
              <w:top w:val="nil"/>
              <w:left w:val="nil"/>
              <w:bottom w:val="single" w:color="auto" w:sz="4" w:space="0"/>
              <w:right w:val="single" w:color="auto" w:sz="4" w:space="0"/>
            </w:tcBorders>
            <w:noWrap/>
            <w:vAlign w:val="bottom"/>
          </w:tcPr>
          <w:p w14:paraId="3328A7C3">
            <w:pPr>
              <w:spacing w:line="360" w:lineRule="auto"/>
              <w:ind w:firstLine="420"/>
              <w:rPr>
                <w:rFonts w:hint="eastAsia" w:ascii="宋体" w:hAnsi="宋体"/>
                <w:color w:val="auto"/>
                <w:szCs w:val="22"/>
                <w:highlight w:val="none"/>
              </w:rPr>
            </w:pPr>
          </w:p>
        </w:tc>
        <w:tc>
          <w:tcPr>
            <w:tcW w:w="1500" w:type="dxa"/>
            <w:tcBorders>
              <w:top w:val="nil"/>
              <w:left w:val="nil"/>
              <w:bottom w:val="single" w:color="auto" w:sz="4" w:space="0"/>
              <w:right w:val="single" w:color="auto" w:sz="4" w:space="0"/>
            </w:tcBorders>
            <w:noWrap/>
            <w:vAlign w:val="bottom"/>
          </w:tcPr>
          <w:p w14:paraId="084113FA">
            <w:pPr>
              <w:spacing w:line="360" w:lineRule="auto"/>
              <w:ind w:firstLine="420"/>
              <w:rPr>
                <w:rFonts w:hint="eastAsia" w:ascii="宋体" w:hAnsi="宋体"/>
                <w:color w:val="auto"/>
                <w:szCs w:val="22"/>
                <w:highlight w:val="none"/>
              </w:rPr>
            </w:pPr>
          </w:p>
        </w:tc>
        <w:tc>
          <w:tcPr>
            <w:tcW w:w="819" w:type="dxa"/>
            <w:tcBorders>
              <w:top w:val="nil"/>
              <w:left w:val="nil"/>
              <w:bottom w:val="single" w:color="auto" w:sz="4" w:space="0"/>
              <w:right w:val="single" w:color="auto" w:sz="8" w:space="0"/>
            </w:tcBorders>
            <w:noWrap/>
            <w:vAlign w:val="bottom"/>
          </w:tcPr>
          <w:p w14:paraId="1C6AD8BB">
            <w:pPr>
              <w:spacing w:line="360" w:lineRule="auto"/>
              <w:ind w:firstLine="420"/>
              <w:rPr>
                <w:rFonts w:hint="eastAsia" w:ascii="宋体" w:hAnsi="宋体"/>
                <w:color w:val="auto"/>
                <w:szCs w:val="22"/>
                <w:highlight w:val="none"/>
              </w:rPr>
            </w:pPr>
          </w:p>
        </w:tc>
      </w:tr>
      <w:tr w14:paraId="664255A9">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14:paraId="34CFDE1C">
            <w:pPr>
              <w:spacing w:line="360" w:lineRule="auto"/>
              <w:ind w:firstLine="420"/>
              <w:rPr>
                <w:rFonts w:hint="eastAsia" w:ascii="宋体" w:hAnsi="宋体"/>
                <w:color w:val="auto"/>
                <w:szCs w:val="22"/>
                <w:highlight w:val="none"/>
              </w:rPr>
            </w:pPr>
          </w:p>
        </w:tc>
        <w:tc>
          <w:tcPr>
            <w:tcW w:w="693" w:type="dxa"/>
            <w:tcBorders>
              <w:top w:val="nil"/>
              <w:left w:val="nil"/>
              <w:bottom w:val="single" w:color="auto" w:sz="4" w:space="0"/>
              <w:right w:val="single" w:color="auto" w:sz="4" w:space="0"/>
            </w:tcBorders>
            <w:noWrap/>
            <w:vAlign w:val="bottom"/>
          </w:tcPr>
          <w:p w14:paraId="5F0EF882">
            <w:pPr>
              <w:spacing w:line="360" w:lineRule="auto"/>
              <w:ind w:firstLine="420"/>
              <w:rPr>
                <w:rFonts w:hint="eastAsia" w:ascii="宋体" w:hAnsi="宋体"/>
                <w:color w:val="auto"/>
                <w:szCs w:val="22"/>
                <w:highlight w:val="none"/>
              </w:rPr>
            </w:pPr>
          </w:p>
        </w:tc>
        <w:tc>
          <w:tcPr>
            <w:tcW w:w="1213" w:type="dxa"/>
            <w:tcBorders>
              <w:top w:val="nil"/>
              <w:left w:val="nil"/>
              <w:bottom w:val="single" w:color="auto" w:sz="4" w:space="0"/>
              <w:right w:val="single" w:color="auto" w:sz="4" w:space="0"/>
            </w:tcBorders>
            <w:noWrap/>
            <w:vAlign w:val="bottom"/>
          </w:tcPr>
          <w:p w14:paraId="37ECD2C6">
            <w:pPr>
              <w:spacing w:line="360" w:lineRule="auto"/>
              <w:ind w:firstLine="420"/>
              <w:rPr>
                <w:rFonts w:hint="eastAsia" w:ascii="宋体" w:hAnsi="宋体"/>
                <w:color w:val="auto"/>
                <w:szCs w:val="22"/>
                <w:highlight w:val="none"/>
              </w:rPr>
            </w:pPr>
          </w:p>
        </w:tc>
        <w:tc>
          <w:tcPr>
            <w:tcW w:w="1207" w:type="dxa"/>
            <w:tcBorders>
              <w:top w:val="nil"/>
              <w:left w:val="nil"/>
              <w:bottom w:val="single" w:color="auto" w:sz="4" w:space="0"/>
              <w:right w:val="single" w:color="auto" w:sz="4" w:space="0"/>
            </w:tcBorders>
            <w:noWrap/>
            <w:vAlign w:val="bottom"/>
          </w:tcPr>
          <w:p w14:paraId="65971E13">
            <w:pPr>
              <w:spacing w:line="360" w:lineRule="auto"/>
              <w:ind w:firstLine="420"/>
              <w:rPr>
                <w:rFonts w:hint="eastAsia" w:ascii="宋体" w:hAnsi="宋体"/>
                <w:color w:val="auto"/>
                <w:szCs w:val="22"/>
                <w:highlight w:val="none"/>
              </w:rPr>
            </w:pPr>
          </w:p>
        </w:tc>
        <w:tc>
          <w:tcPr>
            <w:tcW w:w="955" w:type="dxa"/>
            <w:tcBorders>
              <w:top w:val="nil"/>
              <w:left w:val="nil"/>
              <w:bottom w:val="single" w:color="auto" w:sz="4" w:space="0"/>
              <w:right w:val="single" w:color="auto" w:sz="4" w:space="0"/>
            </w:tcBorders>
            <w:noWrap/>
            <w:vAlign w:val="bottom"/>
          </w:tcPr>
          <w:p w14:paraId="1463FE44">
            <w:pPr>
              <w:spacing w:line="360" w:lineRule="auto"/>
              <w:ind w:firstLine="420"/>
              <w:rPr>
                <w:rFonts w:hint="eastAsia" w:ascii="宋体" w:hAnsi="宋体"/>
                <w:color w:val="auto"/>
                <w:szCs w:val="22"/>
                <w:highlight w:val="none"/>
              </w:rPr>
            </w:pPr>
          </w:p>
        </w:tc>
        <w:tc>
          <w:tcPr>
            <w:tcW w:w="818" w:type="dxa"/>
            <w:tcBorders>
              <w:top w:val="nil"/>
              <w:left w:val="nil"/>
              <w:bottom w:val="single" w:color="auto" w:sz="4" w:space="0"/>
              <w:right w:val="single" w:color="auto" w:sz="4" w:space="0"/>
            </w:tcBorders>
            <w:noWrap/>
            <w:vAlign w:val="bottom"/>
          </w:tcPr>
          <w:p w14:paraId="664D0282">
            <w:pPr>
              <w:spacing w:line="360" w:lineRule="auto"/>
              <w:ind w:firstLine="420"/>
              <w:rPr>
                <w:rFonts w:hint="eastAsia" w:ascii="宋体" w:hAnsi="宋体"/>
                <w:color w:val="auto"/>
                <w:szCs w:val="22"/>
                <w:highlight w:val="none"/>
              </w:rPr>
            </w:pPr>
          </w:p>
        </w:tc>
        <w:tc>
          <w:tcPr>
            <w:tcW w:w="1228" w:type="dxa"/>
            <w:tcBorders>
              <w:top w:val="nil"/>
              <w:left w:val="nil"/>
              <w:bottom w:val="single" w:color="auto" w:sz="4" w:space="0"/>
              <w:right w:val="single" w:color="auto" w:sz="4" w:space="0"/>
            </w:tcBorders>
            <w:noWrap/>
            <w:vAlign w:val="bottom"/>
          </w:tcPr>
          <w:p w14:paraId="1C75819D">
            <w:pPr>
              <w:spacing w:line="360" w:lineRule="auto"/>
              <w:ind w:firstLine="420"/>
              <w:rPr>
                <w:rFonts w:hint="eastAsia" w:ascii="宋体" w:hAnsi="宋体"/>
                <w:color w:val="auto"/>
                <w:szCs w:val="22"/>
                <w:highlight w:val="none"/>
              </w:rPr>
            </w:pPr>
          </w:p>
        </w:tc>
        <w:tc>
          <w:tcPr>
            <w:tcW w:w="1500" w:type="dxa"/>
            <w:tcBorders>
              <w:top w:val="nil"/>
              <w:left w:val="nil"/>
              <w:bottom w:val="single" w:color="auto" w:sz="4" w:space="0"/>
              <w:right w:val="single" w:color="auto" w:sz="4" w:space="0"/>
            </w:tcBorders>
            <w:noWrap/>
            <w:vAlign w:val="bottom"/>
          </w:tcPr>
          <w:p w14:paraId="2AB911E3">
            <w:pPr>
              <w:spacing w:line="360" w:lineRule="auto"/>
              <w:ind w:firstLine="420"/>
              <w:rPr>
                <w:rFonts w:hint="eastAsia" w:ascii="宋体" w:hAnsi="宋体"/>
                <w:color w:val="auto"/>
                <w:szCs w:val="22"/>
                <w:highlight w:val="none"/>
              </w:rPr>
            </w:pPr>
          </w:p>
        </w:tc>
        <w:tc>
          <w:tcPr>
            <w:tcW w:w="819" w:type="dxa"/>
            <w:tcBorders>
              <w:top w:val="nil"/>
              <w:left w:val="nil"/>
              <w:bottom w:val="single" w:color="auto" w:sz="4" w:space="0"/>
              <w:right w:val="single" w:color="auto" w:sz="8" w:space="0"/>
            </w:tcBorders>
            <w:noWrap/>
            <w:vAlign w:val="bottom"/>
          </w:tcPr>
          <w:p w14:paraId="18D01394">
            <w:pPr>
              <w:spacing w:line="360" w:lineRule="auto"/>
              <w:ind w:firstLine="420"/>
              <w:rPr>
                <w:rFonts w:hint="eastAsia" w:ascii="宋体" w:hAnsi="宋体"/>
                <w:color w:val="auto"/>
                <w:szCs w:val="22"/>
                <w:highlight w:val="none"/>
              </w:rPr>
            </w:pPr>
          </w:p>
        </w:tc>
      </w:tr>
      <w:tr w14:paraId="45F37AD2">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14:paraId="7FA3D77F">
            <w:pPr>
              <w:spacing w:line="360" w:lineRule="auto"/>
              <w:ind w:firstLine="420"/>
              <w:rPr>
                <w:rFonts w:hint="eastAsia" w:ascii="宋体" w:hAnsi="宋体"/>
                <w:color w:val="auto"/>
                <w:szCs w:val="22"/>
                <w:highlight w:val="none"/>
              </w:rPr>
            </w:pPr>
          </w:p>
        </w:tc>
        <w:tc>
          <w:tcPr>
            <w:tcW w:w="693" w:type="dxa"/>
            <w:tcBorders>
              <w:top w:val="nil"/>
              <w:left w:val="nil"/>
              <w:bottom w:val="single" w:color="auto" w:sz="4" w:space="0"/>
              <w:right w:val="single" w:color="auto" w:sz="4" w:space="0"/>
            </w:tcBorders>
            <w:noWrap/>
            <w:vAlign w:val="bottom"/>
          </w:tcPr>
          <w:p w14:paraId="6935AE88">
            <w:pPr>
              <w:spacing w:line="360" w:lineRule="auto"/>
              <w:ind w:firstLine="420"/>
              <w:rPr>
                <w:rFonts w:hint="eastAsia" w:ascii="宋体" w:hAnsi="宋体"/>
                <w:color w:val="auto"/>
                <w:szCs w:val="22"/>
                <w:highlight w:val="none"/>
              </w:rPr>
            </w:pPr>
          </w:p>
        </w:tc>
        <w:tc>
          <w:tcPr>
            <w:tcW w:w="1213" w:type="dxa"/>
            <w:tcBorders>
              <w:top w:val="nil"/>
              <w:left w:val="nil"/>
              <w:bottom w:val="single" w:color="auto" w:sz="4" w:space="0"/>
              <w:right w:val="single" w:color="auto" w:sz="4" w:space="0"/>
            </w:tcBorders>
            <w:noWrap/>
            <w:vAlign w:val="bottom"/>
          </w:tcPr>
          <w:p w14:paraId="55B809EA">
            <w:pPr>
              <w:spacing w:line="360" w:lineRule="auto"/>
              <w:ind w:firstLine="420"/>
              <w:rPr>
                <w:rFonts w:hint="eastAsia" w:ascii="宋体" w:hAnsi="宋体"/>
                <w:color w:val="auto"/>
                <w:szCs w:val="22"/>
                <w:highlight w:val="none"/>
              </w:rPr>
            </w:pPr>
          </w:p>
        </w:tc>
        <w:tc>
          <w:tcPr>
            <w:tcW w:w="1207" w:type="dxa"/>
            <w:tcBorders>
              <w:top w:val="nil"/>
              <w:left w:val="nil"/>
              <w:bottom w:val="single" w:color="auto" w:sz="4" w:space="0"/>
              <w:right w:val="single" w:color="auto" w:sz="4" w:space="0"/>
            </w:tcBorders>
            <w:noWrap/>
            <w:vAlign w:val="bottom"/>
          </w:tcPr>
          <w:p w14:paraId="6BB059D7">
            <w:pPr>
              <w:spacing w:line="360" w:lineRule="auto"/>
              <w:ind w:firstLine="420"/>
              <w:rPr>
                <w:rFonts w:hint="eastAsia" w:ascii="宋体" w:hAnsi="宋体"/>
                <w:color w:val="auto"/>
                <w:szCs w:val="22"/>
                <w:highlight w:val="none"/>
              </w:rPr>
            </w:pPr>
          </w:p>
        </w:tc>
        <w:tc>
          <w:tcPr>
            <w:tcW w:w="955" w:type="dxa"/>
            <w:tcBorders>
              <w:top w:val="nil"/>
              <w:left w:val="nil"/>
              <w:bottom w:val="single" w:color="auto" w:sz="4" w:space="0"/>
              <w:right w:val="single" w:color="auto" w:sz="4" w:space="0"/>
            </w:tcBorders>
            <w:noWrap/>
            <w:vAlign w:val="bottom"/>
          </w:tcPr>
          <w:p w14:paraId="275342EA">
            <w:pPr>
              <w:spacing w:line="360" w:lineRule="auto"/>
              <w:ind w:firstLine="420"/>
              <w:rPr>
                <w:rFonts w:hint="eastAsia" w:ascii="宋体" w:hAnsi="宋体"/>
                <w:color w:val="auto"/>
                <w:szCs w:val="22"/>
                <w:highlight w:val="none"/>
              </w:rPr>
            </w:pPr>
          </w:p>
        </w:tc>
        <w:tc>
          <w:tcPr>
            <w:tcW w:w="818" w:type="dxa"/>
            <w:tcBorders>
              <w:top w:val="nil"/>
              <w:left w:val="nil"/>
              <w:bottom w:val="single" w:color="auto" w:sz="4" w:space="0"/>
              <w:right w:val="single" w:color="auto" w:sz="4" w:space="0"/>
            </w:tcBorders>
            <w:noWrap/>
            <w:vAlign w:val="bottom"/>
          </w:tcPr>
          <w:p w14:paraId="61B15F17">
            <w:pPr>
              <w:spacing w:line="360" w:lineRule="auto"/>
              <w:ind w:firstLine="420"/>
              <w:rPr>
                <w:rFonts w:hint="eastAsia" w:ascii="宋体" w:hAnsi="宋体"/>
                <w:color w:val="auto"/>
                <w:szCs w:val="22"/>
                <w:highlight w:val="none"/>
              </w:rPr>
            </w:pPr>
          </w:p>
        </w:tc>
        <w:tc>
          <w:tcPr>
            <w:tcW w:w="1228" w:type="dxa"/>
            <w:tcBorders>
              <w:top w:val="nil"/>
              <w:left w:val="nil"/>
              <w:bottom w:val="single" w:color="auto" w:sz="4" w:space="0"/>
              <w:right w:val="single" w:color="auto" w:sz="4" w:space="0"/>
            </w:tcBorders>
            <w:noWrap/>
            <w:vAlign w:val="bottom"/>
          </w:tcPr>
          <w:p w14:paraId="1B1D9ECA">
            <w:pPr>
              <w:spacing w:line="360" w:lineRule="auto"/>
              <w:ind w:firstLine="420"/>
              <w:rPr>
                <w:rFonts w:hint="eastAsia" w:ascii="宋体" w:hAnsi="宋体"/>
                <w:color w:val="auto"/>
                <w:szCs w:val="22"/>
                <w:highlight w:val="none"/>
              </w:rPr>
            </w:pPr>
          </w:p>
        </w:tc>
        <w:tc>
          <w:tcPr>
            <w:tcW w:w="1500" w:type="dxa"/>
            <w:tcBorders>
              <w:top w:val="nil"/>
              <w:left w:val="nil"/>
              <w:bottom w:val="single" w:color="auto" w:sz="4" w:space="0"/>
              <w:right w:val="single" w:color="auto" w:sz="4" w:space="0"/>
            </w:tcBorders>
            <w:noWrap/>
            <w:vAlign w:val="bottom"/>
          </w:tcPr>
          <w:p w14:paraId="0E5D2E14">
            <w:pPr>
              <w:spacing w:line="360" w:lineRule="auto"/>
              <w:ind w:firstLine="420"/>
              <w:rPr>
                <w:rFonts w:hint="eastAsia" w:ascii="宋体" w:hAnsi="宋体"/>
                <w:color w:val="auto"/>
                <w:szCs w:val="22"/>
                <w:highlight w:val="none"/>
              </w:rPr>
            </w:pPr>
          </w:p>
        </w:tc>
        <w:tc>
          <w:tcPr>
            <w:tcW w:w="819" w:type="dxa"/>
            <w:tcBorders>
              <w:top w:val="nil"/>
              <w:left w:val="nil"/>
              <w:bottom w:val="single" w:color="auto" w:sz="4" w:space="0"/>
              <w:right w:val="single" w:color="auto" w:sz="8" w:space="0"/>
            </w:tcBorders>
            <w:noWrap/>
            <w:vAlign w:val="bottom"/>
          </w:tcPr>
          <w:p w14:paraId="39D41150">
            <w:pPr>
              <w:spacing w:line="360" w:lineRule="auto"/>
              <w:ind w:firstLine="420"/>
              <w:rPr>
                <w:rFonts w:hint="eastAsia" w:ascii="宋体" w:hAnsi="宋体"/>
                <w:color w:val="auto"/>
                <w:szCs w:val="22"/>
                <w:highlight w:val="none"/>
              </w:rPr>
            </w:pPr>
          </w:p>
        </w:tc>
      </w:tr>
      <w:tr w14:paraId="6FD75ACE">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14:paraId="6F8F614F">
            <w:pPr>
              <w:spacing w:line="360" w:lineRule="auto"/>
              <w:ind w:firstLine="420"/>
              <w:rPr>
                <w:rFonts w:hint="eastAsia" w:ascii="宋体" w:hAnsi="宋体"/>
                <w:color w:val="auto"/>
                <w:szCs w:val="22"/>
                <w:highlight w:val="none"/>
              </w:rPr>
            </w:pPr>
          </w:p>
        </w:tc>
        <w:tc>
          <w:tcPr>
            <w:tcW w:w="693" w:type="dxa"/>
            <w:tcBorders>
              <w:top w:val="nil"/>
              <w:left w:val="nil"/>
              <w:bottom w:val="single" w:color="auto" w:sz="4" w:space="0"/>
              <w:right w:val="single" w:color="auto" w:sz="4" w:space="0"/>
            </w:tcBorders>
            <w:noWrap/>
            <w:vAlign w:val="bottom"/>
          </w:tcPr>
          <w:p w14:paraId="06E56857">
            <w:pPr>
              <w:spacing w:line="360" w:lineRule="auto"/>
              <w:ind w:firstLine="420"/>
              <w:rPr>
                <w:rFonts w:hint="eastAsia" w:ascii="宋体" w:hAnsi="宋体"/>
                <w:color w:val="auto"/>
                <w:szCs w:val="22"/>
                <w:highlight w:val="none"/>
              </w:rPr>
            </w:pPr>
          </w:p>
        </w:tc>
        <w:tc>
          <w:tcPr>
            <w:tcW w:w="1213" w:type="dxa"/>
            <w:tcBorders>
              <w:top w:val="nil"/>
              <w:left w:val="nil"/>
              <w:bottom w:val="single" w:color="auto" w:sz="4" w:space="0"/>
              <w:right w:val="single" w:color="auto" w:sz="4" w:space="0"/>
            </w:tcBorders>
            <w:noWrap/>
            <w:vAlign w:val="bottom"/>
          </w:tcPr>
          <w:p w14:paraId="3DC06367">
            <w:pPr>
              <w:spacing w:line="360" w:lineRule="auto"/>
              <w:ind w:firstLine="420"/>
              <w:rPr>
                <w:rFonts w:hint="eastAsia" w:ascii="宋体" w:hAnsi="宋体"/>
                <w:color w:val="auto"/>
                <w:szCs w:val="22"/>
                <w:highlight w:val="none"/>
              </w:rPr>
            </w:pPr>
          </w:p>
        </w:tc>
        <w:tc>
          <w:tcPr>
            <w:tcW w:w="1207" w:type="dxa"/>
            <w:tcBorders>
              <w:top w:val="nil"/>
              <w:left w:val="nil"/>
              <w:bottom w:val="single" w:color="auto" w:sz="4" w:space="0"/>
              <w:right w:val="single" w:color="auto" w:sz="4" w:space="0"/>
            </w:tcBorders>
            <w:noWrap/>
            <w:vAlign w:val="bottom"/>
          </w:tcPr>
          <w:p w14:paraId="66522DC8">
            <w:pPr>
              <w:spacing w:line="360" w:lineRule="auto"/>
              <w:ind w:firstLine="420"/>
              <w:rPr>
                <w:rFonts w:hint="eastAsia" w:ascii="宋体" w:hAnsi="宋体"/>
                <w:color w:val="auto"/>
                <w:szCs w:val="22"/>
                <w:highlight w:val="none"/>
              </w:rPr>
            </w:pPr>
          </w:p>
        </w:tc>
        <w:tc>
          <w:tcPr>
            <w:tcW w:w="955" w:type="dxa"/>
            <w:tcBorders>
              <w:top w:val="nil"/>
              <w:left w:val="nil"/>
              <w:bottom w:val="single" w:color="auto" w:sz="4" w:space="0"/>
              <w:right w:val="single" w:color="auto" w:sz="4" w:space="0"/>
            </w:tcBorders>
            <w:noWrap/>
            <w:vAlign w:val="bottom"/>
          </w:tcPr>
          <w:p w14:paraId="4A325EA5">
            <w:pPr>
              <w:spacing w:line="360" w:lineRule="auto"/>
              <w:ind w:firstLine="420"/>
              <w:rPr>
                <w:rFonts w:hint="eastAsia" w:ascii="宋体" w:hAnsi="宋体"/>
                <w:color w:val="auto"/>
                <w:szCs w:val="22"/>
                <w:highlight w:val="none"/>
              </w:rPr>
            </w:pPr>
          </w:p>
        </w:tc>
        <w:tc>
          <w:tcPr>
            <w:tcW w:w="818" w:type="dxa"/>
            <w:tcBorders>
              <w:top w:val="nil"/>
              <w:left w:val="nil"/>
              <w:bottom w:val="single" w:color="auto" w:sz="4" w:space="0"/>
              <w:right w:val="single" w:color="auto" w:sz="4" w:space="0"/>
            </w:tcBorders>
            <w:noWrap/>
            <w:vAlign w:val="bottom"/>
          </w:tcPr>
          <w:p w14:paraId="3FC61B31">
            <w:pPr>
              <w:spacing w:line="360" w:lineRule="auto"/>
              <w:ind w:firstLine="420"/>
              <w:rPr>
                <w:rFonts w:hint="eastAsia" w:ascii="宋体" w:hAnsi="宋体"/>
                <w:color w:val="auto"/>
                <w:szCs w:val="22"/>
                <w:highlight w:val="none"/>
              </w:rPr>
            </w:pPr>
          </w:p>
        </w:tc>
        <w:tc>
          <w:tcPr>
            <w:tcW w:w="1228" w:type="dxa"/>
            <w:tcBorders>
              <w:top w:val="nil"/>
              <w:left w:val="nil"/>
              <w:bottom w:val="single" w:color="auto" w:sz="4" w:space="0"/>
              <w:right w:val="single" w:color="auto" w:sz="4" w:space="0"/>
            </w:tcBorders>
            <w:noWrap/>
            <w:vAlign w:val="bottom"/>
          </w:tcPr>
          <w:p w14:paraId="0F6703B7">
            <w:pPr>
              <w:spacing w:line="360" w:lineRule="auto"/>
              <w:ind w:firstLine="420"/>
              <w:rPr>
                <w:rFonts w:hint="eastAsia" w:ascii="宋体" w:hAnsi="宋体"/>
                <w:color w:val="auto"/>
                <w:szCs w:val="22"/>
                <w:highlight w:val="none"/>
              </w:rPr>
            </w:pPr>
          </w:p>
        </w:tc>
        <w:tc>
          <w:tcPr>
            <w:tcW w:w="1500" w:type="dxa"/>
            <w:tcBorders>
              <w:top w:val="nil"/>
              <w:left w:val="nil"/>
              <w:bottom w:val="single" w:color="auto" w:sz="4" w:space="0"/>
              <w:right w:val="single" w:color="auto" w:sz="4" w:space="0"/>
            </w:tcBorders>
            <w:noWrap/>
            <w:vAlign w:val="bottom"/>
          </w:tcPr>
          <w:p w14:paraId="1A2F711A">
            <w:pPr>
              <w:spacing w:line="360" w:lineRule="auto"/>
              <w:ind w:firstLine="420"/>
              <w:rPr>
                <w:rFonts w:hint="eastAsia" w:ascii="宋体" w:hAnsi="宋体"/>
                <w:color w:val="auto"/>
                <w:szCs w:val="22"/>
                <w:highlight w:val="none"/>
              </w:rPr>
            </w:pPr>
          </w:p>
        </w:tc>
        <w:tc>
          <w:tcPr>
            <w:tcW w:w="819" w:type="dxa"/>
            <w:tcBorders>
              <w:top w:val="nil"/>
              <w:left w:val="nil"/>
              <w:bottom w:val="single" w:color="auto" w:sz="4" w:space="0"/>
              <w:right w:val="single" w:color="auto" w:sz="8" w:space="0"/>
            </w:tcBorders>
            <w:noWrap/>
            <w:vAlign w:val="bottom"/>
          </w:tcPr>
          <w:p w14:paraId="2BEEA396">
            <w:pPr>
              <w:spacing w:line="360" w:lineRule="auto"/>
              <w:ind w:firstLine="420"/>
              <w:rPr>
                <w:rFonts w:hint="eastAsia" w:ascii="宋体" w:hAnsi="宋体"/>
                <w:color w:val="auto"/>
                <w:szCs w:val="22"/>
                <w:highlight w:val="none"/>
              </w:rPr>
            </w:pPr>
          </w:p>
        </w:tc>
      </w:tr>
      <w:tr w14:paraId="5D7FFE94">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14:paraId="577CC29D">
            <w:pPr>
              <w:spacing w:line="360" w:lineRule="auto"/>
              <w:ind w:firstLine="420"/>
              <w:rPr>
                <w:rFonts w:hint="eastAsia" w:ascii="宋体" w:hAnsi="宋体"/>
                <w:color w:val="auto"/>
                <w:szCs w:val="22"/>
                <w:highlight w:val="none"/>
              </w:rPr>
            </w:pPr>
          </w:p>
        </w:tc>
        <w:tc>
          <w:tcPr>
            <w:tcW w:w="693" w:type="dxa"/>
            <w:tcBorders>
              <w:top w:val="single" w:color="auto" w:sz="4" w:space="0"/>
              <w:left w:val="nil"/>
              <w:bottom w:val="single" w:color="auto" w:sz="4" w:space="0"/>
              <w:right w:val="single" w:color="auto" w:sz="4" w:space="0"/>
            </w:tcBorders>
            <w:noWrap/>
            <w:vAlign w:val="bottom"/>
          </w:tcPr>
          <w:p w14:paraId="59426AC1">
            <w:pPr>
              <w:spacing w:line="360" w:lineRule="auto"/>
              <w:ind w:firstLine="420"/>
              <w:rPr>
                <w:rFonts w:hint="eastAsia" w:ascii="宋体" w:hAnsi="宋体"/>
                <w:color w:val="auto"/>
                <w:szCs w:val="22"/>
                <w:highlight w:val="none"/>
              </w:rPr>
            </w:pPr>
          </w:p>
        </w:tc>
        <w:tc>
          <w:tcPr>
            <w:tcW w:w="1213" w:type="dxa"/>
            <w:tcBorders>
              <w:top w:val="single" w:color="auto" w:sz="4" w:space="0"/>
              <w:left w:val="nil"/>
              <w:bottom w:val="single" w:color="auto" w:sz="4" w:space="0"/>
              <w:right w:val="single" w:color="auto" w:sz="4" w:space="0"/>
            </w:tcBorders>
            <w:noWrap/>
            <w:vAlign w:val="bottom"/>
          </w:tcPr>
          <w:p w14:paraId="14F8CCEE">
            <w:pPr>
              <w:spacing w:line="360" w:lineRule="auto"/>
              <w:ind w:firstLine="420"/>
              <w:rPr>
                <w:rFonts w:hint="eastAsia" w:ascii="宋体" w:hAnsi="宋体"/>
                <w:color w:val="auto"/>
                <w:szCs w:val="22"/>
                <w:highlight w:val="none"/>
              </w:rPr>
            </w:pPr>
          </w:p>
        </w:tc>
        <w:tc>
          <w:tcPr>
            <w:tcW w:w="1207" w:type="dxa"/>
            <w:tcBorders>
              <w:top w:val="single" w:color="auto" w:sz="4" w:space="0"/>
              <w:left w:val="nil"/>
              <w:bottom w:val="single" w:color="auto" w:sz="4" w:space="0"/>
              <w:right w:val="single" w:color="auto" w:sz="4" w:space="0"/>
            </w:tcBorders>
            <w:noWrap/>
            <w:vAlign w:val="bottom"/>
          </w:tcPr>
          <w:p w14:paraId="31F690BC">
            <w:pPr>
              <w:spacing w:line="360" w:lineRule="auto"/>
              <w:ind w:firstLine="420"/>
              <w:rPr>
                <w:rFonts w:hint="eastAsia" w:ascii="宋体" w:hAnsi="宋体"/>
                <w:color w:val="auto"/>
                <w:szCs w:val="22"/>
                <w:highlight w:val="none"/>
              </w:rPr>
            </w:pPr>
          </w:p>
        </w:tc>
        <w:tc>
          <w:tcPr>
            <w:tcW w:w="955" w:type="dxa"/>
            <w:tcBorders>
              <w:top w:val="single" w:color="auto" w:sz="4" w:space="0"/>
              <w:left w:val="nil"/>
              <w:bottom w:val="single" w:color="auto" w:sz="4" w:space="0"/>
              <w:right w:val="single" w:color="auto" w:sz="4" w:space="0"/>
            </w:tcBorders>
            <w:noWrap/>
            <w:vAlign w:val="bottom"/>
          </w:tcPr>
          <w:p w14:paraId="15BF3877">
            <w:pPr>
              <w:spacing w:line="360" w:lineRule="auto"/>
              <w:ind w:firstLine="420"/>
              <w:rPr>
                <w:rFonts w:hint="eastAsia" w:ascii="宋体" w:hAnsi="宋体"/>
                <w:color w:val="auto"/>
                <w:szCs w:val="22"/>
                <w:highlight w:val="none"/>
              </w:rPr>
            </w:pPr>
          </w:p>
        </w:tc>
        <w:tc>
          <w:tcPr>
            <w:tcW w:w="818" w:type="dxa"/>
            <w:tcBorders>
              <w:top w:val="single" w:color="auto" w:sz="4" w:space="0"/>
              <w:left w:val="nil"/>
              <w:bottom w:val="single" w:color="auto" w:sz="4" w:space="0"/>
              <w:right w:val="single" w:color="auto" w:sz="4" w:space="0"/>
            </w:tcBorders>
            <w:noWrap/>
            <w:vAlign w:val="bottom"/>
          </w:tcPr>
          <w:p w14:paraId="405149BE">
            <w:pPr>
              <w:spacing w:line="360" w:lineRule="auto"/>
              <w:ind w:firstLine="420"/>
              <w:rPr>
                <w:rFonts w:hint="eastAsia" w:ascii="宋体" w:hAnsi="宋体"/>
                <w:color w:val="auto"/>
                <w:szCs w:val="22"/>
                <w:highlight w:val="none"/>
              </w:rPr>
            </w:pPr>
          </w:p>
        </w:tc>
        <w:tc>
          <w:tcPr>
            <w:tcW w:w="1228" w:type="dxa"/>
            <w:tcBorders>
              <w:top w:val="single" w:color="auto" w:sz="4" w:space="0"/>
              <w:left w:val="nil"/>
              <w:bottom w:val="single" w:color="auto" w:sz="4" w:space="0"/>
              <w:right w:val="single" w:color="auto" w:sz="4" w:space="0"/>
            </w:tcBorders>
            <w:noWrap/>
            <w:vAlign w:val="bottom"/>
          </w:tcPr>
          <w:p w14:paraId="3808BABD">
            <w:pPr>
              <w:spacing w:line="360" w:lineRule="auto"/>
              <w:ind w:firstLine="420"/>
              <w:rPr>
                <w:rFonts w:hint="eastAsia" w:ascii="宋体" w:hAnsi="宋体"/>
                <w:color w:val="auto"/>
                <w:szCs w:val="22"/>
                <w:highlight w:val="none"/>
              </w:rPr>
            </w:pPr>
          </w:p>
        </w:tc>
        <w:tc>
          <w:tcPr>
            <w:tcW w:w="1500" w:type="dxa"/>
            <w:tcBorders>
              <w:top w:val="single" w:color="auto" w:sz="4" w:space="0"/>
              <w:left w:val="nil"/>
              <w:bottom w:val="single" w:color="auto" w:sz="4" w:space="0"/>
              <w:right w:val="single" w:color="auto" w:sz="4" w:space="0"/>
            </w:tcBorders>
            <w:noWrap/>
            <w:vAlign w:val="bottom"/>
          </w:tcPr>
          <w:p w14:paraId="1B22DDD6">
            <w:pPr>
              <w:spacing w:line="360" w:lineRule="auto"/>
              <w:ind w:firstLine="420"/>
              <w:rPr>
                <w:rFonts w:hint="eastAsia" w:ascii="宋体" w:hAnsi="宋体"/>
                <w:color w:val="auto"/>
                <w:szCs w:val="22"/>
                <w:highlight w:val="none"/>
              </w:rPr>
            </w:pPr>
          </w:p>
        </w:tc>
        <w:tc>
          <w:tcPr>
            <w:tcW w:w="819" w:type="dxa"/>
            <w:tcBorders>
              <w:top w:val="single" w:color="auto" w:sz="4" w:space="0"/>
              <w:left w:val="nil"/>
              <w:bottom w:val="single" w:color="auto" w:sz="4" w:space="0"/>
              <w:right w:val="single" w:color="auto" w:sz="4" w:space="0"/>
            </w:tcBorders>
            <w:noWrap/>
            <w:vAlign w:val="bottom"/>
          </w:tcPr>
          <w:p w14:paraId="5968B84F">
            <w:pPr>
              <w:spacing w:line="360" w:lineRule="auto"/>
              <w:ind w:firstLine="420"/>
              <w:rPr>
                <w:rFonts w:hint="eastAsia" w:ascii="宋体" w:hAnsi="宋体"/>
                <w:color w:val="auto"/>
                <w:szCs w:val="22"/>
                <w:highlight w:val="none"/>
              </w:rPr>
            </w:pPr>
          </w:p>
        </w:tc>
      </w:tr>
      <w:tr w14:paraId="706C4484">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14:paraId="4547993E">
            <w:pPr>
              <w:spacing w:line="360" w:lineRule="auto"/>
              <w:ind w:firstLine="420"/>
              <w:rPr>
                <w:rFonts w:hint="eastAsia" w:ascii="宋体" w:hAnsi="宋体"/>
                <w:color w:val="auto"/>
                <w:szCs w:val="22"/>
                <w:highlight w:val="none"/>
              </w:rPr>
            </w:pPr>
          </w:p>
        </w:tc>
        <w:tc>
          <w:tcPr>
            <w:tcW w:w="693" w:type="dxa"/>
            <w:tcBorders>
              <w:top w:val="single" w:color="auto" w:sz="4" w:space="0"/>
              <w:left w:val="nil"/>
              <w:bottom w:val="single" w:color="auto" w:sz="4" w:space="0"/>
              <w:right w:val="single" w:color="auto" w:sz="4" w:space="0"/>
            </w:tcBorders>
            <w:noWrap/>
            <w:vAlign w:val="bottom"/>
          </w:tcPr>
          <w:p w14:paraId="03E78B05">
            <w:pPr>
              <w:spacing w:line="360" w:lineRule="auto"/>
              <w:ind w:firstLine="420"/>
              <w:rPr>
                <w:rFonts w:hint="eastAsia" w:ascii="宋体" w:hAnsi="宋体"/>
                <w:color w:val="auto"/>
                <w:szCs w:val="22"/>
                <w:highlight w:val="none"/>
              </w:rPr>
            </w:pPr>
          </w:p>
        </w:tc>
        <w:tc>
          <w:tcPr>
            <w:tcW w:w="1213" w:type="dxa"/>
            <w:tcBorders>
              <w:top w:val="single" w:color="auto" w:sz="4" w:space="0"/>
              <w:left w:val="nil"/>
              <w:bottom w:val="single" w:color="auto" w:sz="4" w:space="0"/>
              <w:right w:val="single" w:color="auto" w:sz="4" w:space="0"/>
            </w:tcBorders>
            <w:noWrap/>
            <w:vAlign w:val="bottom"/>
          </w:tcPr>
          <w:p w14:paraId="074F9FF1">
            <w:pPr>
              <w:spacing w:line="360" w:lineRule="auto"/>
              <w:ind w:firstLine="420"/>
              <w:rPr>
                <w:rFonts w:hint="eastAsia" w:ascii="宋体" w:hAnsi="宋体"/>
                <w:color w:val="auto"/>
                <w:szCs w:val="22"/>
                <w:highlight w:val="none"/>
              </w:rPr>
            </w:pPr>
          </w:p>
        </w:tc>
        <w:tc>
          <w:tcPr>
            <w:tcW w:w="1207" w:type="dxa"/>
            <w:tcBorders>
              <w:top w:val="single" w:color="auto" w:sz="4" w:space="0"/>
              <w:left w:val="nil"/>
              <w:bottom w:val="single" w:color="auto" w:sz="4" w:space="0"/>
              <w:right w:val="single" w:color="auto" w:sz="4" w:space="0"/>
            </w:tcBorders>
            <w:noWrap/>
            <w:vAlign w:val="bottom"/>
          </w:tcPr>
          <w:p w14:paraId="2478868F">
            <w:pPr>
              <w:spacing w:line="360" w:lineRule="auto"/>
              <w:ind w:firstLine="420"/>
              <w:rPr>
                <w:rFonts w:hint="eastAsia" w:ascii="宋体" w:hAnsi="宋体"/>
                <w:color w:val="auto"/>
                <w:szCs w:val="22"/>
                <w:highlight w:val="none"/>
              </w:rPr>
            </w:pPr>
          </w:p>
        </w:tc>
        <w:tc>
          <w:tcPr>
            <w:tcW w:w="955" w:type="dxa"/>
            <w:tcBorders>
              <w:top w:val="single" w:color="auto" w:sz="4" w:space="0"/>
              <w:left w:val="nil"/>
              <w:bottom w:val="single" w:color="auto" w:sz="4" w:space="0"/>
              <w:right w:val="single" w:color="auto" w:sz="4" w:space="0"/>
            </w:tcBorders>
            <w:noWrap/>
            <w:vAlign w:val="bottom"/>
          </w:tcPr>
          <w:p w14:paraId="7B10B83E">
            <w:pPr>
              <w:spacing w:line="360" w:lineRule="auto"/>
              <w:ind w:firstLine="420"/>
              <w:rPr>
                <w:rFonts w:hint="eastAsia" w:ascii="宋体" w:hAnsi="宋体"/>
                <w:color w:val="auto"/>
                <w:szCs w:val="22"/>
                <w:highlight w:val="none"/>
              </w:rPr>
            </w:pPr>
          </w:p>
        </w:tc>
        <w:tc>
          <w:tcPr>
            <w:tcW w:w="818" w:type="dxa"/>
            <w:tcBorders>
              <w:top w:val="single" w:color="auto" w:sz="4" w:space="0"/>
              <w:left w:val="nil"/>
              <w:bottom w:val="single" w:color="auto" w:sz="4" w:space="0"/>
              <w:right w:val="single" w:color="auto" w:sz="4" w:space="0"/>
            </w:tcBorders>
            <w:noWrap/>
            <w:vAlign w:val="bottom"/>
          </w:tcPr>
          <w:p w14:paraId="6A6FDBD2">
            <w:pPr>
              <w:spacing w:line="360" w:lineRule="auto"/>
              <w:ind w:firstLine="420"/>
              <w:rPr>
                <w:rFonts w:hint="eastAsia" w:ascii="宋体" w:hAnsi="宋体"/>
                <w:color w:val="auto"/>
                <w:szCs w:val="22"/>
                <w:highlight w:val="none"/>
              </w:rPr>
            </w:pPr>
          </w:p>
        </w:tc>
        <w:tc>
          <w:tcPr>
            <w:tcW w:w="1228" w:type="dxa"/>
            <w:tcBorders>
              <w:top w:val="single" w:color="auto" w:sz="4" w:space="0"/>
              <w:left w:val="nil"/>
              <w:bottom w:val="single" w:color="auto" w:sz="4" w:space="0"/>
              <w:right w:val="single" w:color="auto" w:sz="4" w:space="0"/>
            </w:tcBorders>
            <w:noWrap/>
            <w:vAlign w:val="bottom"/>
          </w:tcPr>
          <w:p w14:paraId="790761DF">
            <w:pPr>
              <w:spacing w:line="360" w:lineRule="auto"/>
              <w:ind w:firstLine="420"/>
              <w:rPr>
                <w:rFonts w:hint="eastAsia" w:ascii="宋体" w:hAnsi="宋体"/>
                <w:color w:val="auto"/>
                <w:szCs w:val="22"/>
                <w:highlight w:val="none"/>
              </w:rPr>
            </w:pPr>
          </w:p>
        </w:tc>
        <w:tc>
          <w:tcPr>
            <w:tcW w:w="1500" w:type="dxa"/>
            <w:tcBorders>
              <w:top w:val="single" w:color="auto" w:sz="4" w:space="0"/>
              <w:left w:val="nil"/>
              <w:bottom w:val="single" w:color="auto" w:sz="4" w:space="0"/>
              <w:right w:val="single" w:color="auto" w:sz="4" w:space="0"/>
            </w:tcBorders>
            <w:noWrap/>
            <w:vAlign w:val="bottom"/>
          </w:tcPr>
          <w:p w14:paraId="1563BD86">
            <w:pPr>
              <w:spacing w:line="360" w:lineRule="auto"/>
              <w:ind w:firstLine="420"/>
              <w:rPr>
                <w:rFonts w:hint="eastAsia" w:ascii="宋体" w:hAnsi="宋体"/>
                <w:color w:val="auto"/>
                <w:szCs w:val="22"/>
                <w:highlight w:val="none"/>
              </w:rPr>
            </w:pPr>
          </w:p>
        </w:tc>
        <w:tc>
          <w:tcPr>
            <w:tcW w:w="819" w:type="dxa"/>
            <w:tcBorders>
              <w:top w:val="single" w:color="auto" w:sz="4" w:space="0"/>
              <w:left w:val="nil"/>
              <w:bottom w:val="single" w:color="auto" w:sz="4" w:space="0"/>
              <w:right w:val="single" w:color="auto" w:sz="4" w:space="0"/>
            </w:tcBorders>
            <w:noWrap/>
            <w:vAlign w:val="bottom"/>
          </w:tcPr>
          <w:p w14:paraId="69325EF1">
            <w:pPr>
              <w:spacing w:line="360" w:lineRule="auto"/>
              <w:ind w:firstLine="420"/>
              <w:rPr>
                <w:rFonts w:hint="eastAsia" w:ascii="宋体" w:hAnsi="宋体"/>
                <w:color w:val="auto"/>
                <w:szCs w:val="22"/>
                <w:highlight w:val="none"/>
              </w:rPr>
            </w:pPr>
          </w:p>
        </w:tc>
      </w:tr>
      <w:tr w14:paraId="29CD475C">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14:paraId="39A15CF9">
            <w:pPr>
              <w:spacing w:line="360" w:lineRule="auto"/>
              <w:ind w:firstLine="420"/>
              <w:rPr>
                <w:rFonts w:hint="eastAsia" w:ascii="宋体" w:hAnsi="宋体"/>
                <w:color w:val="auto"/>
                <w:szCs w:val="22"/>
                <w:highlight w:val="none"/>
              </w:rPr>
            </w:pPr>
          </w:p>
        </w:tc>
        <w:tc>
          <w:tcPr>
            <w:tcW w:w="693" w:type="dxa"/>
            <w:tcBorders>
              <w:top w:val="single" w:color="auto" w:sz="4" w:space="0"/>
              <w:left w:val="nil"/>
              <w:bottom w:val="single" w:color="auto" w:sz="4" w:space="0"/>
              <w:right w:val="single" w:color="auto" w:sz="4" w:space="0"/>
            </w:tcBorders>
            <w:noWrap/>
            <w:vAlign w:val="bottom"/>
          </w:tcPr>
          <w:p w14:paraId="09F83A8F">
            <w:pPr>
              <w:spacing w:line="360" w:lineRule="auto"/>
              <w:ind w:firstLine="420"/>
              <w:rPr>
                <w:rFonts w:hint="eastAsia" w:ascii="宋体" w:hAnsi="宋体"/>
                <w:color w:val="auto"/>
                <w:szCs w:val="22"/>
                <w:highlight w:val="none"/>
              </w:rPr>
            </w:pPr>
          </w:p>
        </w:tc>
        <w:tc>
          <w:tcPr>
            <w:tcW w:w="1213" w:type="dxa"/>
            <w:tcBorders>
              <w:top w:val="single" w:color="auto" w:sz="4" w:space="0"/>
              <w:left w:val="nil"/>
              <w:bottom w:val="single" w:color="auto" w:sz="4" w:space="0"/>
              <w:right w:val="single" w:color="auto" w:sz="4" w:space="0"/>
            </w:tcBorders>
            <w:noWrap/>
            <w:vAlign w:val="bottom"/>
          </w:tcPr>
          <w:p w14:paraId="6A5B906D">
            <w:pPr>
              <w:spacing w:line="360" w:lineRule="auto"/>
              <w:ind w:firstLine="420"/>
              <w:rPr>
                <w:rFonts w:hint="eastAsia" w:ascii="宋体" w:hAnsi="宋体"/>
                <w:color w:val="auto"/>
                <w:szCs w:val="22"/>
                <w:highlight w:val="none"/>
              </w:rPr>
            </w:pPr>
          </w:p>
        </w:tc>
        <w:tc>
          <w:tcPr>
            <w:tcW w:w="1207" w:type="dxa"/>
            <w:tcBorders>
              <w:top w:val="single" w:color="auto" w:sz="4" w:space="0"/>
              <w:left w:val="nil"/>
              <w:bottom w:val="single" w:color="auto" w:sz="4" w:space="0"/>
              <w:right w:val="single" w:color="auto" w:sz="4" w:space="0"/>
            </w:tcBorders>
            <w:noWrap/>
            <w:vAlign w:val="bottom"/>
          </w:tcPr>
          <w:p w14:paraId="59FE8C41">
            <w:pPr>
              <w:spacing w:line="360" w:lineRule="auto"/>
              <w:ind w:firstLine="420"/>
              <w:rPr>
                <w:rFonts w:hint="eastAsia" w:ascii="宋体" w:hAnsi="宋体"/>
                <w:color w:val="auto"/>
                <w:szCs w:val="22"/>
                <w:highlight w:val="none"/>
              </w:rPr>
            </w:pPr>
          </w:p>
        </w:tc>
        <w:tc>
          <w:tcPr>
            <w:tcW w:w="955" w:type="dxa"/>
            <w:tcBorders>
              <w:top w:val="single" w:color="auto" w:sz="4" w:space="0"/>
              <w:left w:val="nil"/>
              <w:bottom w:val="single" w:color="auto" w:sz="4" w:space="0"/>
              <w:right w:val="single" w:color="auto" w:sz="4" w:space="0"/>
            </w:tcBorders>
            <w:noWrap/>
            <w:vAlign w:val="bottom"/>
          </w:tcPr>
          <w:p w14:paraId="2D6DD0FC">
            <w:pPr>
              <w:spacing w:line="360" w:lineRule="auto"/>
              <w:ind w:firstLine="420"/>
              <w:rPr>
                <w:rFonts w:hint="eastAsia" w:ascii="宋体" w:hAnsi="宋体"/>
                <w:color w:val="auto"/>
                <w:szCs w:val="22"/>
                <w:highlight w:val="none"/>
              </w:rPr>
            </w:pPr>
          </w:p>
        </w:tc>
        <w:tc>
          <w:tcPr>
            <w:tcW w:w="818" w:type="dxa"/>
            <w:tcBorders>
              <w:top w:val="single" w:color="auto" w:sz="4" w:space="0"/>
              <w:left w:val="nil"/>
              <w:bottom w:val="single" w:color="auto" w:sz="4" w:space="0"/>
              <w:right w:val="single" w:color="auto" w:sz="4" w:space="0"/>
            </w:tcBorders>
            <w:noWrap/>
            <w:vAlign w:val="bottom"/>
          </w:tcPr>
          <w:p w14:paraId="06CBDBF6">
            <w:pPr>
              <w:spacing w:line="360" w:lineRule="auto"/>
              <w:ind w:firstLine="420"/>
              <w:rPr>
                <w:rFonts w:hint="eastAsia" w:ascii="宋体" w:hAnsi="宋体"/>
                <w:color w:val="auto"/>
                <w:szCs w:val="22"/>
                <w:highlight w:val="none"/>
              </w:rPr>
            </w:pPr>
          </w:p>
        </w:tc>
        <w:tc>
          <w:tcPr>
            <w:tcW w:w="1228" w:type="dxa"/>
            <w:tcBorders>
              <w:top w:val="single" w:color="auto" w:sz="4" w:space="0"/>
              <w:left w:val="nil"/>
              <w:bottom w:val="single" w:color="auto" w:sz="4" w:space="0"/>
              <w:right w:val="single" w:color="auto" w:sz="4" w:space="0"/>
            </w:tcBorders>
            <w:noWrap/>
            <w:vAlign w:val="bottom"/>
          </w:tcPr>
          <w:p w14:paraId="31379135">
            <w:pPr>
              <w:spacing w:line="360" w:lineRule="auto"/>
              <w:ind w:firstLine="420"/>
              <w:rPr>
                <w:rFonts w:hint="eastAsia" w:ascii="宋体" w:hAnsi="宋体"/>
                <w:color w:val="auto"/>
                <w:szCs w:val="22"/>
                <w:highlight w:val="none"/>
              </w:rPr>
            </w:pPr>
          </w:p>
        </w:tc>
        <w:tc>
          <w:tcPr>
            <w:tcW w:w="1500" w:type="dxa"/>
            <w:tcBorders>
              <w:top w:val="single" w:color="auto" w:sz="4" w:space="0"/>
              <w:left w:val="nil"/>
              <w:bottom w:val="single" w:color="auto" w:sz="4" w:space="0"/>
              <w:right w:val="single" w:color="auto" w:sz="4" w:space="0"/>
            </w:tcBorders>
            <w:noWrap/>
            <w:vAlign w:val="bottom"/>
          </w:tcPr>
          <w:p w14:paraId="7ADFECBC">
            <w:pPr>
              <w:spacing w:line="360" w:lineRule="auto"/>
              <w:ind w:firstLine="420"/>
              <w:rPr>
                <w:rFonts w:hint="eastAsia" w:ascii="宋体" w:hAnsi="宋体"/>
                <w:color w:val="auto"/>
                <w:szCs w:val="22"/>
                <w:highlight w:val="none"/>
              </w:rPr>
            </w:pPr>
          </w:p>
        </w:tc>
        <w:tc>
          <w:tcPr>
            <w:tcW w:w="819" w:type="dxa"/>
            <w:tcBorders>
              <w:top w:val="single" w:color="auto" w:sz="4" w:space="0"/>
              <w:left w:val="nil"/>
              <w:bottom w:val="single" w:color="auto" w:sz="4" w:space="0"/>
              <w:right w:val="single" w:color="auto" w:sz="4" w:space="0"/>
            </w:tcBorders>
            <w:noWrap/>
            <w:vAlign w:val="bottom"/>
          </w:tcPr>
          <w:p w14:paraId="191E55FF">
            <w:pPr>
              <w:spacing w:line="360" w:lineRule="auto"/>
              <w:ind w:firstLine="420"/>
              <w:rPr>
                <w:rFonts w:hint="eastAsia" w:ascii="宋体" w:hAnsi="宋体"/>
                <w:color w:val="auto"/>
                <w:szCs w:val="22"/>
                <w:highlight w:val="none"/>
              </w:rPr>
            </w:pPr>
          </w:p>
        </w:tc>
      </w:tr>
      <w:tr w14:paraId="76647A0E">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14:paraId="4ED1D75E">
            <w:pPr>
              <w:spacing w:line="360" w:lineRule="auto"/>
              <w:ind w:firstLine="420"/>
              <w:rPr>
                <w:rFonts w:hint="eastAsia" w:ascii="宋体" w:hAnsi="宋体"/>
                <w:color w:val="auto"/>
                <w:szCs w:val="22"/>
                <w:highlight w:val="none"/>
              </w:rPr>
            </w:pPr>
          </w:p>
        </w:tc>
        <w:tc>
          <w:tcPr>
            <w:tcW w:w="693" w:type="dxa"/>
            <w:tcBorders>
              <w:top w:val="single" w:color="auto" w:sz="4" w:space="0"/>
              <w:left w:val="nil"/>
              <w:bottom w:val="single" w:color="auto" w:sz="4" w:space="0"/>
              <w:right w:val="single" w:color="auto" w:sz="4" w:space="0"/>
            </w:tcBorders>
            <w:noWrap/>
            <w:vAlign w:val="bottom"/>
          </w:tcPr>
          <w:p w14:paraId="1FB71BBE">
            <w:pPr>
              <w:spacing w:line="360" w:lineRule="auto"/>
              <w:ind w:firstLine="420"/>
              <w:rPr>
                <w:rFonts w:hint="eastAsia" w:ascii="宋体" w:hAnsi="宋体"/>
                <w:color w:val="auto"/>
                <w:szCs w:val="22"/>
                <w:highlight w:val="none"/>
              </w:rPr>
            </w:pPr>
          </w:p>
        </w:tc>
        <w:tc>
          <w:tcPr>
            <w:tcW w:w="1213" w:type="dxa"/>
            <w:tcBorders>
              <w:top w:val="single" w:color="auto" w:sz="4" w:space="0"/>
              <w:left w:val="nil"/>
              <w:bottom w:val="single" w:color="auto" w:sz="4" w:space="0"/>
              <w:right w:val="single" w:color="auto" w:sz="4" w:space="0"/>
            </w:tcBorders>
            <w:noWrap/>
            <w:vAlign w:val="bottom"/>
          </w:tcPr>
          <w:p w14:paraId="3D18F81E">
            <w:pPr>
              <w:spacing w:line="360" w:lineRule="auto"/>
              <w:ind w:firstLine="420"/>
              <w:rPr>
                <w:rFonts w:hint="eastAsia" w:ascii="宋体" w:hAnsi="宋体"/>
                <w:color w:val="auto"/>
                <w:szCs w:val="22"/>
                <w:highlight w:val="none"/>
              </w:rPr>
            </w:pPr>
          </w:p>
        </w:tc>
        <w:tc>
          <w:tcPr>
            <w:tcW w:w="1207" w:type="dxa"/>
            <w:tcBorders>
              <w:top w:val="single" w:color="auto" w:sz="4" w:space="0"/>
              <w:left w:val="nil"/>
              <w:bottom w:val="single" w:color="auto" w:sz="4" w:space="0"/>
              <w:right w:val="single" w:color="auto" w:sz="4" w:space="0"/>
            </w:tcBorders>
            <w:noWrap/>
            <w:vAlign w:val="bottom"/>
          </w:tcPr>
          <w:p w14:paraId="6FA8B27D">
            <w:pPr>
              <w:spacing w:line="360" w:lineRule="auto"/>
              <w:ind w:firstLine="420"/>
              <w:rPr>
                <w:rFonts w:hint="eastAsia" w:ascii="宋体" w:hAnsi="宋体"/>
                <w:color w:val="auto"/>
                <w:szCs w:val="22"/>
                <w:highlight w:val="none"/>
              </w:rPr>
            </w:pPr>
          </w:p>
        </w:tc>
        <w:tc>
          <w:tcPr>
            <w:tcW w:w="955" w:type="dxa"/>
            <w:tcBorders>
              <w:top w:val="single" w:color="auto" w:sz="4" w:space="0"/>
              <w:left w:val="nil"/>
              <w:bottom w:val="single" w:color="auto" w:sz="4" w:space="0"/>
              <w:right w:val="single" w:color="auto" w:sz="4" w:space="0"/>
            </w:tcBorders>
            <w:noWrap/>
            <w:vAlign w:val="bottom"/>
          </w:tcPr>
          <w:p w14:paraId="7DA0384B">
            <w:pPr>
              <w:spacing w:line="360" w:lineRule="auto"/>
              <w:ind w:firstLine="420"/>
              <w:rPr>
                <w:rFonts w:hint="eastAsia" w:ascii="宋体" w:hAnsi="宋体"/>
                <w:color w:val="auto"/>
                <w:szCs w:val="22"/>
                <w:highlight w:val="none"/>
              </w:rPr>
            </w:pPr>
          </w:p>
        </w:tc>
        <w:tc>
          <w:tcPr>
            <w:tcW w:w="818" w:type="dxa"/>
            <w:tcBorders>
              <w:top w:val="single" w:color="auto" w:sz="4" w:space="0"/>
              <w:left w:val="nil"/>
              <w:bottom w:val="single" w:color="auto" w:sz="4" w:space="0"/>
              <w:right w:val="single" w:color="auto" w:sz="4" w:space="0"/>
            </w:tcBorders>
            <w:noWrap/>
            <w:vAlign w:val="bottom"/>
          </w:tcPr>
          <w:p w14:paraId="5EA76737">
            <w:pPr>
              <w:spacing w:line="360" w:lineRule="auto"/>
              <w:ind w:firstLine="420"/>
              <w:rPr>
                <w:rFonts w:hint="eastAsia" w:ascii="宋体" w:hAnsi="宋体"/>
                <w:color w:val="auto"/>
                <w:szCs w:val="22"/>
                <w:highlight w:val="none"/>
              </w:rPr>
            </w:pPr>
          </w:p>
        </w:tc>
        <w:tc>
          <w:tcPr>
            <w:tcW w:w="1228" w:type="dxa"/>
            <w:tcBorders>
              <w:top w:val="single" w:color="auto" w:sz="4" w:space="0"/>
              <w:left w:val="nil"/>
              <w:bottom w:val="single" w:color="auto" w:sz="4" w:space="0"/>
              <w:right w:val="single" w:color="auto" w:sz="4" w:space="0"/>
            </w:tcBorders>
            <w:noWrap/>
            <w:vAlign w:val="bottom"/>
          </w:tcPr>
          <w:p w14:paraId="5B7D64D9">
            <w:pPr>
              <w:spacing w:line="360" w:lineRule="auto"/>
              <w:ind w:firstLine="420"/>
              <w:rPr>
                <w:rFonts w:hint="eastAsia" w:ascii="宋体" w:hAnsi="宋体"/>
                <w:color w:val="auto"/>
                <w:szCs w:val="22"/>
                <w:highlight w:val="none"/>
              </w:rPr>
            </w:pPr>
          </w:p>
        </w:tc>
        <w:tc>
          <w:tcPr>
            <w:tcW w:w="1500" w:type="dxa"/>
            <w:tcBorders>
              <w:top w:val="single" w:color="auto" w:sz="4" w:space="0"/>
              <w:left w:val="nil"/>
              <w:bottom w:val="single" w:color="auto" w:sz="4" w:space="0"/>
              <w:right w:val="single" w:color="auto" w:sz="4" w:space="0"/>
            </w:tcBorders>
            <w:noWrap/>
            <w:vAlign w:val="bottom"/>
          </w:tcPr>
          <w:p w14:paraId="5AC26A45">
            <w:pPr>
              <w:spacing w:line="360" w:lineRule="auto"/>
              <w:ind w:firstLine="420"/>
              <w:rPr>
                <w:rFonts w:hint="eastAsia" w:ascii="宋体" w:hAnsi="宋体"/>
                <w:color w:val="auto"/>
                <w:szCs w:val="22"/>
                <w:highlight w:val="none"/>
              </w:rPr>
            </w:pPr>
          </w:p>
        </w:tc>
        <w:tc>
          <w:tcPr>
            <w:tcW w:w="819" w:type="dxa"/>
            <w:tcBorders>
              <w:top w:val="single" w:color="auto" w:sz="4" w:space="0"/>
              <w:left w:val="nil"/>
              <w:bottom w:val="single" w:color="auto" w:sz="4" w:space="0"/>
              <w:right w:val="single" w:color="auto" w:sz="4" w:space="0"/>
            </w:tcBorders>
            <w:noWrap/>
            <w:vAlign w:val="bottom"/>
          </w:tcPr>
          <w:p w14:paraId="58A13F71">
            <w:pPr>
              <w:spacing w:line="360" w:lineRule="auto"/>
              <w:ind w:firstLine="420"/>
              <w:rPr>
                <w:rFonts w:hint="eastAsia" w:ascii="宋体" w:hAnsi="宋体"/>
                <w:color w:val="auto"/>
                <w:szCs w:val="22"/>
                <w:highlight w:val="none"/>
              </w:rPr>
            </w:pPr>
          </w:p>
        </w:tc>
      </w:tr>
      <w:tr w14:paraId="6F511A7C">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14:paraId="6C1AC512">
            <w:pPr>
              <w:spacing w:line="360" w:lineRule="auto"/>
              <w:ind w:firstLine="420"/>
              <w:rPr>
                <w:rFonts w:hint="eastAsia" w:ascii="宋体" w:hAnsi="宋体"/>
                <w:color w:val="auto"/>
                <w:szCs w:val="22"/>
                <w:highlight w:val="none"/>
              </w:rPr>
            </w:pPr>
          </w:p>
        </w:tc>
        <w:tc>
          <w:tcPr>
            <w:tcW w:w="693" w:type="dxa"/>
            <w:tcBorders>
              <w:top w:val="single" w:color="auto" w:sz="4" w:space="0"/>
              <w:left w:val="nil"/>
              <w:bottom w:val="single" w:color="auto" w:sz="4" w:space="0"/>
              <w:right w:val="single" w:color="auto" w:sz="4" w:space="0"/>
            </w:tcBorders>
            <w:noWrap/>
            <w:vAlign w:val="bottom"/>
          </w:tcPr>
          <w:p w14:paraId="0086A163">
            <w:pPr>
              <w:spacing w:line="360" w:lineRule="auto"/>
              <w:ind w:firstLine="420"/>
              <w:rPr>
                <w:rFonts w:hint="eastAsia" w:ascii="宋体" w:hAnsi="宋体"/>
                <w:color w:val="auto"/>
                <w:szCs w:val="22"/>
                <w:highlight w:val="none"/>
              </w:rPr>
            </w:pPr>
          </w:p>
        </w:tc>
        <w:tc>
          <w:tcPr>
            <w:tcW w:w="1213" w:type="dxa"/>
            <w:tcBorders>
              <w:top w:val="single" w:color="auto" w:sz="4" w:space="0"/>
              <w:left w:val="nil"/>
              <w:bottom w:val="single" w:color="auto" w:sz="4" w:space="0"/>
              <w:right w:val="single" w:color="auto" w:sz="4" w:space="0"/>
            </w:tcBorders>
            <w:noWrap/>
            <w:vAlign w:val="bottom"/>
          </w:tcPr>
          <w:p w14:paraId="2B84D893">
            <w:pPr>
              <w:spacing w:line="360" w:lineRule="auto"/>
              <w:ind w:firstLine="420"/>
              <w:rPr>
                <w:rFonts w:hint="eastAsia" w:ascii="宋体" w:hAnsi="宋体"/>
                <w:color w:val="auto"/>
                <w:szCs w:val="22"/>
                <w:highlight w:val="none"/>
              </w:rPr>
            </w:pPr>
          </w:p>
        </w:tc>
        <w:tc>
          <w:tcPr>
            <w:tcW w:w="1207" w:type="dxa"/>
            <w:tcBorders>
              <w:top w:val="single" w:color="auto" w:sz="4" w:space="0"/>
              <w:left w:val="nil"/>
              <w:bottom w:val="single" w:color="auto" w:sz="4" w:space="0"/>
              <w:right w:val="single" w:color="auto" w:sz="4" w:space="0"/>
            </w:tcBorders>
            <w:noWrap/>
            <w:vAlign w:val="bottom"/>
          </w:tcPr>
          <w:p w14:paraId="66A0AA80">
            <w:pPr>
              <w:spacing w:line="360" w:lineRule="auto"/>
              <w:ind w:firstLine="420"/>
              <w:rPr>
                <w:rFonts w:hint="eastAsia" w:ascii="宋体" w:hAnsi="宋体"/>
                <w:color w:val="auto"/>
                <w:szCs w:val="22"/>
                <w:highlight w:val="none"/>
              </w:rPr>
            </w:pPr>
          </w:p>
        </w:tc>
        <w:tc>
          <w:tcPr>
            <w:tcW w:w="955" w:type="dxa"/>
            <w:tcBorders>
              <w:top w:val="single" w:color="auto" w:sz="4" w:space="0"/>
              <w:left w:val="nil"/>
              <w:bottom w:val="single" w:color="auto" w:sz="4" w:space="0"/>
              <w:right w:val="single" w:color="auto" w:sz="4" w:space="0"/>
            </w:tcBorders>
            <w:noWrap/>
            <w:vAlign w:val="bottom"/>
          </w:tcPr>
          <w:p w14:paraId="6C504CE9">
            <w:pPr>
              <w:spacing w:line="360" w:lineRule="auto"/>
              <w:ind w:firstLine="420"/>
              <w:rPr>
                <w:rFonts w:hint="eastAsia" w:ascii="宋体" w:hAnsi="宋体"/>
                <w:color w:val="auto"/>
                <w:szCs w:val="22"/>
                <w:highlight w:val="none"/>
              </w:rPr>
            </w:pPr>
          </w:p>
        </w:tc>
        <w:tc>
          <w:tcPr>
            <w:tcW w:w="818" w:type="dxa"/>
            <w:tcBorders>
              <w:top w:val="single" w:color="auto" w:sz="4" w:space="0"/>
              <w:left w:val="nil"/>
              <w:bottom w:val="single" w:color="auto" w:sz="4" w:space="0"/>
              <w:right w:val="single" w:color="auto" w:sz="4" w:space="0"/>
            </w:tcBorders>
            <w:noWrap/>
            <w:vAlign w:val="bottom"/>
          </w:tcPr>
          <w:p w14:paraId="75B5518C">
            <w:pPr>
              <w:spacing w:line="360" w:lineRule="auto"/>
              <w:ind w:firstLine="420"/>
              <w:rPr>
                <w:rFonts w:hint="eastAsia" w:ascii="宋体" w:hAnsi="宋体"/>
                <w:color w:val="auto"/>
                <w:szCs w:val="22"/>
                <w:highlight w:val="none"/>
              </w:rPr>
            </w:pPr>
          </w:p>
        </w:tc>
        <w:tc>
          <w:tcPr>
            <w:tcW w:w="1228" w:type="dxa"/>
            <w:tcBorders>
              <w:top w:val="single" w:color="auto" w:sz="4" w:space="0"/>
              <w:left w:val="nil"/>
              <w:bottom w:val="single" w:color="auto" w:sz="4" w:space="0"/>
              <w:right w:val="single" w:color="auto" w:sz="4" w:space="0"/>
            </w:tcBorders>
            <w:noWrap/>
            <w:vAlign w:val="bottom"/>
          </w:tcPr>
          <w:p w14:paraId="6B545C0B">
            <w:pPr>
              <w:spacing w:line="360" w:lineRule="auto"/>
              <w:ind w:firstLine="420"/>
              <w:rPr>
                <w:rFonts w:hint="eastAsia" w:ascii="宋体" w:hAnsi="宋体"/>
                <w:color w:val="auto"/>
                <w:szCs w:val="22"/>
                <w:highlight w:val="none"/>
              </w:rPr>
            </w:pPr>
          </w:p>
        </w:tc>
        <w:tc>
          <w:tcPr>
            <w:tcW w:w="1500" w:type="dxa"/>
            <w:tcBorders>
              <w:top w:val="single" w:color="auto" w:sz="4" w:space="0"/>
              <w:left w:val="nil"/>
              <w:bottom w:val="single" w:color="auto" w:sz="4" w:space="0"/>
              <w:right w:val="single" w:color="auto" w:sz="4" w:space="0"/>
            </w:tcBorders>
            <w:noWrap/>
            <w:vAlign w:val="bottom"/>
          </w:tcPr>
          <w:p w14:paraId="04EA3ACD">
            <w:pPr>
              <w:spacing w:line="360" w:lineRule="auto"/>
              <w:ind w:firstLine="420"/>
              <w:rPr>
                <w:rFonts w:hint="eastAsia" w:ascii="宋体" w:hAnsi="宋体"/>
                <w:color w:val="auto"/>
                <w:szCs w:val="22"/>
                <w:highlight w:val="none"/>
              </w:rPr>
            </w:pPr>
          </w:p>
        </w:tc>
        <w:tc>
          <w:tcPr>
            <w:tcW w:w="819" w:type="dxa"/>
            <w:tcBorders>
              <w:top w:val="single" w:color="auto" w:sz="4" w:space="0"/>
              <w:left w:val="nil"/>
              <w:bottom w:val="single" w:color="auto" w:sz="4" w:space="0"/>
              <w:right w:val="single" w:color="auto" w:sz="4" w:space="0"/>
            </w:tcBorders>
            <w:noWrap/>
            <w:vAlign w:val="bottom"/>
          </w:tcPr>
          <w:p w14:paraId="008E7A21">
            <w:pPr>
              <w:spacing w:line="360" w:lineRule="auto"/>
              <w:ind w:firstLine="420"/>
              <w:rPr>
                <w:rFonts w:hint="eastAsia" w:ascii="宋体" w:hAnsi="宋体"/>
                <w:color w:val="auto"/>
                <w:szCs w:val="22"/>
                <w:highlight w:val="none"/>
              </w:rPr>
            </w:pPr>
          </w:p>
        </w:tc>
      </w:tr>
      <w:tr w14:paraId="504F06F5">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14:paraId="13D5085E">
            <w:pPr>
              <w:spacing w:line="360" w:lineRule="auto"/>
              <w:ind w:firstLine="420"/>
              <w:rPr>
                <w:rFonts w:hint="eastAsia" w:ascii="宋体" w:hAnsi="宋体"/>
                <w:color w:val="auto"/>
                <w:szCs w:val="22"/>
                <w:highlight w:val="none"/>
              </w:rPr>
            </w:pPr>
          </w:p>
        </w:tc>
        <w:tc>
          <w:tcPr>
            <w:tcW w:w="693" w:type="dxa"/>
            <w:tcBorders>
              <w:top w:val="single" w:color="auto" w:sz="4" w:space="0"/>
              <w:left w:val="nil"/>
              <w:bottom w:val="single" w:color="auto" w:sz="4" w:space="0"/>
              <w:right w:val="single" w:color="auto" w:sz="4" w:space="0"/>
            </w:tcBorders>
            <w:noWrap/>
            <w:vAlign w:val="bottom"/>
          </w:tcPr>
          <w:p w14:paraId="6E58CBF0">
            <w:pPr>
              <w:spacing w:line="360" w:lineRule="auto"/>
              <w:ind w:firstLine="420"/>
              <w:rPr>
                <w:rFonts w:hint="eastAsia" w:ascii="宋体" w:hAnsi="宋体"/>
                <w:color w:val="auto"/>
                <w:szCs w:val="22"/>
                <w:highlight w:val="none"/>
              </w:rPr>
            </w:pPr>
          </w:p>
        </w:tc>
        <w:tc>
          <w:tcPr>
            <w:tcW w:w="1213" w:type="dxa"/>
            <w:tcBorders>
              <w:top w:val="single" w:color="auto" w:sz="4" w:space="0"/>
              <w:left w:val="nil"/>
              <w:bottom w:val="single" w:color="auto" w:sz="4" w:space="0"/>
              <w:right w:val="single" w:color="auto" w:sz="4" w:space="0"/>
            </w:tcBorders>
            <w:noWrap/>
            <w:vAlign w:val="bottom"/>
          </w:tcPr>
          <w:p w14:paraId="51B515E9">
            <w:pPr>
              <w:spacing w:line="360" w:lineRule="auto"/>
              <w:ind w:firstLine="420"/>
              <w:rPr>
                <w:rFonts w:hint="eastAsia" w:ascii="宋体" w:hAnsi="宋体"/>
                <w:color w:val="auto"/>
                <w:szCs w:val="22"/>
                <w:highlight w:val="none"/>
              </w:rPr>
            </w:pPr>
          </w:p>
        </w:tc>
        <w:tc>
          <w:tcPr>
            <w:tcW w:w="1207" w:type="dxa"/>
            <w:tcBorders>
              <w:top w:val="single" w:color="auto" w:sz="4" w:space="0"/>
              <w:left w:val="nil"/>
              <w:bottom w:val="single" w:color="auto" w:sz="4" w:space="0"/>
              <w:right w:val="single" w:color="auto" w:sz="4" w:space="0"/>
            </w:tcBorders>
            <w:noWrap/>
            <w:vAlign w:val="bottom"/>
          </w:tcPr>
          <w:p w14:paraId="55E442C4">
            <w:pPr>
              <w:spacing w:line="360" w:lineRule="auto"/>
              <w:ind w:firstLine="420"/>
              <w:rPr>
                <w:rFonts w:hint="eastAsia" w:ascii="宋体" w:hAnsi="宋体"/>
                <w:color w:val="auto"/>
                <w:szCs w:val="22"/>
                <w:highlight w:val="none"/>
              </w:rPr>
            </w:pPr>
          </w:p>
        </w:tc>
        <w:tc>
          <w:tcPr>
            <w:tcW w:w="955" w:type="dxa"/>
            <w:tcBorders>
              <w:top w:val="single" w:color="auto" w:sz="4" w:space="0"/>
              <w:left w:val="nil"/>
              <w:bottom w:val="single" w:color="auto" w:sz="4" w:space="0"/>
              <w:right w:val="single" w:color="auto" w:sz="4" w:space="0"/>
            </w:tcBorders>
            <w:noWrap/>
            <w:vAlign w:val="bottom"/>
          </w:tcPr>
          <w:p w14:paraId="133B90C0">
            <w:pPr>
              <w:spacing w:line="360" w:lineRule="auto"/>
              <w:ind w:firstLine="420"/>
              <w:rPr>
                <w:rFonts w:hint="eastAsia" w:ascii="宋体" w:hAnsi="宋体"/>
                <w:color w:val="auto"/>
                <w:szCs w:val="22"/>
                <w:highlight w:val="none"/>
              </w:rPr>
            </w:pPr>
          </w:p>
        </w:tc>
        <w:tc>
          <w:tcPr>
            <w:tcW w:w="818" w:type="dxa"/>
            <w:tcBorders>
              <w:top w:val="single" w:color="auto" w:sz="4" w:space="0"/>
              <w:left w:val="nil"/>
              <w:bottom w:val="single" w:color="auto" w:sz="4" w:space="0"/>
              <w:right w:val="single" w:color="auto" w:sz="4" w:space="0"/>
            </w:tcBorders>
            <w:noWrap/>
            <w:vAlign w:val="bottom"/>
          </w:tcPr>
          <w:p w14:paraId="05E76F32">
            <w:pPr>
              <w:spacing w:line="360" w:lineRule="auto"/>
              <w:ind w:firstLine="420"/>
              <w:rPr>
                <w:rFonts w:hint="eastAsia" w:ascii="宋体" w:hAnsi="宋体"/>
                <w:color w:val="auto"/>
                <w:szCs w:val="22"/>
                <w:highlight w:val="none"/>
              </w:rPr>
            </w:pPr>
          </w:p>
        </w:tc>
        <w:tc>
          <w:tcPr>
            <w:tcW w:w="1228" w:type="dxa"/>
            <w:tcBorders>
              <w:top w:val="single" w:color="auto" w:sz="4" w:space="0"/>
              <w:left w:val="nil"/>
              <w:bottom w:val="single" w:color="auto" w:sz="4" w:space="0"/>
              <w:right w:val="single" w:color="auto" w:sz="4" w:space="0"/>
            </w:tcBorders>
            <w:noWrap/>
            <w:vAlign w:val="bottom"/>
          </w:tcPr>
          <w:p w14:paraId="6279387E">
            <w:pPr>
              <w:spacing w:line="360" w:lineRule="auto"/>
              <w:ind w:firstLine="420"/>
              <w:rPr>
                <w:rFonts w:hint="eastAsia" w:ascii="宋体" w:hAnsi="宋体"/>
                <w:color w:val="auto"/>
                <w:szCs w:val="22"/>
                <w:highlight w:val="none"/>
              </w:rPr>
            </w:pPr>
          </w:p>
        </w:tc>
        <w:tc>
          <w:tcPr>
            <w:tcW w:w="1500" w:type="dxa"/>
            <w:tcBorders>
              <w:top w:val="single" w:color="auto" w:sz="4" w:space="0"/>
              <w:left w:val="nil"/>
              <w:bottom w:val="single" w:color="auto" w:sz="4" w:space="0"/>
              <w:right w:val="single" w:color="auto" w:sz="4" w:space="0"/>
            </w:tcBorders>
            <w:noWrap/>
            <w:vAlign w:val="bottom"/>
          </w:tcPr>
          <w:p w14:paraId="2E533258">
            <w:pPr>
              <w:spacing w:line="360" w:lineRule="auto"/>
              <w:ind w:firstLine="420"/>
              <w:rPr>
                <w:rFonts w:hint="eastAsia" w:ascii="宋体" w:hAnsi="宋体"/>
                <w:color w:val="auto"/>
                <w:szCs w:val="22"/>
                <w:highlight w:val="none"/>
              </w:rPr>
            </w:pPr>
          </w:p>
        </w:tc>
        <w:tc>
          <w:tcPr>
            <w:tcW w:w="819" w:type="dxa"/>
            <w:tcBorders>
              <w:top w:val="single" w:color="auto" w:sz="4" w:space="0"/>
              <w:left w:val="nil"/>
              <w:bottom w:val="single" w:color="auto" w:sz="4" w:space="0"/>
              <w:right w:val="single" w:color="auto" w:sz="4" w:space="0"/>
            </w:tcBorders>
            <w:noWrap/>
            <w:vAlign w:val="bottom"/>
          </w:tcPr>
          <w:p w14:paraId="36C0D938">
            <w:pPr>
              <w:spacing w:line="360" w:lineRule="auto"/>
              <w:ind w:firstLine="420"/>
              <w:rPr>
                <w:rFonts w:hint="eastAsia" w:ascii="宋体" w:hAnsi="宋体"/>
                <w:color w:val="auto"/>
                <w:szCs w:val="22"/>
                <w:highlight w:val="none"/>
              </w:rPr>
            </w:pPr>
          </w:p>
        </w:tc>
      </w:tr>
    </w:tbl>
    <w:p w14:paraId="6D673F43">
      <w:pPr>
        <w:topLinePunct/>
        <w:spacing w:line="420" w:lineRule="exact"/>
        <w:jc w:val="left"/>
        <w:rPr>
          <w:rFonts w:hint="eastAsia" w:ascii="宋体" w:hAnsi="宋体"/>
          <w:color w:val="auto"/>
          <w:szCs w:val="21"/>
          <w:highlight w:val="none"/>
        </w:rPr>
      </w:pPr>
    </w:p>
    <w:p w14:paraId="775D3FE2">
      <w:pPr>
        <w:tabs>
          <w:tab w:val="left" w:pos="8364"/>
        </w:tabs>
        <w:snapToGrid w:val="0"/>
        <w:spacing w:line="440" w:lineRule="exact"/>
        <w:ind w:left="420" w:leftChars="200" w:right="-57"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注：人员配置基本要求详见 第二卷 用户需求书 9.1项目组织要求，人员须提供身份证、劳动合同、最近三个月（不含开标当月）的社保缴纳证明及职称或技能证书（如有）等证明材料。以上材料均须加盖投标人公章。</w:t>
      </w:r>
    </w:p>
    <w:p w14:paraId="123170D3">
      <w:pPr>
        <w:tabs>
          <w:tab w:val="left" w:pos="8364"/>
        </w:tabs>
        <w:snapToGrid w:val="0"/>
        <w:spacing w:line="360" w:lineRule="exact"/>
        <w:ind w:right="-58"/>
        <w:rPr>
          <w:rFonts w:hint="eastAsia" w:ascii="宋体" w:hAnsi="宋体"/>
          <w:color w:val="auto"/>
          <w:szCs w:val="22"/>
          <w:highlight w:val="none"/>
        </w:rPr>
      </w:pPr>
    </w:p>
    <w:p w14:paraId="647278DA">
      <w:pPr>
        <w:tabs>
          <w:tab w:val="left" w:pos="8364"/>
        </w:tabs>
        <w:snapToGrid w:val="0"/>
        <w:spacing w:line="360" w:lineRule="exact"/>
        <w:ind w:left="0" w:leftChars="0" w:right="-58" w:firstLine="420" w:firstLineChars="200"/>
        <w:rPr>
          <w:rFonts w:hint="eastAsia" w:ascii="宋体" w:hAnsi="宋体"/>
          <w:color w:val="auto"/>
          <w:szCs w:val="22"/>
          <w:highlight w:val="none"/>
        </w:rPr>
      </w:pPr>
      <w:r>
        <w:rPr>
          <w:rFonts w:hint="eastAsia" w:ascii="宋体" w:hAnsi="宋体"/>
          <w:color w:val="auto"/>
          <w:szCs w:val="22"/>
          <w:highlight w:val="none"/>
        </w:rPr>
        <w:t>投标人名称：</w:t>
      </w:r>
      <w:r>
        <w:rPr>
          <w:rFonts w:hint="eastAsia" w:ascii="宋体" w:hAnsi="宋体"/>
          <w:color w:val="auto"/>
          <w:szCs w:val="22"/>
          <w:highlight w:val="none"/>
          <w:u w:val="single"/>
        </w:rPr>
        <w:t xml:space="preserve">                </w:t>
      </w:r>
      <w:r>
        <w:rPr>
          <w:rFonts w:hint="eastAsia" w:ascii="宋体" w:hAnsi="宋体"/>
          <w:color w:val="auto"/>
          <w:szCs w:val="22"/>
          <w:highlight w:val="none"/>
        </w:rPr>
        <w:t>（单位公章）</w:t>
      </w:r>
    </w:p>
    <w:p w14:paraId="01A8A7F3">
      <w:pPr>
        <w:tabs>
          <w:tab w:val="left" w:pos="8364"/>
        </w:tabs>
        <w:snapToGrid w:val="0"/>
        <w:spacing w:line="360" w:lineRule="exact"/>
        <w:ind w:left="0" w:leftChars="0" w:right="-58" w:firstLine="420" w:firstLineChars="200"/>
        <w:rPr>
          <w:rFonts w:hint="eastAsia" w:ascii="宋体" w:hAnsi="宋体"/>
          <w:color w:val="auto"/>
          <w:szCs w:val="21"/>
          <w:highlight w:val="none"/>
        </w:rPr>
      </w:pPr>
      <w:r>
        <w:rPr>
          <w:rFonts w:hint="eastAsia" w:ascii="宋体" w:hAnsi="宋体"/>
          <w:color w:val="auto"/>
          <w:szCs w:val="21"/>
          <w:highlight w:val="none"/>
        </w:rPr>
        <w:t>法定代表人或其授权代表：</w:t>
      </w:r>
      <w:r>
        <w:rPr>
          <w:rFonts w:ascii="宋体" w:hAnsi="宋体"/>
          <w:color w:val="auto"/>
          <w:szCs w:val="21"/>
          <w:highlight w:val="none"/>
          <w:u w:val="single"/>
        </w:rPr>
        <w:t xml:space="preserve">             </w:t>
      </w:r>
      <w:r>
        <w:rPr>
          <w:rFonts w:hint="eastAsia" w:ascii="宋体" w:hAnsi="宋体"/>
          <w:color w:val="auto"/>
          <w:szCs w:val="21"/>
          <w:highlight w:val="none"/>
        </w:rPr>
        <w:t>（签字或签章）</w:t>
      </w:r>
    </w:p>
    <w:p w14:paraId="50904767">
      <w:pPr>
        <w:tabs>
          <w:tab w:val="left" w:pos="8364"/>
        </w:tabs>
        <w:snapToGrid w:val="0"/>
        <w:spacing w:line="360" w:lineRule="exact"/>
        <w:ind w:left="0" w:leftChars="0" w:right="-58" w:firstLine="420" w:firstLineChars="200"/>
        <w:rPr>
          <w:rFonts w:hint="eastAsia" w:ascii="宋体" w:hAnsi="宋体"/>
          <w:color w:val="auto"/>
          <w:szCs w:val="22"/>
          <w:highlight w:val="none"/>
        </w:rPr>
      </w:pPr>
      <w:r>
        <w:rPr>
          <w:rFonts w:hint="eastAsia" w:ascii="宋体" w:hAnsi="宋体"/>
          <w:color w:val="auto"/>
          <w:szCs w:val="22"/>
          <w:highlight w:val="none"/>
        </w:rPr>
        <w:t>日期：</w:t>
      </w:r>
      <w:r>
        <w:rPr>
          <w:rFonts w:hint="eastAsia" w:ascii="宋体" w:hAnsi="宋体"/>
          <w:color w:val="auto"/>
          <w:sz w:val="24"/>
          <w:szCs w:val="22"/>
          <w:highlight w:val="none"/>
        </w:rPr>
        <w:t xml:space="preserve"> </w:t>
      </w:r>
      <w:r>
        <w:rPr>
          <w:rFonts w:ascii="宋体" w:hAnsi="宋体"/>
          <w:color w:val="auto"/>
          <w:sz w:val="24"/>
          <w:szCs w:val="22"/>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 xml:space="preserve">月 </w:t>
      </w:r>
      <w:r>
        <w:rPr>
          <w:rFonts w:ascii="宋体" w:hAnsi="宋体"/>
          <w:color w:val="auto"/>
          <w:szCs w:val="21"/>
          <w:highlight w:val="none"/>
        </w:rPr>
        <w:t xml:space="preserve">   </w:t>
      </w:r>
      <w:r>
        <w:rPr>
          <w:rFonts w:hint="eastAsia" w:ascii="宋体" w:hAnsi="宋体"/>
          <w:color w:val="auto"/>
          <w:szCs w:val="21"/>
          <w:highlight w:val="none"/>
        </w:rPr>
        <w:t>日</w:t>
      </w:r>
    </w:p>
    <w:p w14:paraId="6EB61D1A">
      <w:pPr>
        <w:rPr>
          <w:rFonts w:hint="eastAsia" w:ascii="宋体" w:hAnsi="宋体"/>
          <w:color w:val="auto"/>
          <w:szCs w:val="22"/>
          <w:highlight w:val="none"/>
        </w:rPr>
      </w:pPr>
    </w:p>
    <w:p w14:paraId="35D19F17">
      <w:pPr>
        <w:spacing w:line="480" w:lineRule="auto"/>
        <w:ind w:left="4200" w:leftChars="2000"/>
        <w:rPr>
          <w:rFonts w:hint="eastAsia" w:ascii="宋体" w:hAnsi="宋体"/>
          <w:color w:val="auto"/>
          <w:szCs w:val="20"/>
          <w:highlight w:val="none"/>
          <w:u w:val="single"/>
        </w:rPr>
      </w:pPr>
    </w:p>
    <w:p w14:paraId="72A7309F">
      <w:pPr>
        <w:widowControl/>
        <w:jc w:val="left"/>
        <w:rPr>
          <w:rFonts w:hint="eastAsia" w:ascii="宋体" w:hAnsi="宋体" w:cs="宋体"/>
          <w:color w:val="auto"/>
          <w:kern w:val="0"/>
          <w:szCs w:val="28"/>
          <w:highlight w:val="none"/>
        </w:rPr>
      </w:pPr>
    </w:p>
    <w:p w14:paraId="7EDB7F16">
      <w:pPr>
        <w:widowControl/>
        <w:jc w:val="left"/>
        <w:rPr>
          <w:rFonts w:hint="eastAsia" w:ascii="宋体" w:hAnsi="宋体" w:cs="宋体"/>
          <w:color w:val="auto"/>
          <w:kern w:val="0"/>
          <w:szCs w:val="28"/>
          <w:highlight w:val="none"/>
        </w:rPr>
      </w:pPr>
    </w:p>
    <w:p w14:paraId="4F747CD2">
      <w:pPr>
        <w:keepNext/>
        <w:keepLines/>
        <w:adjustRightInd w:val="0"/>
        <w:spacing w:before="240" w:after="60"/>
        <w:textAlignment w:val="baseline"/>
        <w:outlineLvl w:val="0"/>
        <w:rPr>
          <w:rFonts w:hint="eastAsia" w:ascii="宋体" w:hAnsi="宋体"/>
          <w:b/>
          <w:bCs/>
          <w:color w:val="auto"/>
          <w:kern w:val="0"/>
          <w:sz w:val="24"/>
          <w:szCs w:val="32"/>
          <w:highlight w:val="none"/>
        </w:rPr>
      </w:pPr>
      <w:bookmarkStart w:id="1473" w:name="_Toc28908"/>
      <w:bookmarkStart w:id="1474" w:name="_Toc26282"/>
      <w:bookmarkStart w:id="1475" w:name="_Toc21178"/>
      <w:bookmarkStart w:id="1476" w:name="_Toc27335"/>
      <w:bookmarkStart w:id="1477" w:name="_Toc13269"/>
      <w:bookmarkStart w:id="1478" w:name="_Toc18483"/>
      <w:bookmarkStart w:id="1479" w:name="_Toc2894"/>
      <w:bookmarkStart w:id="1480" w:name="_Toc2383"/>
      <w:r>
        <w:rPr>
          <w:rFonts w:hint="eastAsia" w:ascii="宋体" w:hAnsi="宋体"/>
          <w:b/>
          <w:bCs/>
          <w:color w:val="auto"/>
          <w:kern w:val="0"/>
          <w:sz w:val="24"/>
          <w:szCs w:val="32"/>
          <w:highlight w:val="none"/>
        </w:rPr>
        <w:t>十、主要人员简历表</w:t>
      </w:r>
      <w:bookmarkEnd w:id="1473"/>
      <w:bookmarkEnd w:id="1474"/>
      <w:bookmarkEnd w:id="1475"/>
      <w:bookmarkEnd w:id="1476"/>
      <w:bookmarkEnd w:id="1477"/>
      <w:bookmarkEnd w:id="1478"/>
      <w:bookmarkEnd w:id="1479"/>
      <w:bookmarkEnd w:id="1480"/>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357"/>
        <w:gridCol w:w="691"/>
        <w:gridCol w:w="958"/>
        <w:gridCol w:w="1065"/>
        <w:gridCol w:w="706"/>
        <w:gridCol w:w="1261"/>
        <w:gridCol w:w="401"/>
        <w:gridCol w:w="1896"/>
      </w:tblGrid>
      <w:tr w14:paraId="771F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603" w:type="dxa"/>
            <w:tcBorders>
              <w:top w:val="single" w:color="auto" w:sz="4" w:space="0"/>
              <w:left w:val="single" w:color="auto" w:sz="4" w:space="0"/>
              <w:bottom w:val="single" w:color="auto" w:sz="4" w:space="0"/>
              <w:right w:val="single" w:color="auto" w:sz="4" w:space="0"/>
            </w:tcBorders>
            <w:vAlign w:val="center"/>
          </w:tcPr>
          <w:p w14:paraId="53670AAB">
            <w:pPr>
              <w:spacing w:line="440" w:lineRule="exact"/>
              <w:jc w:val="center"/>
              <w:rPr>
                <w:rFonts w:hint="eastAsia" w:ascii="宋体" w:hAnsi="宋体"/>
                <w:color w:val="auto"/>
                <w:szCs w:val="21"/>
                <w:highlight w:val="none"/>
              </w:rPr>
            </w:pPr>
            <w:r>
              <w:rPr>
                <w:rFonts w:hint="eastAsia" w:ascii="宋体" w:hAnsi="宋体"/>
                <w:color w:val="auto"/>
                <w:szCs w:val="21"/>
                <w:highlight w:val="none"/>
              </w:rPr>
              <w:t>姓名</w:t>
            </w:r>
          </w:p>
        </w:tc>
        <w:tc>
          <w:tcPr>
            <w:tcW w:w="1048" w:type="dxa"/>
            <w:gridSpan w:val="2"/>
            <w:tcBorders>
              <w:top w:val="single" w:color="auto" w:sz="4" w:space="0"/>
              <w:left w:val="single" w:color="auto" w:sz="4" w:space="0"/>
              <w:bottom w:val="single" w:color="auto" w:sz="4" w:space="0"/>
              <w:right w:val="single" w:color="auto" w:sz="4" w:space="0"/>
            </w:tcBorders>
            <w:vAlign w:val="center"/>
          </w:tcPr>
          <w:p w14:paraId="2423F5EC">
            <w:pPr>
              <w:spacing w:line="440" w:lineRule="exact"/>
              <w:jc w:val="center"/>
              <w:rPr>
                <w:rFonts w:hint="eastAsia" w:ascii="宋体" w:hAnsi="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vAlign w:val="center"/>
          </w:tcPr>
          <w:p w14:paraId="3DAA2A54">
            <w:pPr>
              <w:spacing w:line="440" w:lineRule="exact"/>
              <w:jc w:val="center"/>
              <w:rPr>
                <w:rFonts w:hint="eastAsia" w:ascii="宋体" w:hAnsi="宋体"/>
                <w:color w:val="auto"/>
                <w:szCs w:val="21"/>
                <w:highlight w:val="none"/>
              </w:rPr>
            </w:pPr>
            <w:r>
              <w:rPr>
                <w:rFonts w:hint="eastAsia" w:ascii="宋体" w:hAnsi="宋体"/>
                <w:color w:val="auto"/>
                <w:szCs w:val="21"/>
                <w:highlight w:val="none"/>
              </w:rPr>
              <w:t>年龄</w:t>
            </w:r>
          </w:p>
        </w:tc>
        <w:tc>
          <w:tcPr>
            <w:tcW w:w="1065" w:type="dxa"/>
            <w:tcBorders>
              <w:top w:val="single" w:color="auto" w:sz="4" w:space="0"/>
              <w:left w:val="single" w:color="auto" w:sz="4" w:space="0"/>
              <w:bottom w:val="single" w:color="auto" w:sz="4" w:space="0"/>
              <w:right w:val="single" w:color="auto" w:sz="4" w:space="0"/>
            </w:tcBorders>
            <w:vAlign w:val="center"/>
          </w:tcPr>
          <w:p w14:paraId="09D16A2E">
            <w:pPr>
              <w:spacing w:line="440" w:lineRule="exact"/>
              <w:jc w:val="center"/>
              <w:rPr>
                <w:rFonts w:hint="eastAsia" w:ascii="宋体" w:hAnsi="宋体"/>
                <w:color w:val="auto"/>
                <w:szCs w:val="21"/>
                <w:highlight w:val="none"/>
              </w:rPr>
            </w:pPr>
          </w:p>
        </w:tc>
        <w:tc>
          <w:tcPr>
            <w:tcW w:w="2368" w:type="dxa"/>
            <w:gridSpan w:val="3"/>
            <w:tcBorders>
              <w:top w:val="single" w:color="auto" w:sz="4" w:space="0"/>
              <w:left w:val="single" w:color="auto" w:sz="4" w:space="0"/>
              <w:bottom w:val="single" w:color="auto" w:sz="4" w:space="0"/>
              <w:right w:val="single" w:color="auto" w:sz="4" w:space="0"/>
            </w:tcBorders>
            <w:vAlign w:val="center"/>
          </w:tcPr>
          <w:p w14:paraId="35301F3F">
            <w:pPr>
              <w:spacing w:line="440" w:lineRule="exact"/>
              <w:jc w:val="center"/>
              <w:rPr>
                <w:rFonts w:hint="eastAsia" w:ascii="宋体" w:hAnsi="宋体"/>
                <w:color w:val="auto"/>
                <w:szCs w:val="21"/>
                <w:highlight w:val="none"/>
              </w:rPr>
            </w:pPr>
            <w:r>
              <w:rPr>
                <w:rFonts w:hint="eastAsia" w:ascii="宋体" w:hAnsi="宋体"/>
                <w:color w:val="auto"/>
                <w:szCs w:val="21"/>
                <w:highlight w:val="none"/>
              </w:rPr>
              <w:t>执业资格证书（或上岗证书）名称</w:t>
            </w:r>
          </w:p>
        </w:tc>
        <w:tc>
          <w:tcPr>
            <w:tcW w:w="1896" w:type="dxa"/>
            <w:tcBorders>
              <w:top w:val="single" w:color="auto" w:sz="4" w:space="0"/>
              <w:left w:val="single" w:color="auto" w:sz="4" w:space="0"/>
              <w:bottom w:val="single" w:color="auto" w:sz="4" w:space="0"/>
              <w:right w:val="single" w:color="auto" w:sz="4" w:space="0"/>
            </w:tcBorders>
            <w:vAlign w:val="center"/>
          </w:tcPr>
          <w:p w14:paraId="29B29B6C">
            <w:pPr>
              <w:spacing w:line="440" w:lineRule="exact"/>
              <w:jc w:val="center"/>
              <w:rPr>
                <w:rFonts w:hint="eastAsia" w:ascii="宋体" w:hAnsi="宋体"/>
                <w:color w:val="auto"/>
                <w:szCs w:val="21"/>
                <w:highlight w:val="none"/>
              </w:rPr>
            </w:pPr>
          </w:p>
        </w:tc>
      </w:tr>
      <w:tr w14:paraId="782C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03" w:type="dxa"/>
            <w:tcBorders>
              <w:top w:val="single" w:color="auto" w:sz="4" w:space="0"/>
              <w:left w:val="single" w:color="auto" w:sz="4" w:space="0"/>
              <w:bottom w:val="single" w:color="auto" w:sz="4" w:space="0"/>
              <w:right w:val="single" w:color="auto" w:sz="4" w:space="0"/>
            </w:tcBorders>
            <w:vAlign w:val="center"/>
          </w:tcPr>
          <w:p w14:paraId="4F81DDA1">
            <w:pPr>
              <w:spacing w:line="440" w:lineRule="exact"/>
              <w:jc w:val="center"/>
              <w:rPr>
                <w:rFonts w:hint="eastAsia" w:ascii="宋体" w:hAnsi="宋体"/>
                <w:color w:val="auto"/>
                <w:szCs w:val="21"/>
                <w:highlight w:val="none"/>
              </w:rPr>
            </w:pPr>
            <w:r>
              <w:rPr>
                <w:rFonts w:hint="eastAsia" w:ascii="宋体" w:hAnsi="宋体"/>
                <w:color w:val="auto"/>
                <w:szCs w:val="21"/>
                <w:highlight w:val="none"/>
              </w:rPr>
              <w:t>职称</w:t>
            </w:r>
          </w:p>
        </w:tc>
        <w:tc>
          <w:tcPr>
            <w:tcW w:w="1048" w:type="dxa"/>
            <w:gridSpan w:val="2"/>
            <w:tcBorders>
              <w:top w:val="single" w:color="auto" w:sz="4" w:space="0"/>
              <w:left w:val="single" w:color="auto" w:sz="4" w:space="0"/>
              <w:bottom w:val="single" w:color="auto" w:sz="4" w:space="0"/>
              <w:right w:val="single" w:color="auto" w:sz="4" w:space="0"/>
            </w:tcBorders>
            <w:vAlign w:val="center"/>
          </w:tcPr>
          <w:p w14:paraId="6B5C6AD9">
            <w:pPr>
              <w:spacing w:line="440" w:lineRule="exact"/>
              <w:jc w:val="center"/>
              <w:rPr>
                <w:rFonts w:hint="eastAsia" w:ascii="宋体" w:hAnsi="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vAlign w:val="center"/>
          </w:tcPr>
          <w:p w14:paraId="5C98D765">
            <w:pPr>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学历</w:t>
            </w:r>
          </w:p>
        </w:tc>
        <w:tc>
          <w:tcPr>
            <w:tcW w:w="1065" w:type="dxa"/>
            <w:tcBorders>
              <w:top w:val="single" w:color="auto" w:sz="4" w:space="0"/>
              <w:left w:val="single" w:color="auto" w:sz="4" w:space="0"/>
              <w:bottom w:val="single" w:color="auto" w:sz="4" w:space="0"/>
              <w:right w:val="single" w:color="auto" w:sz="4" w:space="0"/>
            </w:tcBorders>
            <w:vAlign w:val="center"/>
          </w:tcPr>
          <w:p w14:paraId="3CC84913">
            <w:pPr>
              <w:spacing w:line="440" w:lineRule="exact"/>
              <w:jc w:val="center"/>
              <w:rPr>
                <w:rFonts w:hint="eastAsia" w:ascii="宋体" w:hAnsi="宋体"/>
                <w:color w:val="auto"/>
                <w:szCs w:val="21"/>
                <w:highlight w:val="none"/>
              </w:rPr>
            </w:pPr>
          </w:p>
        </w:tc>
        <w:tc>
          <w:tcPr>
            <w:tcW w:w="2368" w:type="dxa"/>
            <w:gridSpan w:val="3"/>
            <w:tcBorders>
              <w:top w:val="single" w:color="auto" w:sz="4" w:space="0"/>
              <w:left w:val="single" w:color="auto" w:sz="4" w:space="0"/>
              <w:bottom w:val="single" w:color="auto" w:sz="4" w:space="0"/>
              <w:right w:val="single" w:color="auto" w:sz="4" w:space="0"/>
            </w:tcBorders>
            <w:vAlign w:val="center"/>
          </w:tcPr>
          <w:p w14:paraId="36D4F805">
            <w:pPr>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拟在本项目任职</w:t>
            </w:r>
          </w:p>
        </w:tc>
        <w:tc>
          <w:tcPr>
            <w:tcW w:w="1896" w:type="dxa"/>
            <w:tcBorders>
              <w:top w:val="single" w:color="auto" w:sz="4" w:space="0"/>
              <w:left w:val="single" w:color="auto" w:sz="4" w:space="0"/>
              <w:bottom w:val="single" w:color="auto" w:sz="4" w:space="0"/>
              <w:right w:val="single" w:color="auto" w:sz="4" w:space="0"/>
            </w:tcBorders>
            <w:vAlign w:val="center"/>
          </w:tcPr>
          <w:p w14:paraId="69FEF2E4">
            <w:pPr>
              <w:spacing w:line="440" w:lineRule="exact"/>
              <w:jc w:val="center"/>
              <w:rPr>
                <w:rFonts w:hint="eastAsia" w:ascii="宋体" w:hAnsi="宋体"/>
                <w:color w:val="auto"/>
                <w:szCs w:val="21"/>
                <w:highlight w:val="none"/>
              </w:rPr>
            </w:pPr>
          </w:p>
        </w:tc>
      </w:tr>
      <w:tr w14:paraId="1D4D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03" w:type="dxa"/>
            <w:tcBorders>
              <w:top w:val="single" w:color="auto" w:sz="4" w:space="0"/>
              <w:left w:val="single" w:color="auto" w:sz="4" w:space="0"/>
              <w:bottom w:val="single" w:color="auto" w:sz="4" w:space="0"/>
              <w:right w:val="single" w:color="auto" w:sz="4" w:space="0"/>
            </w:tcBorders>
            <w:vAlign w:val="center"/>
          </w:tcPr>
          <w:p w14:paraId="6A89C3D5">
            <w:pPr>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工作年限</w:t>
            </w:r>
          </w:p>
        </w:tc>
        <w:tc>
          <w:tcPr>
            <w:tcW w:w="3071" w:type="dxa"/>
            <w:gridSpan w:val="4"/>
            <w:tcBorders>
              <w:top w:val="single" w:color="auto" w:sz="4" w:space="0"/>
              <w:left w:val="single" w:color="auto" w:sz="4" w:space="0"/>
              <w:bottom w:val="single" w:color="auto" w:sz="4" w:space="0"/>
              <w:right w:val="single" w:color="auto" w:sz="4" w:space="0"/>
            </w:tcBorders>
            <w:vAlign w:val="center"/>
          </w:tcPr>
          <w:p w14:paraId="3979AF9D">
            <w:pPr>
              <w:spacing w:line="440" w:lineRule="exact"/>
              <w:jc w:val="center"/>
              <w:rPr>
                <w:rFonts w:hint="eastAsia" w:ascii="宋体" w:hAnsi="宋体"/>
                <w:color w:val="auto"/>
                <w:szCs w:val="21"/>
                <w:highlight w:val="none"/>
              </w:rPr>
            </w:pPr>
          </w:p>
        </w:tc>
        <w:tc>
          <w:tcPr>
            <w:tcW w:w="2368" w:type="dxa"/>
            <w:gridSpan w:val="3"/>
            <w:tcBorders>
              <w:top w:val="single" w:color="auto" w:sz="4" w:space="0"/>
              <w:left w:val="single" w:color="auto" w:sz="4" w:space="0"/>
              <w:bottom w:val="single" w:color="auto" w:sz="4" w:space="0"/>
              <w:right w:val="single" w:color="auto" w:sz="4" w:space="0"/>
            </w:tcBorders>
            <w:vAlign w:val="center"/>
          </w:tcPr>
          <w:p w14:paraId="7FDBA418">
            <w:pPr>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从事相关工作年限</w:t>
            </w:r>
          </w:p>
        </w:tc>
        <w:tc>
          <w:tcPr>
            <w:tcW w:w="1896" w:type="dxa"/>
            <w:tcBorders>
              <w:top w:val="single" w:color="auto" w:sz="4" w:space="0"/>
              <w:left w:val="single" w:color="auto" w:sz="4" w:space="0"/>
              <w:bottom w:val="single" w:color="auto" w:sz="4" w:space="0"/>
              <w:right w:val="single" w:color="auto" w:sz="4" w:space="0"/>
            </w:tcBorders>
            <w:vAlign w:val="center"/>
          </w:tcPr>
          <w:p w14:paraId="5AD5BC12">
            <w:pPr>
              <w:spacing w:line="440" w:lineRule="exact"/>
              <w:jc w:val="center"/>
              <w:rPr>
                <w:rFonts w:hint="eastAsia" w:ascii="宋体" w:hAnsi="宋体"/>
                <w:color w:val="auto"/>
                <w:szCs w:val="21"/>
                <w:highlight w:val="none"/>
              </w:rPr>
            </w:pPr>
          </w:p>
        </w:tc>
      </w:tr>
      <w:tr w14:paraId="1603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603" w:type="dxa"/>
            <w:tcBorders>
              <w:top w:val="single" w:color="auto" w:sz="4" w:space="0"/>
              <w:left w:val="single" w:color="auto" w:sz="4" w:space="0"/>
              <w:bottom w:val="single" w:color="auto" w:sz="4" w:space="0"/>
              <w:right w:val="single" w:color="auto" w:sz="4" w:space="0"/>
            </w:tcBorders>
            <w:vAlign w:val="center"/>
          </w:tcPr>
          <w:p w14:paraId="0A8880D2">
            <w:pPr>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毕业学校</w:t>
            </w:r>
          </w:p>
        </w:tc>
        <w:tc>
          <w:tcPr>
            <w:tcW w:w="7335" w:type="dxa"/>
            <w:gridSpan w:val="8"/>
            <w:tcBorders>
              <w:top w:val="single" w:color="auto" w:sz="4" w:space="0"/>
              <w:left w:val="single" w:color="auto" w:sz="4" w:space="0"/>
              <w:bottom w:val="single" w:color="auto" w:sz="4" w:space="0"/>
              <w:right w:val="single" w:color="auto" w:sz="4" w:space="0"/>
            </w:tcBorders>
            <w:vAlign w:val="center"/>
          </w:tcPr>
          <w:p w14:paraId="6DBDAD57">
            <w:pPr>
              <w:spacing w:before="100" w:beforeAutospacing="1" w:after="100" w:afterAutospacing="1" w:line="440" w:lineRule="exact"/>
              <w:ind w:firstLine="1155" w:firstLineChars="550"/>
              <w:rPr>
                <w:rFonts w:hint="eastAsia" w:ascii="宋体" w:hAnsi="宋体"/>
                <w:color w:val="auto"/>
                <w:szCs w:val="21"/>
                <w:highlight w:val="none"/>
              </w:rPr>
            </w:pPr>
            <w:r>
              <w:rPr>
                <w:rFonts w:hint="eastAsia" w:ascii="宋体" w:hAnsi="宋体"/>
                <w:color w:val="auto"/>
                <w:szCs w:val="21"/>
                <w:highlight w:val="none"/>
              </w:rPr>
              <w:t>年     毕业于学校专业</w:t>
            </w:r>
          </w:p>
        </w:tc>
      </w:tr>
      <w:tr w14:paraId="6FCB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938" w:type="dxa"/>
            <w:gridSpan w:val="9"/>
            <w:tcBorders>
              <w:top w:val="single" w:color="auto" w:sz="4" w:space="0"/>
              <w:left w:val="single" w:color="auto" w:sz="4" w:space="0"/>
              <w:bottom w:val="single" w:color="auto" w:sz="4" w:space="0"/>
              <w:right w:val="single" w:color="auto" w:sz="4" w:space="0"/>
            </w:tcBorders>
            <w:vAlign w:val="center"/>
          </w:tcPr>
          <w:p w14:paraId="6AFA763A">
            <w:pPr>
              <w:spacing w:before="100" w:beforeAutospacing="1" w:after="100" w:afterAutospacing="1" w:line="440" w:lineRule="exact"/>
              <w:jc w:val="left"/>
              <w:rPr>
                <w:rFonts w:hint="eastAsia" w:ascii="宋体" w:hAnsi="宋体"/>
                <w:color w:val="auto"/>
                <w:szCs w:val="21"/>
                <w:highlight w:val="none"/>
              </w:rPr>
            </w:pPr>
            <w:r>
              <w:rPr>
                <w:rFonts w:hint="eastAsia" w:ascii="宋体" w:hAnsi="宋体"/>
                <w:color w:val="auto"/>
                <w:szCs w:val="21"/>
                <w:highlight w:val="none"/>
              </w:rPr>
              <w:t>主要工作经历</w:t>
            </w:r>
          </w:p>
        </w:tc>
      </w:tr>
      <w:tr w14:paraId="46AC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960" w:type="dxa"/>
            <w:gridSpan w:val="2"/>
            <w:tcBorders>
              <w:top w:val="single" w:color="auto" w:sz="4" w:space="0"/>
              <w:left w:val="single" w:color="auto" w:sz="4" w:space="0"/>
              <w:bottom w:val="single" w:color="auto" w:sz="4" w:space="0"/>
              <w:right w:val="single" w:color="auto" w:sz="4" w:space="0"/>
            </w:tcBorders>
            <w:vAlign w:val="center"/>
          </w:tcPr>
          <w:p w14:paraId="2281F1AF">
            <w:pPr>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时间</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706B170E">
            <w:pPr>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参加过的类似项目</w:t>
            </w:r>
          </w:p>
        </w:tc>
        <w:tc>
          <w:tcPr>
            <w:tcW w:w="1261" w:type="dxa"/>
            <w:tcBorders>
              <w:top w:val="single" w:color="auto" w:sz="4" w:space="0"/>
              <w:left w:val="single" w:color="auto" w:sz="4" w:space="0"/>
              <w:bottom w:val="single" w:color="auto" w:sz="4" w:space="0"/>
              <w:right w:val="single" w:color="auto" w:sz="4" w:space="0"/>
            </w:tcBorders>
            <w:vAlign w:val="center"/>
          </w:tcPr>
          <w:p w14:paraId="7E4B7D6B">
            <w:pPr>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担任职务</w:t>
            </w:r>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5C943077">
            <w:pPr>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委托人及联系电话</w:t>
            </w:r>
          </w:p>
        </w:tc>
      </w:tr>
      <w:tr w14:paraId="4518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gridSpan w:val="2"/>
            <w:tcBorders>
              <w:top w:val="single" w:color="auto" w:sz="4" w:space="0"/>
              <w:left w:val="single" w:color="auto" w:sz="4" w:space="0"/>
              <w:bottom w:val="single" w:color="auto" w:sz="4" w:space="0"/>
              <w:right w:val="single" w:color="auto" w:sz="4" w:space="0"/>
            </w:tcBorders>
          </w:tcPr>
          <w:p w14:paraId="2975E060">
            <w:pPr>
              <w:spacing w:line="440" w:lineRule="exact"/>
              <w:rPr>
                <w:rFonts w:hint="eastAsia" w:ascii="宋体" w:hAnsi="宋体"/>
                <w:color w:val="auto"/>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tcPr>
          <w:p w14:paraId="6F91000F">
            <w:pPr>
              <w:spacing w:line="440" w:lineRule="exact"/>
              <w:rPr>
                <w:rFonts w:hint="eastAsia" w:ascii="宋体" w:hAnsi="宋体"/>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tcPr>
          <w:p w14:paraId="4884A190">
            <w:pPr>
              <w:spacing w:line="440" w:lineRule="exact"/>
              <w:rPr>
                <w:rFonts w:hint="eastAsia" w:ascii="宋体" w:hAnsi="宋体"/>
                <w:color w:val="auto"/>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tcPr>
          <w:p w14:paraId="050EDDD7">
            <w:pPr>
              <w:spacing w:line="440" w:lineRule="exact"/>
              <w:rPr>
                <w:rFonts w:hint="eastAsia" w:ascii="宋体" w:hAnsi="宋体"/>
                <w:color w:val="auto"/>
                <w:szCs w:val="21"/>
                <w:highlight w:val="none"/>
              </w:rPr>
            </w:pPr>
          </w:p>
        </w:tc>
      </w:tr>
      <w:tr w14:paraId="7DAE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gridSpan w:val="2"/>
            <w:tcBorders>
              <w:top w:val="single" w:color="auto" w:sz="4" w:space="0"/>
              <w:left w:val="single" w:color="auto" w:sz="4" w:space="0"/>
              <w:bottom w:val="single" w:color="auto" w:sz="4" w:space="0"/>
              <w:right w:val="single" w:color="auto" w:sz="4" w:space="0"/>
            </w:tcBorders>
          </w:tcPr>
          <w:p w14:paraId="5529938E">
            <w:pPr>
              <w:spacing w:line="440" w:lineRule="exact"/>
              <w:rPr>
                <w:rFonts w:hint="eastAsia" w:ascii="宋体" w:hAnsi="宋体"/>
                <w:color w:val="auto"/>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tcPr>
          <w:p w14:paraId="42E3AA06">
            <w:pPr>
              <w:spacing w:line="440" w:lineRule="exact"/>
              <w:rPr>
                <w:rFonts w:hint="eastAsia" w:ascii="宋体" w:hAnsi="宋体"/>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tcPr>
          <w:p w14:paraId="004A490D">
            <w:pPr>
              <w:spacing w:line="440" w:lineRule="exact"/>
              <w:rPr>
                <w:rFonts w:hint="eastAsia" w:ascii="宋体" w:hAnsi="宋体"/>
                <w:color w:val="auto"/>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tcPr>
          <w:p w14:paraId="639CD06F">
            <w:pPr>
              <w:spacing w:line="440" w:lineRule="exact"/>
              <w:rPr>
                <w:rFonts w:hint="eastAsia" w:ascii="宋体" w:hAnsi="宋体"/>
                <w:color w:val="auto"/>
                <w:szCs w:val="21"/>
                <w:highlight w:val="none"/>
              </w:rPr>
            </w:pPr>
          </w:p>
        </w:tc>
      </w:tr>
      <w:tr w14:paraId="7782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gridSpan w:val="2"/>
            <w:tcBorders>
              <w:top w:val="single" w:color="auto" w:sz="4" w:space="0"/>
              <w:left w:val="single" w:color="auto" w:sz="4" w:space="0"/>
              <w:bottom w:val="single" w:color="auto" w:sz="4" w:space="0"/>
              <w:right w:val="single" w:color="auto" w:sz="4" w:space="0"/>
            </w:tcBorders>
          </w:tcPr>
          <w:p w14:paraId="6BFB8EF9">
            <w:pPr>
              <w:spacing w:line="440" w:lineRule="exact"/>
              <w:rPr>
                <w:rFonts w:hint="eastAsia" w:ascii="宋体" w:hAnsi="宋体"/>
                <w:color w:val="auto"/>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tcPr>
          <w:p w14:paraId="4685A6BE">
            <w:pPr>
              <w:spacing w:line="440" w:lineRule="exact"/>
              <w:rPr>
                <w:rFonts w:hint="eastAsia" w:ascii="宋体" w:hAnsi="宋体"/>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tcPr>
          <w:p w14:paraId="283FA114">
            <w:pPr>
              <w:spacing w:line="440" w:lineRule="exact"/>
              <w:rPr>
                <w:rFonts w:hint="eastAsia" w:ascii="宋体" w:hAnsi="宋体"/>
                <w:color w:val="auto"/>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tcPr>
          <w:p w14:paraId="454B7E44">
            <w:pPr>
              <w:spacing w:line="440" w:lineRule="exact"/>
              <w:rPr>
                <w:rFonts w:hint="eastAsia" w:ascii="宋体" w:hAnsi="宋体"/>
                <w:color w:val="auto"/>
                <w:szCs w:val="21"/>
                <w:highlight w:val="none"/>
              </w:rPr>
            </w:pPr>
          </w:p>
        </w:tc>
      </w:tr>
      <w:tr w14:paraId="7D12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gridSpan w:val="2"/>
            <w:tcBorders>
              <w:top w:val="single" w:color="auto" w:sz="4" w:space="0"/>
              <w:left w:val="single" w:color="auto" w:sz="4" w:space="0"/>
              <w:bottom w:val="single" w:color="auto" w:sz="4" w:space="0"/>
              <w:right w:val="single" w:color="auto" w:sz="4" w:space="0"/>
            </w:tcBorders>
            <w:vAlign w:val="center"/>
          </w:tcPr>
          <w:p w14:paraId="7E341B27">
            <w:pPr>
              <w:spacing w:line="440" w:lineRule="exact"/>
              <w:rPr>
                <w:rFonts w:hint="eastAsia" w:ascii="宋体" w:hAnsi="宋体"/>
                <w:color w:val="auto"/>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25E463C3">
            <w:pPr>
              <w:spacing w:line="440" w:lineRule="exact"/>
              <w:rPr>
                <w:rFonts w:hint="eastAsia" w:ascii="宋体" w:hAnsi="宋体"/>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3F6CF617">
            <w:pPr>
              <w:spacing w:line="440" w:lineRule="exact"/>
              <w:rPr>
                <w:rFonts w:hint="eastAsia" w:ascii="宋体" w:hAnsi="宋体"/>
                <w:color w:val="auto"/>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750BA37B">
            <w:pPr>
              <w:spacing w:line="440" w:lineRule="exact"/>
              <w:rPr>
                <w:rFonts w:hint="eastAsia" w:ascii="宋体" w:hAnsi="宋体"/>
                <w:color w:val="auto"/>
                <w:szCs w:val="21"/>
                <w:highlight w:val="none"/>
              </w:rPr>
            </w:pPr>
          </w:p>
        </w:tc>
      </w:tr>
      <w:tr w14:paraId="2D69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gridSpan w:val="2"/>
            <w:tcBorders>
              <w:top w:val="single" w:color="auto" w:sz="4" w:space="0"/>
              <w:left w:val="single" w:color="auto" w:sz="4" w:space="0"/>
              <w:bottom w:val="single" w:color="auto" w:sz="4" w:space="0"/>
              <w:right w:val="single" w:color="auto" w:sz="4" w:space="0"/>
            </w:tcBorders>
            <w:vAlign w:val="center"/>
          </w:tcPr>
          <w:p w14:paraId="5413018A">
            <w:pPr>
              <w:spacing w:line="440" w:lineRule="exact"/>
              <w:rPr>
                <w:rFonts w:hint="eastAsia" w:ascii="宋体" w:hAnsi="宋体"/>
                <w:color w:val="auto"/>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659C376A">
            <w:pPr>
              <w:spacing w:line="440" w:lineRule="exact"/>
              <w:rPr>
                <w:rFonts w:hint="eastAsia" w:ascii="宋体" w:hAnsi="宋体"/>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392EAE40">
            <w:pPr>
              <w:spacing w:line="440" w:lineRule="exact"/>
              <w:rPr>
                <w:rFonts w:hint="eastAsia" w:ascii="宋体" w:hAnsi="宋体"/>
                <w:color w:val="auto"/>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66523350">
            <w:pPr>
              <w:spacing w:line="440" w:lineRule="exact"/>
              <w:rPr>
                <w:rFonts w:hint="eastAsia" w:ascii="宋体" w:hAnsi="宋体"/>
                <w:color w:val="auto"/>
                <w:szCs w:val="21"/>
                <w:highlight w:val="none"/>
              </w:rPr>
            </w:pPr>
          </w:p>
        </w:tc>
      </w:tr>
      <w:tr w14:paraId="7A3F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gridSpan w:val="2"/>
            <w:tcBorders>
              <w:top w:val="single" w:color="auto" w:sz="4" w:space="0"/>
              <w:left w:val="single" w:color="auto" w:sz="4" w:space="0"/>
              <w:bottom w:val="single" w:color="auto" w:sz="4" w:space="0"/>
              <w:right w:val="single" w:color="auto" w:sz="4" w:space="0"/>
            </w:tcBorders>
            <w:vAlign w:val="center"/>
          </w:tcPr>
          <w:p w14:paraId="0BE8E09D">
            <w:pPr>
              <w:spacing w:line="440" w:lineRule="exact"/>
              <w:rPr>
                <w:rFonts w:hint="eastAsia" w:ascii="宋体" w:hAnsi="宋体"/>
                <w:color w:val="auto"/>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7AE5C07E">
            <w:pPr>
              <w:spacing w:line="440" w:lineRule="exact"/>
              <w:rPr>
                <w:rFonts w:hint="eastAsia" w:ascii="宋体" w:hAnsi="宋体"/>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3D77BF10">
            <w:pPr>
              <w:spacing w:line="440" w:lineRule="exact"/>
              <w:rPr>
                <w:rFonts w:hint="eastAsia" w:ascii="宋体" w:hAnsi="宋体"/>
                <w:color w:val="auto"/>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77BBE67F">
            <w:pPr>
              <w:spacing w:line="440" w:lineRule="exact"/>
              <w:rPr>
                <w:rFonts w:hint="eastAsia" w:ascii="宋体" w:hAnsi="宋体"/>
                <w:color w:val="auto"/>
                <w:szCs w:val="21"/>
                <w:highlight w:val="none"/>
              </w:rPr>
            </w:pPr>
          </w:p>
        </w:tc>
      </w:tr>
    </w:tbl>
    <w:p w14:paraId="79292C82">
      <w:pPr>
        <w:rPr>
          <w:color w:val="auto"/>
          <w:highlight w:val="none"/>
        </w:rPr>
      </w:pPr>
      <w:r>
        <w:rPr>
          <w:rFonts w:hint="eastAsia"/>
          <w:color w:val="auto"/>
          <w:highlight w:val="none"/>
        </w:rPr>
        <w:t xml:space="preserve">  </w:t>
      </w:r>
    </w:p>
    <w:p w14:paraId="307F19FC">
      <w:pPr>
        <w:widowControl/>
        <w:tabs>
          <w:tab w:val="left" w:pos="993"/>
        </w:tabs>
        <w:spacing w:line="360" w:lineRule="auto"/>
        <w:ind w:left="420"/>
        <w:rPr>
          <w:rFonts w:hint="eastAsia" w:ascii="宋体" w:hAnsi="宋体"/>
          <w:color w:val="auto"/>
          <w:szCs w:val="21"/>
          <w:highlight w:val="none"/>
        </w:rPr>
      </w:pPr>
      <w:r>
        <w:rPr>
          <w:rFonts w:hint="eastAsia" w:ascii="宋体" w:hAnsi="宋体"/>
          <w:color w:val="auto"/>
          <w:szCs w:val="21"/>
          <w:highlight w:val="none"/>
        </w:rPr>
        <w:t>注：</w:t>
      </w:r>
    </w:p>
    <w:p w14:paraId="35330459">
      <w:pPr>
        <w:widowControl/>
        <w:tabs>
          <w:tab w:val="left" w:pos="993"/>
        </w:tabs>
        <w:spacing w:line="360" w:lineRule="auto"/>
        <w:ind w:left="420"/>
        <w:rPr>
          <w:rFonts w:hint="eastAsia" w:ascii="宋体" w:hAnsi="宋体"/>
          <w:color w:val="auto"/>
          <w:szCs w:val="21"/>
          <w:highlight w:val="none"/>
        </w:rPr>
      </w:pPr>
      <w:r>
        <w:rPr>
          <w:rFonts w:hint="eastAsia" w:ascii="宋体" w:hAnsi="宋体"/>
          <w:color w:val="auto"/>
          <w:szCs w:val="21"/>
          <w:highlight w:val="none"/>
        </w:rPr>
        <w:t>1、投标人需根据评标办法列出拟委任的主要人员（每人一表）并根据要求提供相关证明文件，所有材料必须真实。</w:t>
      </w:r>
    </w:p>
    <w:p w14:paraId="70597264">
      <w:pPr>
        <w:widowControl/>
        <w:tabs>
          <w:tab w:val="left" w:pos="993"/>
        </w:tabs>
        <w:spacing w:line="360" w:lineRule="auto"/>
        <w:ind w:left="42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、人员配置基本要求详见 第二卷 用户需求书 9.1项目组织要求，人员须提供身份证、劳动合同、最近三个月（不含开标当月）的社保缴纳证明及职称或技能证书（如有）等证明材料。以上材料均须加盖投标人公章。</w:t>
      </w:r>
    </w:p>
    <w:p w14:paraId="085B6BC9">
      <w:pPr>
        <w:widowControl/>
        <w:jc w:val="left"/>
        <w:rPr>
          <w:rFonts w:hint="eastAsia" w:ascii="宋体" w:hAnsi="宋体"/>
          <w:b/>
          <w:bCs/>
          <w:color w:val="auto"/>
          <w:kern w:val="0"/>
          <w:sz w:val="24"/>
          <w:szCs w:val="32"/>
          <w:highlight w:val="none"/>
        </w:rPr>
      </w:pPr>
    </w:p>
    <w:p w14:paraId="04830848">
      <w:pPr>
        <w:widowControl/>
        <w:jc w:val="left"/>
        <w:rPr>
          <w:rFonts w:hint="eastAsia" w:ascii="宋体" w:hAnsi="宋体"/>
          <w:b/>
          <w:bCs/>
          <w:color w:val="auto"/>
          <w:kern w:val="0"/>
          <w:sz w:val="24"/>
          <w:szCs w:val="32"/>
          <w:highlight w:val="none"/>
        </w:rPr>
      </w:pPr>
    </w:p>
    <w:p w14:paraId="342690F1">
      <w:pPr>
        <w:tabs>
          <w:tab w:val="left" w:pos="8364"/>
        </w:tabs>
        <w:snapToGrid w:val="0"/>
        <w:spacing w:line="360" w:lineRule="exact"/>
        <w:ind w:left="0" w:leftChars="0" w:right="-58" w:firstLine="420" w:firstLineChars="200"/>
        <w:rPr>
          <w:rFonts w:hint="eastAsia" w:ascii="宋体" w:hAnsi="宋体"/>
          <w:color w:val="auto"/>
          <w:szCs w:val="22"/>
          <w:highlight w:val="none"/>
        </w:rPr>
      </w:pPr>
      <w:r>
        <w:rPr>
          <w:rFonts w:hint="eastAsia" w:ascii="宋体" w:hAnsi="宋体"/>
          <w:color w:val="auto"/>
          <w:szCs w:val="22"/>
          <w:highlight w:val="none"/>
        </w:rPr>
        <w:t>投标人名称：</w:t>
      </w:r>
      <w:r>
        <w:rPr>
          <w:rFonts w:hint="eastAsia" w:ascii="宋体" w:hAnsi="宋体"/>
          <w:color w:val="auto"/>
          <w:szCs w:val="22"/>
          <w:highlight w:val="none"/>
          <w:u w:val="single"/>
        </w:rPr>
        <w:t xml:space="preserve">                </w:t>
      </w:r>
      <w:r>
        <w:rPr>
          <w:rFonts w:hint="eastAsia" w:ascii="宋体" w:hAnsi="宋体"/>
          <w:color w:val="auto"/>
          <w:szCs w:val="22"/>
          <w:highlight w:val="none"/>
        </w:rPr>
        <w:t>（单位公章）</w:t>
      </w:r>
    </w:p>
    <w:p w14:paraId="260FD908">
      <w:pPr>
        <w:tabs>
          <w:tab w:val="left" w:pos="8364"/>
        </w:tabs>
        <w:snapToGrid w:val="0"/>
        <w:spacing w:line="360" w:lineRule="exact"/>
        <w:ind w:left="0" w:leftChars="0" w:right="-58" w:firstLine="420" w:firstLineChars="200"/>
        <w:rPr>
          <w:rFonts w:hint="eastAsia" w:ascii="宋体" w:hAnsi="宋体"/>
          <w:color w:val="auto"/>
          <w:szCs w:val="21"/>
          <w:highlight w:val="none"/>
        </w:rPr>
      </w:pPr>
      <w:r>
        <w:rPr>
          <w:rFonts w:hint="eastAsia" w:ascii="宋体" w:hAnsi="宋体"/>
          <w:color w:val="auto"/>
          <w:szCs w:val="21"/>
          <w:highlight w:val="none"/>
        </w:rPr>
        <w:t>法定代表人或其授权代表：</w:t>
      </w:r>
      <w:r>
        <w:rPr>
          <w:rFonts w:ascii="宋体" w:hAnsi="宋体"/>
          <w:color w:val="auto"/>
          <w:szCs w:val="21"/>
          <w:highlight w:val="none"/>
          <w:u w:val="single"/>
        </w:rPr>
        <w:t xml:space="preserve">             </w:t>
      </w:r>
      <w:r>
        <w:rPr>
          <w:rFonts w:hint="eastAsia" w:ascii="宋体" w:hAnsi="宋体"/>
          <w:color w:val="auto"/>
          <w:szCs w:val="21"/>
          <w:highlight w:val="none"/>
        </w:rPr>
        <w:t>（签字或签章）</w:t>
      </w:r>
    </w:p>
    <w:p w14:paraId="1B333C8A">
      <w:pPr>
        <w:tabs>
          <w:tab w:val="left" w:pos="8364"/>
        </w:tabs>
        <w:snapToGrid w:val="0"/>
        <w:spacing w:line="360" w:lineRule="exact"/>
        <w:ind w:left="0" w:leftChars="0" w:right="-58" w:firstLine="420" w:firstLineChars="200"/>
        <w:rPr>
          <w:rFonts w:hint="eastAsia" w:ascii="宋体" w:hAnsi="宋体"/>
          <w:color w:val="auto"/>
          <w:szCs w:val="22"/>
          <w:highlight w:val="none"/>
        </w:rPr>
      </w:pPr>
      <w:r>
        <w:rPr>
          <w:rFonts w:hint="eastAsia" w:ascii="宋体" w:hAnsi="宋体"/>
          <w:color w:val="auto"/>
          <w:szCs w:val="22"/>
          <w:highlight w:val="none"/>
        </w:rPr>
        <w:t>日期：</w:t>
      </w:r>
      <w:r>
        <w:rPr>
          <w:rFonts w:hint="eastAsia" w:ascii="宋体" w:hAnsi="宋体"/>
          <w:color w:val="auto"/>
          <w:sz w:val="24"/>
          <w:szCs w:val="22"/>
          <w:highlight w:val="none"/>
        </w:rPr>
        <w:t xml:space="preserve"> </w:t>
      </w:r>
      <w:r>
        <w:rPr>
          <w:rFonts w:ascii="宋体" w:hAnsi="宋体"/>
          <w:color w:val="auto"/>
          <w:sz w:val="24"/>
          <w:szCs w:val="22"/>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 xml:space="preserve">月 </w:t>
      </w:r>
      <w:r>
        <w:rPr>
          <w:rFonts w:ascii="宋体" w:hAnsi="宋体"/>
          <w:color w:val="auto"/>
          <w:szCs w:val="21"/>
          <w:highlight w:val="none"/>
        </w:rPr>
        <w:t xml:space="preserve">   </w:t>
      </w:r>
      <w:r>
        <w:rPr>
          <w:rFonts w:hint="eastAsia" w:ascii="宋体" w:hAnsi="宋体"/>
          <w:color w:val="auto"/>
          <w:szCs w:val="21"/>
          <w:highlight w:val="none"/>
        </w:rPr>
        <w:t>日</w:t>
      </w:r>
    </w:p>
    <w:p w14:paraId="7986DAA2">
      <w:pPr>
        <w:widowControl/>
        <w:jc w:val="left"/>
        <w:rPr>
          <w:rFonts w:hint="eastAsia" w:ascii="宋体" w:hAnsi="宋体"/>
          <w:b/>
          <w:bCs/>
          <w:color w:val="auto"/>
          <w:kern w:val="0"/>
          <w:sz w:val="24"/>
          <w:szCs w:val="32"/>
          <w:highlight w:val="none"/>
        </w:rPr>
      </w:pPr>
    </w:p>
    <w:p w14:paraId="76722A19">
      <w:pPr>
        <w:widowControl/>
        <w:jc w:val="left"/>
        <w:rPr>
          <w:rFonts w:hint="eastAsia" w:ascii="宋体" w:hAnsi="宋体"/>
          <w:b/>
          <w:bCs/>
          <w:color w:val="auto"/>
          <w:kern w:val="0"/>
          <w:sz w:val="24"/>
          <w:szCs w:val="32"/>
          <w:highlight w:val="none"/>
        </w:rPr>
      </w:pPr>
    </w:p>
    <w:p w14:paraId="0B91549D">
      <w:pPr>
        <w:widowControl/>
        <w:jc w:val="left"/>
        <w:rPr>
          <w:rFonts w:hint="eastAsia" w:ascii="宋体" w:hAnsi="宋体"/>
          <w:b/>
          <w:bCs/>
          <w:color w:val="auto"/>
          <w:kern w:val="0"/>
          <w:sz w:val="24"/>
          <w:szCs w:val="32"/>
          <w:highlight w:val="none"/>
        </w:rPr>
      </w:pPr>
    </w:p>
    <w:p w14:paraId="1B413CFD">
      <w:pPr>
        <w:widowControl/>
        <w:jc w:val="left"/>
        <w:rPr>
          <w:rFonts w:hint="eastAsia" w:ascii="宋体" w:hAnsi="宋体"/>
          <w:b/>
          <w:bCs/>
          <w:color w:val="auto"/>
          <w:kern w:val="0"/>
          <w:sz w:val="24"/>
          <w:szCs w:val="32"/>
          <w:highlight w:val="none"/>
        </w:rPr>
      </w:pPr>
    </w:p>
    <w:p w14:paraId="167DB080">
      <w:pPr>
        <w:spacing w:line="440" w:lineRule="exact"/>
        <w:rPr>
          <w:rFonts w:hint="eastAsia" w:ascii="宋体" w:hAnsi="宋体"/>
          <w:b/>
          <w:bCs/>
          <w:color w:val="auto"/>
          <w:kern w:val="0"/>
          <w:sz w:val="24"/>
          <w:szCs w:val="32"/>
          <w:highlight w:val="none"/>
        </w:rPr>
      </w:pPr>
      <w:r>
        <w:rPr>
          <w:rFonts w:hint="eastAsia" w:ascii="宋体" w:hAnsi="宋体"/>
          <w:b/>
          <w:bCs/>
          <w:color w:val="auto"/>
          <w:kern w:val="0"/>
          <w:sz w:val="24"/>
          <w:szCs w:val="32"/>
          <w:highlight w:val="none"/>
        </w:rPr>
        <w:t>十一、承诺函（1）</w:t>
      </w:r>
    </w:p>
    <w:p w14:paraId="1017949B">
      <w:pPr>
        <w:ind w:firstLine="560" w:firstLineChars="200"/>
        <w:rPr>
          <w:rFonts w:ascii="仿宋_GB2312" w:eastAsia="仿宋_GB2312"/>
          <w:color w:val="auto"/>
          <w:sz w:val="28"/>
          <w:szCs w:val="28"/>
          <w:highlight w:val="none"/>
        </w:rPr>
      </w:pPr>
    </w:p>
    <w:p w14:paraId="307B64B9">
      <w:pPr>
        <w:widowControl/>
        <w:jc w:val="left"/>
        <w:rPr>
          <w:rFonts w:hint="eastAsia" w:ascii="宋体" w:hAnsi="宋体"/>
          <w:b/>
          <w:bCs/>
          <w:color w:val="auto"/>
          <w:kern w:val="0"/>
          <w:sz w:val="24"/>
          <w:szCs w:val="32"/>
          <w:highlight w:val="none"/>
        </w:rPr>
      </w:pPr>
    </w:p>
    <w:p w14:paraId="6C3E96ED">
      <w:pPr>
        <w:tabs>
          <w:tab w:val="left" w:pos="8364"/>
        </w:tabs>
        <w:snapToGrid w:val="0"/>
        <w:spacing w:line="360" w:lineRule="exact"/>
        <w:ind w:right="-58"/>
        <w:rPr>
          <w:rFonts w:hint="eastAsia" w:ascii="宋体" w:hAnsi="宋体"/>
          <w:color w:val="auto"/>
          <w:szCs w:val="22"/>
          <w:highlight w:val="none"/>
        </w:rPr>
      </w:pPr>
      <w:r>
        <w:rPr>
          <w:rFonts w:hint="eastAsia" w:ascii="宋体" w:hAnsi="宋体"/>
          <w:color w:val="auto"/>
          <w:szCs w:val="22"/>
          <w:highlight w:val="none"/>
        </w:rPr>
        <w:t>东莞市轨道一号线建设发展有限公司：</w:t>
      </w:r>
    </w:p>
    <w:p w14:paraId="18B1E39A">
      <w:pPr>
        <w:tabs>
          <w:tab w:val="left" w:pos="8364"/>
        </w:tabs>
        <w:snapToGrid w:val="0"/>
        <w:spacing w:line="360" w:lineRule="exact"/>
        <w:ind w:right="-58"/>
        <w:rPr>
          <w:rFonts w:hint="eastAsia" w:ascii="宋体" w:hAnsi="宋体"/>
          <w:color w:val="auto"/>
          <w:szCs w:val="22"/>
          <w:highlight w:val="none"/>
        </w:rPr>
      </w:pPr>
    </w:p>
    <w:p w14:paraId="0A14BA67">
      <w:pPr>
        <w:tabs>
          <w:tab w:val="left" w:pos="8364"/>
        </w:tabs>
        <w:snapToGrid w:val="0"/>
        <w:spacing w:line="360" w:lineRule="auto"/>
        <w:ind w:right="-58" w:firstLine="420" w:firstLineChars="200"/>
        <w:rPr>
          <w:rFonts w:hint="eastAsia" w:ascii="宋体" w:hAnsi="宋体"/>
          <w:color w:val="auto"/>
          <w:szCs w:val="22"/>
          <w:highlight w:val="none"/>
        </w:rPr>
      </w:pPr>
      <w:r>
        <w:rPr>
          <w:rFonts w:hint="eastAsia" w:ascii="宋体" w:hAnsi="宋体"/>
          <w:color w:val="auto"/>
          <w:szCs w:val="22"/>
          <w:highlight w:val="none"/>
        </w:rPr>
        <w:t>我司承诺：如本项目中标，在项目实施期间，若因其技术过失、系统缺陷、管理不当、延误工期、违反法律、引发事故，对贵司或其自身造成损失，我司负全责并承担所有相关费用。</w:t>
      </w:r>
    </w:p>
    <w:p w14:paraId="5792FC2A">
      <w:pPr>
        <w:pStyle w:val="8"/>
        <w:rPr>
          <w:color w:val="auto"/>
          <w:highlight w:val="none"/>
        </w:rPr>
      </w:pPr>
    </w:p>
    <w:p w14:paraId="5F6D041D">
      <w:pPr>
        <w:widowControl/>
        <w:jc w:val="left"/>
        <w:rPr>
          <w:rFonts w:hint="eastAsia" w:ascii="宋体" w:hAnsi="宋体" w:cs="宋体"/>
          <w:b/>
          <w:color w:val="auto"/>
          <w:kern w:val="0"/>
          <w:sz w:val="44"/>
          <w:szCs w:val="28"/>
          <w:highlight w:val="none"/>
        </w:rPr>
      </w:pPr>
    </w:p>
    <w:p w14:paraId="6BD57FAE">
      <w:pPr>
        <w:widowControl/>
        <w:jc w:val="left"/>
        <w:rPr>
          <w:rFonts w:hint="eastAsia" w:ascii="宋体" w:hAnsi="宋体" w:cs="宋体"/>
          <w:b/>
          <w:color w:val="auto"/>
          <w:kern w:val="0"/>
          <w:sz w:val="44"/>
          <w:szCs w:val="28"/>
          <w:highlight w:val="none"/>
        </w:rPr>
      </w:pPr>
    </w:p>
    <w:p w14:paraId="5CBD7C29">
      <w:pPr>
        <w:tabs>
          <w:tab w:val="left" w:pos="8364"/>
        </w:tabs>
        <w:snapToGrid w:val="0"/>
        <w:spacing w:line="360" w:lineRule="exact"/>
        <w:ind w:right="-58"/>
        <w:rPr>
          <w:rFonts w:hint="eastAsia" w:ascii="宋体" w:hAnsi="宋体"/>
          <w:color w:val="auto"/>
          <w:szCs w:val="22"/>
          <w:highlight w:val="none"/>
        </w:rPr>
      </w:pPr>
      <w:r>
        <w:rPr>
          <w:rFonts w:hint="eastAsia" w:ascii="宋体" w:hAnsi="宋体"/>
          <w:color w:val="auto"/>
          <w:szCs w:val="22"/>
          <w:highlight w:val="none"/>
        </w:rPr>
        <w:t>投标人名称：</w:t>
      </w:r>
      <w:r>
        <w:rPr>
          <w:rFonts w:hint="eastAsia" w:ascii="宋体" w:hAnsi="宋体"/>
          <w:color w:val="auto"/>
          <w:szCs w:val="22"/>
          <w:highlight w:val="none"/>
          <w:u w:val="single"/>
        </w:rPr>
        <w:t xml:space="preserve">                </w:t>
      </w:r>
      <w:r>
        <w:rPr>
          <w:rFonts w:hint="eastAsia" w:ascii="宋体" w:hAnsi="宋体"/>
          <w:color w:val="auto"/>
          <w:szCs w:val="22"/>
          <w:highlight w:val="none"/>
        </w:rPr>
        <w:t>（单位公章）</w:t>
      </w:r>
    </w:p>
    <w:p w14:paraId="4E51ADC2">
      <w:pPr>
        <w:tabs>
          <w:tab w:val="left" w:pos="8364"/>
        </w:tabs>
        <w:snapToGrid w:val="0"/>
        <w:spacing w:line="360" w:lineRule="exact"/>
        <w:ind w:right="-58"/>
        <w:rPr>
          <w:rFonts w:hint="eastAsia" w:ascii="宋体" w:hAnsi="宋体"/>
          <w:color w:val="auto"/>
          <w:szCs w:val="21"/>
          <w:highlight w:val="none"/>
        </w:rPr>
      </w:pPr>
      <w:r>
        <w:rPr>
          <w:rFonts w:hint="eastAsia" w:ascii="宋体" w:hAnsi="宋体"/>
          <w:color w:val="auto"/>
          <w:szCs w:val="21"/>
          <w:highlight w:val="none"/>
        </w:rPr>
        <w:t>法定代表人或其授权代表：</w:t>
      </w:r>
      <w:r>
        <w:rPr>
          <w:rFonts w:ascii="宋体" w:hAnsi="宋体"/>
          <w:color w:val="auto"/>
          <w:szCs w:val="21"/>
          <w:highlight w:val="none"/>
          <w:u w:val="single"/>
        </w:rPr>
        <w:t xml:space="preserve">             </w:t>
      </w:r>
      <w:r>
        <w:rPr>
          <w:rFonts w:hint="eastAsia" w:ascii="宋体" w:hAnsi="宋体"/>
          <w:color w:val="auto"/>
          <w:szCs w:val="21"/>
          <w:highlight w:val="none"/>
        </w:rPr>
        <w:t>（签字或签章）</w:t>
      </w:r>
    </w:p>
    <w:p w14:paraId="6CCBD445">
      <w:pPr>
        <w:tabs>
          <w:tab w:val="left" w:pos="8364"/>
        </w:tabs>
        <w:snapToGrid w:val="0"/>
        <w:spacing w:line="360" w:lineRule="exact"/>
        <w:ind w:right="-58"/>
        <w:rPr>
          <w:rFonts w:hint="eastAsia" w:ascii="宋体" w:hAnsi="宋体"/>
          <w:color w:val="auto"/>
          <w:szCs w:val="22"/>
          <w:highlight w:val="none"/>
        </w:rPr>
      </w:pPr>
      <w:r>
        <w:rPr>
          <w:rFonts w:hint="eastAsia" w:ascii="宋体" w:hAnsi="宋体"/>
          <w:color w:val="auto"/>
          <w:szCs w:val="22"/>
          <w:highlight w:val="none"/>
        </w:rPr>
        <w:t>日期：</w:t>
      </w:r>
      <w:r>
        <w:rPr>
          <w:rFonts w:hint="eastAsia" w:ascii="宋体" w:hAnsi="宋体"/>
          <w:color w:val="auto"/>
          <w:sz w:val="24"/>
          <w:szCs w:val="22"/>
          <w:highlight w:val="none"/>
        </w:rPr>
        <w:t xml:space="preserve"> </w:t>
      </w:r>
      <w:r>
        <w:rPr>
          <w:rFonts w:ascii="宋体" w:hAnsi="宋体"/>
          <w:color w:val="auto"/>
          <w:sz w:val="24"/>
          <w:szCs w:val="22"/>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 xml:space="preserve">月 </w:t>
      </w:r>
      <w:r>
        <w:rPr>
          <w:rFonts w:ascii="宋体" w:hAnsi="宋体"/>
          <w:color w:val="auto"/>
          <w:szCs w:val="21"/>
          <w:highlight w:val="none"/>
        </w:rPr>
        <w:t xml:space="preserve">   </w:t>
      </w:r>
      <w:r>
        <w:rPr>
          <w:rFonts w:hint="eastAsia" w:ascii="宋体" w:hAnsi="宋体"/>
          <w:color w:val="auto"/>
          <w:szCs w:val="21"/>
          <w:highlight w:val="none"/>
        </w:rPr>
        <w:t>日</w:t>
      </w:r>
    </w:p>
    <w:p w14:paraId="02E85986">
      <w:pPr>
        <w:tabs>
          <w:tab w:val="left" w:pos="8364"/>
        </w:tabs>
        <w:spacing w:line="360" w:lineRule="exact"/>
        <w:ind w:right="-58"/>
        <w:rPr>
          <w:rFonts w:hint="eastAsia" w:ascii="宋体" w:hAnsi="宋体" w:cs="宋体"/>
          <w:b/>
          <w:color w:val="auto"/>
          <w:kern w:val="0"/>
          <w:sz w:val="28"/>
          <w:szCs w:val="28"/>
          <w:highlight w:val="none"/>
        </w:rPr>
      </w:pPr>
      <w:r>
        <w:rPr>
          <w:rFonts w:ascii="宋体" w:hAnsi="宋体" w:cs="宋体"/>
          <w:b/>
          <w:color w:val="auto"/>
          <w:kern w:val="0"/>
          <w:sz w:val="44"/>
          <w:szCs w:val="28"/>
          <w:highlight w:val="none"/>
        </w:rPr>
        <w:br w:type="page"/>
      </w:r>
      <w:bookmarkStart w:id="1481" w:name="_Toc9590880"/>
      <w:r>
        <w:rPr>
          <w:rFonts w:ascii="宋体" w:hAnsi="宋体" w:cs="宋体"/>
          <w:b/>
          <w:color w:val="auto"/>
          <w:kern w:val="0"/>
          <w:sz w:val="28"/>
          <w:szCs w:val="28"/>
          <w:highlight w:val="none"/>
        </w:rPr>
        <w:t>十</w:t>
      </w:r>
      <w:r>
        <w:rPr>
          <w:rFonts w:hint="eastAsia" w:ascii="宋体" w:hAnsi="宋体" w:cs="宋体"/>
          <w:b/>
          <w:color w:val="auto"/>
          <w:kern w:val="0"/>
          <w:sz w:val="28"/>
          <w:szCs w:val="28"/>
          <w:highlight w:val="none"/>
        </w:rPr>
        <w:t>二</w:t>
      </w:r>
      <w:r>
        <w:rPr>
          <w:rFonts w:ascii="宋体" w:hAnsi="宋体" w:cs="宋体"/>
          <w:b/>
          <w:color w:val="auto"/>
          <w:kern w:val="0"/>
          <w:sz w:val="28"/>
          <w:szCs w:val="28"/>
          <w:highlight w:val="none"/>
        </w:rPr>
        <w:t>.技术章节</w:t>
      </w:r>
    </w:p>
    <w:p w14:paraId="1F3A1D4A">
      <w:pPr>
        <w:spacing w:line="360" w:lineRule="auto"/>
        <w:ind w:firstLine="525" w:firstLineChars="250"/>
        <w:rPr>
          <w:rFonts w:hint="eastAsia" w:ascii="宋体"/>
          <w:color w:val="auto"/>
          <w:highlight w:val="none"/>
        </w:rPr>
      </w:pPr>
    </w:p>
    <w:p w14:paraId="1D3CA703">
      <w:pPr>
        <w:spacing w:line="360" w:lineRule="auto"/>
        <w:ind w:firstLine="525" w:firstLineChars="250"/>
        <w:rPr>
          <w:rFonts w:ascii="宋体"/>
          <w:color w:val="auto"/>
          <w:highlight w:val="none"/>
        </w:rPr>
      </w:pPr>
      <w:r>
        <w:rPr>
          <w:rFonts w:hint="eastAsia" w:ascii="宋体"/>
          <w:color w:val="auto"/>
          <w:highlight w:val="none"/>
        </w:rPr>
        <w:t>投标人</w:t>
      </w:r>
      <w:r>
        <w:rPr>
          <w:rFonts w:ascii="宋体"/>
          <w:color w:val="auto"/>
          <w:highlight w:val="none"/>
        </w:rPr>
        <w:t>须遵循招标文件指引，依据《用户需求书》所载内容，全面回应并制定服务方案。方案应包含人力、物力等资源投入，服务内容、方法、措施、质量保证及建议等方面。服务方案设计应科学、合理、真实、可行，并能充分展示自身技术与专业优势。</w:t>
      </w:r>
    </w:p>
    <w:p w14:paraId="060172C4">
      <w:pPr>
        <w:spacing w:line="360" w:lineRule="auto"/>
        <w:ind w:firstLine="562" w:firstLineChars="200"/>
        <w:rPr>
          <w:rFonts w:hint="eastAsia" w:ascii="宋体" w:hAnsi="宋体" w:cs="宋体"/>
          <w:b/>
          <w:color w:val="auto"/>
          <w:kern w:val="0"/>
          <w:sz w:val="28"/>
          <w:szCs w:val="28"/>
          <w:highlight w:val="none"/>
        </w:rPr>
      </w:pPr>
    </w:p>
    <w:p w14:paraId="140EA0A1">
      <w:pPr>
        <w:spacing w:line="360" w:lineRule="auto"/>
        <w:ind w:firstLine="562" w:firstLineChars="200"/>
        <w:rPr>
          <w:rFonts w:hint="eastAsia" w:ascii="宋体" w:hAnsi="宋体" w:cs="宋体"/>
          <w:b/>
          <w:color w:val="auto"/>
          <w:kern w:val="0"/>
          <w:sz w:val="28"/>
          <w:szCs w:val="28"/>
          <w:highlight w:val="none"/>
        </w:rPr>
      </w:pPr>
    </w:p>
    <w:p w14:paraId="2E477793">
      <w:pPr>
        <w:spacing w:line="360" w:lineRule="auto"/>
        <w:ind w:firstLine="562" w:firstLineChars="200"/>
        <w:rPr>
          <w:rFonts w:hint="eastAsia" w:ascii="宋体" w:hAnsi="宋体" w:cs="宋体"/>
          <w:b/>
          <w:color w:val="auto"/>
          <w:kern w:val="0"/>
          <w:sz w:val="28"/>
          <w:szCs w:val="28"/>
          <w:highlight w:val="none"/>
        </w:rPr>
      </w:pPr>
    </w:p>
    <w:p w14:paraId="46C611EE">
      <w:pPr>
        <w:spacing w:line="360" w:lineRule="auto"/>
        <w:ind w:firstLine="562" w:firstLineChars="200"/>
        <w:rPr>
          <w:rFonts w:hint="eastAsia" w:ascii="宋体" w:hAnsi="宋体" w:cs="宋体"/>
          <w:b/>
          <w:color w:val="auto"/>
          <w:kern w:val="0"/>
          <w:sz w:val="28"/>
          <w:szCs w:val="28"/>
          <w:highlight w:val="none"/>
        </w:rPr>
      </w:pPr>
    </w:p>
    <w:p w14:paraId="0AE3D0FD">
      <w:pPr>
        <w:spacing w:line="360" w:lineRule="auto"/>
        <w:ind w:firstLine="562" w:firstLineChars="200"/>
        <w:rPr>
          <w:rFonts w:hint="eastAsia" w:ascii="宋体" w:hAnsi="宋体" w:cs="宋体"/>
          <w:b/>
          <w:color w:val="auto"/>
          <w:kern w:val="0"/>
          <w:sz w:val="28"/>
          <w:szCs w:val="28"/>
          <w:highlight w:val="none"/>
        </w:rPr>
      </w:pPr>
    </w:p>
    <w:p w14:paraId="257C5056">
      <w:pPr>
        <w:spacing w:line="360" w:lineRule="auto"/>
        <w:ind w:firstLine="562" w:firstLineChars="200"/>
        <w:rPr>
          <w:rFonts w:hint="eastAsia" w:ascii="宋体" w:hAnsi="宋体" w:cs="宋体"/>
          <w:b/>
          <w:color w:val="auto"/>
          <w:kern w:val="0"/>
          <w:sz w:val="28"/>
          <w:szCs w:val="28"/>
          <w:highlight w:val="none"/>
        </w:rPr>
      </w:pPr>
    </w:p>
    <w:p w14:paraId="5B4A9E7D">
      <w:pPr>
        <w:spacing w:line="360" w:lineRule="auto"/>
        <w:ind w:firstLine="562" w:firstLineChars="200"/>
        <w:rPr>
          <w:rFonts w:hint="eastAsia" w:ascii="宋体" w:hAnsi="宋体" w:cs="宋体"/>
          <w:b/>
          <w:color w:val="auto"/>
          <w:kern w:val="0"/>
          <w:sz w:val="28"/>
          <w:szCs w:val="28"/>
          <w:highlight w:val="none"/>
        </w:rPr>
      </w:pPr>
    </w:p>
    <w:p w14:paraId="0F69F7BA">
      <w:pPr>
        <w:spacing w:line="360" w:lineRule="auto"/>
        <w:ind w:firstLine="562" w:firstLineChars="200"/>
        <w:rPr>
          <w:rFonts w:hint="eastAsia" w:ascii="宋体" w:hAnsi="宋体" w:cs="宋体"/>
          <w:b/>
          <w:color w:val="auto"/>
          <w:kern w:val="0"/>
          <w:sz w:val="28"/>
          <w:szCs w:val="28"/>
          <w:highlight w:val="none"/>
        </w:rPr>
      </w:pPr>
    </w:p>
    <w:p w14:paraId="507899CF">
      <w:pPr>
        <w:spacing w:line="360" w:lineRule="auto"/>
        <w:ind w:firstLine="562" w:firstLineChars="200"/>
        <w:rPr>
          <w:rFonts w:hint="eastAsia" w:ascii="宋体" w:hAnsi="宋体" w:cs="宋体"/>
          <w:b/>
          <w:color w:val="auto"/>
          <w:kern w:val="0"/>
          <w:sz w:val="28"/>
          <w:szCs w:val="28"/>
          <w:highlight w:val="none"/>
        </w:rPr>
      </w:pPr>
    </w:p>
    <w:p w14:paraId="049A830E">
      <w:pPr>
        <w:spacing w:line="360" w:lineRule="auto"/>
        <w:ind w:firstLine="562" w:firstLineChars="200"/>
        <w:rPr>
          <w:rFonts w:hint="eastAsia" w:ascii="宋体" w:hAnsi="宋体" w:cs="宋体"/>
          <w:b/>
          <w:color w:val="auto"/>
          <w:kern w:val="0"/>
          <w:sz w:val="28"/>
          <w:szCs w:val="28"/>
          <w:highlight w:val="none"/>
        </w:rPr>
      </w:pPr>
    </w:p>
    <w:p w14:paraId="71197172">
      <w:pPr>
        <w:spacing w:line="360" w:lineRule="auto"/>
        <w:ind w:firstLine="562" w:firstLineChars="200"/>
        <w:rPr>
          <w:rFonts w:hint="eastAsia" w:ascii="宋体" w:hAnsi="宋体" w:cs="宋体"/>
          <w:b/>
          <w:color w:val="auto"/>
          <w:kern w:val="0"/>
          <w:sz w:val="28"/>
          <w:szCs w:val="28"/>
          <w:highlight w:val="none"/>
        </w:rPr>
      </w:pPr>
    </w:p>
    <w:p w14:paraId="323833D5">
      <w:pPr>
        <w:spacing w:line="360" w:lineRule="auto"/>
        <w:ind w:firstLine="562" w:firstLineChars="200"/>
        <w:rPr>
          <w:rFonts w:hint="eastAsia" w:ascii="宋体" w:hAnsi="宋体" w:cs="宋体"/>
          <w:b/>
          <w:color w:val="auto"/>
          <w:kern w:val="0"/>
          <w:sz w:val="28"/>
          <w:szCs w:val="28"/>
          <w:highlight w:val="none"/>
        </w:rPr>
      </w:pPr>
    </w:p>
    <w:p w14:paraId="0715103F">
      <w:pPr>
        <w:pStyle w:val="20"/>
        <w:ind w:firstLine="562"/>
        <w:rPr>
          <w:rFonts w:hint="eastAsia" w:ascii="宋体" w:hAnsi="宋体" w:cs="宋体"/>
          <w:b/>
          <w:color w:val="auto"/>
          <w:kern w:val="0"/>
          <w:sz w:val="28"/>
          <w:szCs w:val="28"/>
          <w:highlight w:val="none"/>
        </w:rPr>
      </w:pPr>
    </w:p>
    <w:p w14:paraId="65C8DEAF">
      <w:pPr>
        <w:pStyle w:val="20"/>
        <w:ind w:firstLine="562"/>
        <w:rPr>
          <w:rFonts w:hint="eastAsia" w:ascii="宋体" w:hAnsi="宋体" w:cs="宋体"/>
          <w:b/>
          <w:color w:val="auto"/>
          <w:kern w:val="0"/>
          <w:sz w:val="28"/>
          <w:szCs w:val="28"/>
          <w:highlight w:val="none"/>
        </w:rPr>
      </w:pPr>
    </w:p>
    <w:p w14:paraId="73C477FA">
      <w:pPr>
        <w:spacing w:line="360" w:lineRule="auto"/>
        <w:ind w:firstLine="562" w:firstLineChars="200"/>
        <w:rPr>
          <w:rFonts w:hint="eastAsia" w:ascii="宋体" w:hAnsi="宋体" w:cs="宋体"/>
          <w:b/>
          <w:color w:val="auto"/>
          <w:kern w:val="0"/>
          <w:sz w:val="28"/>
          <w:szCs w:val="28"/>
          <w:highlight w:val="none"/>
        </w:rPr>
      </w:pPr>
    </w:p>
    <w:p w14:paraId="002C6A82">
      <w:pPr>
        <w:spacing w:line="360" w:lineRule="auto"/>
        <w:ind w:firstLine="562" w:firstLineChars="200"/>
        <w:rPr>
          <w:rFonts w:hint="eastAsia" w:ascii="宋体" w:hAnsi="宋体" w:cs="宋体"/>
          <w:b/>
          <w:color w:val="auto"/>
          <w:kern w:val="0"/>
          <w:sz w:val="28"/>
          <w:szCs w:val="28"/>
          <w:highlight w:val="none"/>
        </w:rPr>
      </w:pPr>
    </w:p>
    <w:p w14:paraId="705B06AC">
      <w:pPr>
        <w:spacing w:line="360" w:lineRule="auto"/>
        <w:ind w:firstLine="562" w:firstLineChars="200"/>
        <w:rPr>
          <w:rFonts w:hint="eastAsia" w:ascii="宋体" w:hAnsi="宋体" w:cs="宋体"/>
          <w:b/>
          <w:color w:val="auto"/>
          <w:kern w:val="0"/>
          <w:sz w:val="28"/>
          <w:szCs w:val="28"/>
          <w:highlight w:val="none"/>
        </w:rPr>
      </w:pPr>
    </w:p>
    <w:p w14:paraId="42EC4849">
      <w:pPr>
        <w:spacing w:line="360" w:lineRule="auto"/>
        <w:ind w:firstLine="562" w:firstLineChars="200"/>
        <w:rPr>
          <w:rFonts w:hint="eastAsia" w:ascii="宋体" w:hAnsi="宋体" w:cs="宋体"/>
          <w:b/>
          <w:color w:val="auto"/>
          <w:kern w:val="0"/>
          <w:sz w:val="28"/>
          <w:szCs w:val="28"/>
          <w:highlight w:val="none"/>
        </w:rPr>
      </w:pPr>
    </w:p>
    <w:p w14:paraId="76834204">
      <w:pPr>
        <w:spacing w:line="360" w:lineRule="auto"/>
        <w:ind w:firstLine="562" w:firstLineChars="200"/>
        <w:rPr>
          <w:rFonts w:hint="eastAsia" w:ascii="宋体" w:hAnsi="宋体" w:cs="宋体"/>
          <w:b/>
          <w:color w:val="auto"/>
          <w:kern w:val="0"/>
          <w:sz w:val="28"/>
          <w:szCs w:val="28"/>
          <w:highlight w:val="none"/>
        </w:rPr>
      </w:pPr>
    </w:p>
    <w:p w14:paraId="09E274DA">
      <w:pPr>
        <w:spacing w:line="360" w:lineRule="auto"/>
        <w:ind w:firstLine="562" w:firstLineChars="200"/>
        <w:rPr>
          <w:rFonts w:hint="eastAsia" w:ascii="宋体" w:hAnsi="宋体" w:cs="宋体"/>
          <w:b/>
          <w:color w:val="auto"/>
          <w:kern w:val="0"/>
          <w:sz w:val="28"/>
          <w:szCs w:val="28"/>
          <w:highlight w:val="none"/>
        </w:rPr>
      </w:pPr>
    </w:p>
    <w:p w14:paraId="637E3406">
      <w:pPr>
        <w:spacing w:line="360" w:lineRule="auto"/>
        <w:ind w:firstLine="562" w:firstLineChars="200"/>
        <w:rPr>
          <w:rFonts w:hint="eastAsia" w:ascii="宋体" w:hAnsi="宋体" w:cs="宋体"/>
          <w:b/>
          <w:color w:val="auto"/>
          <w:kern w:val="0"/>
          <w:sz w:val="28"/>
          <w:szCs w:val="28"/>
          <w:highlight w:val="none"/>
        </w:rPr>
      </w:pPr>
    </w:p>
    <w:p w14:paraId="3E07DB83">
      <w:pPr>
        <w:spacing w:line="360" w:lineRule="auto"/>
        <w:ind w:firstLine="562" w:firstLineChars="200"/>
        <w:rPr>
          <w:rFonts w:hint="eastAsia" w:ascii="宋体" w:hAnsi="宋体" w:cs="宋体"/>
          <w:b/>
          <w:color w:val="auto"/>
          <w:kern w:val="0"/>
          <w:sz w:val="28"/>
          <w:szCs w:val="28"/>
          <w:highlight w:val="none"/>
        </w:rPr>
      </w:pPr>
    </w:p>
    <w:p w14:paraId="1CBEA643">
      <w:pPr>
        <w:spacing w:line="360" w:lineRule="auto"/>
        <w:ind w:firstLine="562" w:firstLineChars="200"/>
        <w:rPr>
          <w:rFonts w:hint="eastAsia" w:ascii="宋体" w:hAnsi="宋体" w:cs="宋体"/>
          <w:b/>
          <w:color w:val="auto"/>
          <w:kern w:val="0"/>
          <w:sz w:val="28"/>
          <w:szCs w:val="28"/>
          <w:highlight w:val="none"/>
        </w:rPr>
      </w:pPr>
    </w:p>
    <w:p w14:paraId="2DB87AD3">
      <w:pPr>
        <w:spacing w:line="360" w:lineRule="auto"/>
        <w:ind w:firstLine="562" w:firstLineChars="200"/>
        <w:rPr>
          <w:rFonts w:hint="eastAsia" w:ascii="宋体" w:hAnsi="宋体" w:cs="宋体"/>
          <w:b/>
          <w:color w:val="auto"/>
          <w:kern w:val="0"/>
          <w:sz w:val="28"/>
          <w:szCs w:val="28"/>
          <w:highlight w:val="none"/>
        </w:rPr>
      </w:pPr>
    </w:p>
    <w:p w14:paraId="31C27AB0">
      <w:pPr>
        <w:spacing w:line="360" w:lineRule="auto"/>
        <w:ind w:firstLine="562" w:firstLineChars="200"/>
        <w:rPr>
          <w:rFonts w:hint="eastAsia" w:ascii="宋体" w:hAnsi="宋体" w:cs="宋体"/>
          <w:b/>
          <w:color w:val="auto"/>
          <w:kern w:val="0"/>
          <w:sz w:val="28"/>
          <w:szCs w:val="28"/>
          <w:highlight w:val="none"/>
        </w:rPr>
      </w:pPr>
    </w:p>
    <w:p w14:paraId="3841F9A2">
      <w:pPr>
        <w:spacing w:line="360" w:lineRule="auto"/>
        <w:ind w:firstLine="562" w:firstLineChars="20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十三</w:t>
      </w:r>
      <w:r>
        <w:rPr>
          <w:rFonts w:ascii="宋体" w:hAnsi="宋体" w:cs="宋体"/>
          <w:b/>
          <w:color w:val="auto"/>
          <w:kern w:val="0"/>
          <w:sz w:val="28"/>
          <w:szCs w:val="28"/>
          <w:highlight w:val="none"/>
        </w:rPr>
        <w:t>.</w:t>
      </w:r>
      <w:r>
        <w:rPr>
          <w:rFonts w:hint="eastAsia" w:ascii="宋体" w:hAnsi="宋体" w:cs="宋体"/>
          <w:b/>
          <w:color w:val="auto"/>
          <w:kern w:val="0"/>
          <w:sz w:val="28"/>
          <w:szCs w:val="28"/>
          <w:highlight w:val="none"/>
        </w:rPr>
        <w:t>资格审查材料</w:t>
      </w:r>
      <w:bookmarkEnd w:id="1481"/>
    </w:p>
    <w:p w14:paraId="54D08554">
      <w:pPr>
        <w:topLinePunct/>
        <w:spacing w:before="100" w:beforeAutospacing="1" w:after="100" w:afterAutospacing="1"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注：资格审查材料包括但不限于以下，请投标人根据招标公告资格要求审查评审标准提供。</w:t>
      </w:r>
    </w:p>
    <w:p w14:paraId="4D7B6AFF">
      <w:pPr>
        <w:keepNext/>
        <w:keepLines/>
        <w:adjustRightInd w:val="0"/>
        <w:spacing w:before="240" w:after="60"/>
        <w:textAlignment w:val="baseline"/>
        <w:outlineLvl w:val="0"/>
        <w:rPr>
          <w:rFonts w:hint="eastAsia" w:ascii="宋体" w:hAnsi="宋体"/>
          <w:color w:val="auto"/>
          <w:kern w:val="24"/>
          <w:szCs w:val="21"/>
          <w:highlight w:val="none"/>
        </w:rPr>
      </w:pPr>
      <w:bookmarkStart w:id="1482" w:name="_Toc17880"/>
      <w:bookmarkStart w:id="1483" w:name="_Toc21738"/>
      <w:bookmarkStart w:id="1484" w:name="_Toc9590881"/>
      <w:bookmarkStart w:id="1485" w:name="_Toc20716"/>
      <w:bookmarkStart w:id="1486" w:name="_Toc32743"/>
      <w:bookmarkStart w:id="1487" w:name="_Toc15832"/>
      <w:bookmarkStart w:id="1488" w:name="_Toc23868"/>
      <w:bookmarkStart w:id="1489" w:name="_Toc28862"/>
      <w:bookmarkStart w:id="1490" w:name="_Toc11781"/>
      <w:bookmarkStart w:id="1491" w:name="_Toc28945"/>
      <w:r>
        <w:rPr>
          <w:rFonts w:hint="eastAsia" w:ascii="宋体" w:hAnsi="宋体"/>
          <w:color w:val="auto"/>
          <w:kern w:val="24"/>
          <w:szCs w:val="21"/>
          <w:highlight w:val="none"/>
        </w:rPr>
        <w:t>（一）投标人基本情况表</w:t>
      </w:r>
      <w:bookmarkEnd w:id="1482"/>
      <w:bookmarkEnd w:id="1483"/>
      <w:bookmarkEnd w:id="1484"/>
      <w:bookmarkEnd w:id="1485"/>
      <w:bookmarkEnd w:id="1486"/>
      <w:bookmarkEnd w:id="1487"/>
      <w:bookmarkEnd w:id="1488"/>
      <w:bookmarkEnd w:id="1489"/>
      <w:bookmarkEnd w:id="1490"/>
      <w:bookmarkEnd w:id="1491"/>
    </w:p>
    <w:tbl>
      <w:tblPr>
        <w:tblStyle w:val="21"/>
        <w:tblW w:w="88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5"/>
        <w:gridCol w:w="898"/>
        <w:gridCol w:w="1025"/>
        <w:gridCol w:w="1286"/>
        <w:gridCol w:w="414"/>
        <w:gridCol w:w="872"/>
        <w:gridCol w:w="827"/>
        <w:gridCol w:w="284"/>
        <w:gridCol w:w="1229"/>
      </w:tblGrid>
      <w:tr w14:paraId="5A9CC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9E2EEC1">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735717D3">
            <w:pPr>
              <w:topLinePunct/>
              <w:spacing w:line="440" w:lineRule="exact"/>
              <w:jc w:val="center"/>
              <w:rPr>
                <w:rFonts w:hint="eastAsia" w:ascii="宋体" w:hAnsi="宋体"/>
                <w:color w:val="auto"/>
                <w:szCs w:val="21"/>
                <w:highlight w:val="none"/>
              </w:rPr>
            </w:pPr>
          </w:p>
        </w:tc>
      </w:tr>
      <w:tr w14:paraId="05BA2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A98DB69">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77ABA6B">
            <w:pPr>
              <w:topLinePunct/>
              <w:spacing w:line="440" w:lineRule="exact"/>
              <w:jc w:val="center"/>
              <w:rPr>
                <w:rFonts w:hint="eastAsia" w:ascii="宋体" w:hAnsi="宋体"/>
                <w:color w:val="auto"/>
                <w:szCs w:val="21"/>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C5450A9">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3966B1A">
            <w:pPr>
              <w:topLinePunct/>
              <w:spacing w:line="440" w:lineRule="exact"/>
              <w:jc w:val="center"/>
              <w:rPr>
                <w:rFonts w:hint="eastAsia" w:ascii="宋体" w:hAnsi="宋体"/>
                <w:color w:val="auto"/>
                <w:szCs w:val="21"/>
                <w:highlight w:val="none"/>
              </w:rPr>
            </w:pPr>
          </w:p>
        </w:tc>
      </w:tr>
      <w:tr w14:paraId="767C9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35E21F28">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6D7043E7">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283CE888">
            <w:pPr>
              <w:topLinePunct/>
              <w:spacing w:line="440" w:lineRule="exact"/>
              <w:jc w:val="center"/>
              <w:rPr>
                <w:rFonts w:hint="eastAsia" w:ascii="宋体" w:hAnsi="宋体"/>
                <w:color w:val="auto"/>
                <w:szCs w:val="21"/>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8B48B8F">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001CDD34">
            <w:pPr>
              <w:topLinePunct/>
              <w:spacing w:line="440" w:lineRule="exact"/>
              <w:jc w:val="center"/>
              <w:rPr>
                <w:rFonts w:hint="eastAsia" w:ascii="宋体" w:hAnsi="宋体"/>
                <w:color w:val="auto"/>
                <w:szCs w:val="21"/>
                <w:highlight w:val="none"/>
              </w:rPr>
            </w:pPr>
          </w:p>
        </w:tc>
      </w:tr>
      <w:tr w14:paraId="7D2DC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0AA860E1">
            <w:pPr>
              <w:widowControl/>
              <w:jc w:val="left"/>
              <w:rPr>
                <w:rFonts w:hint="eastAsia"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54E3C14A">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传真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086C15EE">
            <w:pPr>
              <w:topLinePunct/>
              <w:spacing w:line="440" w:lineRule="exact"/>
              <w:jc w:val="center"/>
              <w:rPr>
                <w:rFonts w:hint="eastAsia" w:ascii="宋体" w:hAnsi="宋体"/>
                <w:color w:val="auto"/>
                <w:szCs w:val="21"/>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7263AEF">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6C1E7B9A">
            <w:pPr>
              <w:topLinePunct/>
              <w:spacing w:line="440" w:lineRule="exact"/>
              <w:jc w:val="center"/>
              <w:rPr>
                <w:rFonts w:hint="eastAsia" w:ascii="宋体" w:hAnsi="宋体"/>
                <w:color w:val="auto"/>
                <w:szCs w:val="21"/>
                <w:highlight w:val="none"/>
              </w:rPr>
            </w:pPr>
          </w:p>
        </w:tc>
      </w:tr>
      <w:tr w14:paraId="2A7A6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11BC9E0">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57544E91">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4E1E3062">
            <w:pPr>
              <w:topLinePunct/>
              <w:spacing w:line="440" w:lineRule="exact"/>
              <w:jc w:val="center"/>
              <w:rPr>
                <w:rFonts w:hint="eastAsia" w:ascii="宋体" w:hAnsi="宋体"/>
                <w:color w:val="auto"/>
                <w:szCs w:val="21"/>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498DBB51">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35DF9B3A">
            <w:pPr>
              <w:topLinePunct/>
              <w:spacing w:line="440" w:lineRule="exact"/>
              <w:jc w:val="center"/>
              <w:rPr>
                <w:rFonts w:hint="eastAsia" w:ascii="宋体" w:hAnsi="宋体"/>
                <w:color w:val="auto"/>
                <w:szCs w:val="21"/>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ED1ACE0">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37878FC0">
            <w:pPr>
              <w:topLinePunct/>
              <w:spacing w:line="440" w:lineRule="exact"/>
              <w:jc w:val="center"/>
              <w:rPr>
                <w:rFonts w:hint="eastAsia" w:ascii="宋体" w:hAnsi="宋体"/>
                <w:color w:val="auto"/>
                <w:szCs w:val="21"/>
                <w:highlight w:val="none"/>
              </w:rPr>
            </w:pPr>
          </w:p>
        </w:tc>
      </w:tr>
      <w:tr w14:paraId="1511B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9FAF256">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584E2B3F">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2B778E0A">
            <w:pPr>
              <w:topLinePunct/>
              <w:spacing w:line="440" w:lineRule="exact"/>
              <w:jc w:val="center"/>
              <w:rPr>
                <w:rFonts w:hint="eastAsia" w:ascii="宋体" w:hAnsi="宋体"/>
                <w:color w:val="auto"/>
                <w:szCs w:val="21"/>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70F8E95F">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F745793">
            <w:pPr>
              <w:topLinePunct/>
              <w:spacing w:line="440" w:lineRule="exact"/>
              <w:jc w:val="center"/>
              <w:rPr>
                <w:rFonts w:hint="eastAsia" w:ascii="宋体" w:hAnsi="宋体"/>
                <w:color w:val="auto"/>
                <w:szCs w:val="21"/>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5AAA3E83">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21CB2D4C">
            <w:pPr>
              <w:topLinePunct/>
              <w:spacing w:line="440" w:lineRule="exact"/>
              <w:jc w:val="center"/>
              <w:rPr>
                <w:rFonts w:hint="eastAsia" w:ascii="宋体" w:hAnsi="宋体"/>
                <w:color w:val="auto"/>
                <w:szCs w:val="21"/>
                <w:highlight w:val="none"/>
              </w:rPr>
            </w:pPr>
          </w:p>
        </w:tc>
      </w:tr>
      <w:tr w14:paraId="55AFF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EF71A79">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企业资质证书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623E7895">
            <w:pPr>
              <w:topLinePunct/>
              <w:spacing w:before="100" w:beforeAutospacing="1" w:after="100" w:afterAutospacing="1" w:line="440" w:lineRule="exact"/>
              <w:ind w:firstLine="105" w:firstLineChars="50"/>
              <w:jc w:val="center"/>
              <w:rPr>
                <w:rFonts w:hint="eastAsia" w:ascii="宋体" w:hAnsi="宋体"/>
                <w:color w:val="auto"/>
                <w:szCs w:val="21"/>
                <w:highlight w:val="none"/>
              </w:rPr>
            </w:pPr>
            <w:r>
              <w:rPr>
                <w:rFonts w:hint="eastAsia" w:ascii="宋体" w:hAnsi="宋体"/>
                <w:color w:val="auto"/>
                <w:szCs w:val="21"/>
                <w:highlight w:val="none"/>
              </w:rPr>
              <w:t>类型：等级：证书号：</w:t>
            </w:r>
          </w:p>
        </w:tc>
      </w:tr>
      <w:tr w14:paraId="3E16C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4F5888B">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1F8DD5C3">
            <w:pPr>
              <w:topLinePunct/>
              <w:spacing w:before="100" w:beforeAutospacing="1" w:after="100" w:afterAutospacing="1" w:line="440" w:lineRule="exact"/>
              <w:ind w:firstLine="105" w:firstLineChars="50"/>
              <w:jc w:val="center"/>
              <w:rPr>
                <w:rFonts w:hint="eastAsia" w:ascii="宋体" w:hAnsi="宋体"/>
                <w:color w:val="auto"/>
                <w:szCs w:val="21"/>
                <w:highlight w:val="none"/>
              </w:rPr>
            </w:pPr>
            <w:r>
              <w:rPr>
                <w:rFonts w:hint="eastAsia" w:ascii="宋体" w:hAnsi="宋体"/>
                <w:color w:val="auto"/>
                <w:szCs w:val="21"/>
                <w:highlight w:val="none"/>
              </w:rPr>
              <w:t>类型：等级：证书号：</w:t>
            </w:r>
          </w:p>
        </w:tc>
      </w:tr>
      <w:tr w14:paraId="7ABE9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1B7E2E2">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53B2DFE">
            <w:pPr>
              <w:topLinePunct/>
              <w:spacing w:line="440" w:lineRule="exact"/>
              <w:jc w:val="center"/>
              <w:rPr>
                <w:rFonts w:hint="eastAsia" w:ascii="宋体" w:hAnsi="宋体"/>
                <w:color w:val="auto"/>
                <w:szCs w:val="21"/>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1A3CC737">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员工总人数：</w:t>
            </w:r>
          </w:p>
        </w:tc>
      </w:tr>
      <w:tr w14:paraId="179F4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B02DFA9">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209E3EA">
            <w:pPr>
              <w:topLinePunct/>
              <w:spacing w:line="440" w:lineRule="exact"/>
              <w:jc w:val="center"/>
              <w:rPr>
                <w:rFonts w:hint="eastAsia" w:ascii="宋体" w:hAnsi="宋体"/>
                <w:color w:val="auto"/>
                <w:szCs w:val="21"/>
                <w:highlight w:val="none"/>
              </w:rPr>
            </w:pPr>
          </w:p>
        </w:tc>
        <w:tc>
          <w:tcPr>
            <w:tcW w:w="414" w:type="dxa"/>
            <w:vMerge w:val="restart"/>
            <w:tcBorders>
              <w:top w:val="single" w:color="auto" w:sz="4" w:space="0"/>
              <w:left w:val="single" w:color="auto" w:sz="4" w:space="0"/>
              <w:bottom w:val="nil"/>
              <w:right w:val="single" w:color="auto" w:sz="4" w:space="0"/>
            </w:tcBorders>
            <w:vAlign w:val="center"/>
          </w:tcPr>
          <w:p w14:paraId="7040C170">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4598D12">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584FE94">
            <w:pPr>
              <w:topLinePunct/>
              <w:spacing w:line="440" w:lineRule="exact"/>
              <w:jc w:val="center"/>
              <w:rPr>
                <w:rFonts w:hint="eastAsia" w:ascii="宋体" w:hAnsi="宋体"/>
                <w:color w:val="auto"/>
                <w:szCs w:val="21"/>
                <w:highlight w:val="none"/>
              </w:rPr>
            </w:pPr>
          </w:p>
        </w:tc>
      </w:tr>
      <w:tr w14:paraId="645FB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5B06933">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2D5346F">
            <w:pPr>
              <w:topLinePunct/>
              <w:spacing w:line="440" w:lineRule="exact"/>
              <w:jc w:val="center"/>
              <w:rPr>
                <w:rFonts w:hint="eastAsia" w:ascii="宋体" w:hAnsi="宋体"/>
                <w:color w:val="auto"/>
                <w:szCs w:val="21"/>
                <w:highlight w:val="none"/>
              </w:rPr>
            </w:pPr>
          </w:p>
        </w:tc>
        <w:tc>
          <w:tcPr>
            <w:tcW w:w="3629" w:type="dxa"/>
            <w:vMerge w:val="continue"/>
            <w:tcBorders>
              <w:top w:val="single" w:color="auto" w:sz="4" w:space="0"/>
              <w:left w:val="single" w:color="auto" w:sz="4" w:space="0"/>
              <w:bottom w:val="nil"/>
              <w:right w:val="single" w:color="auto" w:sz="4" w:space="0"/>
            </w:tcBorders>
            <w:vAlign w:val="center"/>
          </w:tcPr>
          <w:p w14:paraId="1821A201">
            <w:pPr>
              <w:widowControl/>
              <w:jc w:val="left"/>
              <w:rPr>
                <w:rFonts w:hint="eastAsia" w:ascii="宋体" w:hAnsi="宋体"/>
                <w:color w:val="auto"/>
                <w:szCs w:val="21"/>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DB4839D">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F30E857">
            <w:pPr>
              <w:topLinePunct/>
              <w:spacing w:line="440" w:lineRule="exact"/>
              <w:jc w:val="center"/>
              <w:rPr>
                <w:rFonts w:hint="eastAsia" w:ascii="宋体" w:hAnsi="宋体"/>
                <w:color w:val="auto"/>
                <w:szCs w:val="21"/>
                <w:highlight w:val="none"/>
              </w:rPr>
            </w:pPr>
          </w:p>
        </w:tc>
      </w:tr>
      <w:tr w14:paraId="515E9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36841E1">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95C9F39">
            <w:pPr>
              <w:topLinePunct/>
              <w:spacing w:line="440" w:lineRule="exact"/>
              <w:jc w:val="center"/>
              <w:rPr>
                <w:rFonts w:hint="eastAsia" w:ascii="宋体" w:hAnsi="宋体"/>
                <w:color w:val="auto"/>
                <w:szCs w:val="21"/>
                <w:highlight w:val="none"/>
              </w:rPr>
            </w:pPr>
          </w:p>
        </w:tc>
        <w:tc>
          <w:tcPr>
            <w:tcW w:w="3629" w:type="dxa"/>
            <w:vMerge w:val="continue"/>
            <w:tcBorders>
              <w:top w:val="single" w:color="auto" w:sz="4" w:space="0"/>
              <w:left w:val="single" w:color="auto" w:sz="4" w:space="0"/>
              <w:bottom w:val="nil"/>
              <w:right w:val="single" w:color="auto" w:sz="4" w:space="0"/>
            </w:tcBorders>
            <w:vAlign w:val="center"/>
          </w:tcPr>
          <w:p w14:paraId="5057ACF2">
            <w:pPr>
              <w:widowControl/>
              <w:jc w:val="left"/>
              <w:rPr>
                <w:rFonts w:hint="eastAsia" w:ascii="宋体" w:hAnsi="宋体"/>
                <w:color w:val="auto"/>
                <w:szCs w:val="21"/>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1150D95">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13C2E9B0">
            <w:pPr>
              <w:topLinePunct/>
              <w:spacing w:line="440" w:lineRule="exact"/>
              <w:jc w:val="center"/>
              <w:rPr>
                <w:rFonts w:hint="eastAsia" w:ascii="宋体" w:hAnsi="宋体"/>
                <w:color w:val="auto"/>
                <w:szCs w:val="21"/>
                <w:highlight w:val="none"/>
              </w:rPr>
            </w:pPr>
          </w:p>
        </w:tc>
      </w:tr>
      <w:tr w14:paraId="0B974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30FA7FC">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B618D74">
            <w:pPr>
              <w:topLinePunct/>
              <w:spacing w:line="440" w:lineRule="exact"/>
              <w:jc w:val="center"/>
              <w:rPr>
                <w:rFonts w:hint="eastAsia" w:ascii="宋体" w:hAnsi="宋体"/>
                <w:color w:val="auto"/>
                <w:szCs w:val="21"/>
                <w:highlight w:val="none"/>
              </w:rPr>
            </w:pPr>
          </w:p>
        </w:tc>
        <w:tc>
          <w:tcPr>
            <w:tcW w:w="3629" w:type="dxa"/>
            <w:vMerge w:val="continue"/>
            <w:tcBorders>
              <w:top w:val="single" w:color="auto" w:sz="4" w:space="0"/>
              <w:left w:val="single" w:color="auto" w:sz="4" w:space="0"/>
              <w:bottom w:val="nil"/>
              <w:right w:val="single" w:color="auto" w:sz="4" w:space="0"/>
            </w:tcBorders>
            <w:vAlign w:val="center"/>
          </w:tcPr>
          <w:p w14:paraId="338CA7E9">
            <w:pPr>
              <w:widowControl/>
              <w:jc w:val="left"/>
              <w:rPr>
                <w:rFonts w:hint="eastAsia" w:ascii="宋体" w:hAnsi="宋体"/>
                <w:color w:val="auto"/>
                <w:szCs w:val="21"/>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9E4FF4D">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1C4A75B">
            <w:pPr>
              <w:topLinePunct/>
              <w:spacing w:line="440" w:lineRule="exact"/>
              <w:jc w:val="center"/>
              <w:rPr>
                <w:rFonts w:hint="eastAsia" w:ascii="宋体" w:hAnsi="宋体"/>
                <w:color w:val="auto"/>
                <w:szCs w:val="21"/>
                <w:highlight w:val="none"/>
              </w:rPr>
            </w:pPr>
          </w:p>
        </w:tc>
      </w:tr>
      <w:tr w14:paraId="0BF53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nil"/>
              <w:right w:val="single" w:color="auto" w:sz="4" w:space="0"/>
            </w:tcBorders>
            <w:vAlign w:val="center"/>
          </w:tcPr>
          <w:p w14:paraId="5F2978E7">
            <w:pPr>
              <w:topLinePunct/>
              <w:spacing w:before="100" w:beforeAutospacing="1" w:after="100" w:afterAutospacing="1" w:line="440" w:lineRule="exact"/>
              <w:ind w:firstLine="210" w:firstLineChars="100"/>
              <w:jc w:val="center"/>
              <w:rPr>
                <w:rFonts w:hint="eastAsia" w:ascii="宋体" w:hAnsi="宋体"/>
                <w:color w:val="auto"/>
                <w:szCs w:val="21"/>
                <w:highlight w:val="none"/>
              </w:rPr>
            </w:pPr>
            <w:r>
              <w:rPr>
                <w:rFonts w:hint="eastAsia" w:ascii="宋体" w:hAnsi="宋体"/>
                <w:color w:val="auto"/>
                <w:szCs w:val="21"/>
                <w:highlight w:val="none"/>
              </w:rPr>
              <w:t>经营范围</w:t>
            </w:r>
          </w:p>
        </w:tc>
        <w:tc>
          <w:tcPr>
            <w:tcW w:w="6840" w:type="dxa"/>
            <w:gridSpan w:val="8"/>
            <w:tcBorders>
              <w:top w:val="single" w:color="auto" w:sz="4" w:space="0"/>
              <w:left w:val="single" w:color="auto" w:sz="4" w:space="0"/>
              <w:bottom w:val="nil"/>
              <w:right w:val="single" w:color="auto" w:sz="4" w:space="0"/>
            </w:tcBorders>
            <w:vAlign w:val="center"/>
          </w:tcPr>
          <w:p w14:paraId="4723C394">
            <w:pPr>
              <w:topLinePunct/>
              <w:spacing w:line="440" w:lineRule="exact"/>
              <w:jc w:val="center"/>
              <w:rPr>
                <w:rFonts w:hint="eastAsia" w:ascii="宋体" w:hAnsi="宋体"/>
                <w:color w:val="auto"/>
                <w:szCs w:val="21"/>
                <w:highlight w:val="none"/>
              </w:rPr>
            </w:pPr>
          </w:p>
        </w:tc>
      </w:tr>
      <w:tr w14:paraId="3F1B3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nil"/>
              <w:right w:val="single" w:color="auto" w:sz="4" w:space="0"/>
            </w:tcBorders>
            <w:vAlign w:val="center"/>
          </w:tcPr>
          <w:p w14:paraId="0C9ED7FE">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bottom w:val="nil"/>
              <w:right w:val="single" w:color="auto" w:sz="4" w:space="0"/>
            </w:tcBorders>
            <w:vAlign w:val="center"/>
          </w:tcPr>
          <w:p w14:paraId="134EBD74">
            <w:pPr>
              <w:topLinePunct/>
              <w:spacing w:line="440" w:lineRule="exact"/>
              <w:jc w:val="center"/>
              <w:rPr>
                <w:rFonts w:hint="eastAsia" w:ascii="宋体" w:hAnsi="宋体"/>
                <w:color w:val="auto"/>
                <w:szCs w:val="21"/>
                <w:highlight w:val="none"/>
              </w:rPr>
            </w:pPr>
          </w:p>
        </w:tc>
      </w:tr>
      <w:tr w14:paraId="179EC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3F2675E">
            <w:pPr>
              <w:topLinePunct/>
              <w:spacing w:before="100" w:beforeAutospacing="1" w:after="100" w:afterAutospacing="1" w:line="440" w:lineRule="exact"/>
              <w:jc w:val="center"/>
              <w:rPr>
                <w:rFonts w:hint="eastAsia" w:ascii="宋体" w:hAnsi="宋体"/>
                <w:color w:val="auto"/>
                <w:szCs w:val="21"/>
                <w:highlight w:val="none"/>
              </w:rPr>
            </w:pPr>
            <w:r>
              <w:rPr>
                <w:rFonts w:hint="eastAsia" w:ascii="宋体" w:hAnsi="宋体"/>
                <w:color w:val="auto"/>
                <w:szCs w:val="21"/>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53ADD8CC">
            <w:pPr>
              <w:topLinePunct/>
              <w:spacing w:line="440" w:lineRule="exact"/>
              <w:jc w:val="center"/>
              <w:rPr>
                <w:rFonts w:hint="eastAsia" w:ascii="宋体" w:hAnsi="宋体"/>
                <w:color w:val="auto"/>
                <w:szCs w:val="21"/>
                <w:highlight w:val="none"/>
              </w:rPr>
            </w:pPr>
          </w:p>
        </w:tc>
      </w:tr>
    </w:tbl>
    <w:p w14:paraId="19D81919">
      <w:pPr>
        <w:spacing w:line="400" w:lineRule="exact"/>
        <w:ind w:firstLine="420" w:firstLineChars="200"/>
        <w:rPr>
          <w:rFonts w:hint="eastAsia" w:ascii="宋体" w:hAnsi="宋体"/>
          <w:color w:val="auto"/>
          <w:szCs w:val="22"/>
          <w:highlight w:val="none"/>
        </w:rPr>
      </w:pPr>
      <w:r>
        <w:rPr>
          <w:rFonts w:hint="eastAsia" w:ascii="宋体" w:hAnsi="宋体"/>
          <w:color w:val="auto"/>
          <w:szCs w:val="21"/>
          <w:highlight w:val="none"/>
        </w:rPr>
        <w:t>注：投标人应根据投标人须知第</w:t>
      </w:r>
      <w:r>
        <w:rPr>
          <w:rFonts w:ascii="宋体" w:hAnsi="宋体"/>
          <w:color w:val="auto"/>
          <w:szCs w:val="21"/>
          <w:highlight w:val="none"/>
        </w:rPr>
        <w:t>3.5.1</w:t>
      </w:r>
      <w:r>
        <w:rPr>
          <w:rFonts w:hint="eastAsia" w:ascii="宋体" w:hAnsi="宋体"/>
          <w:color w:val="auto"/>
          <w:szCs w:val="21"/>
          <w:highlight w:val="none"/>
        </w:rPr>
        <w:t>项的要求，应在本表后附投标人营业执照和组织机构代码证的复印件（按照“三证合一”或“五证合一”登记制度进行登记的，可仅提供营业执照复印件）、投标人资质证书副本等材料的复印件。</w:t>
      </w:r>
    </w:p>
    <w:p w14:paraId="06C53C55">
      <w:pPr>
        <w:rPr>
          <w:rFonts w:hint="eastAsia" w:ascii="宋体" w:hAnsi="宋体"/>
          <w:color w:val="auto"/>
          <w:szCs w:val="22"/>
          <w:highlight w:val="none"/>
        </w:rPr>
      </w:pPr>
      <w:r>
        <w:rPr>
          <w:rFonts w:ascii="宋体" w:hAnsi="宋体"/>
          <w:color w:val="auto"/>
          <w:szCs w:val="22"/>
          <w:highlight w:val="none"/>
        </w:rPr>
        <w:br w:type="page"/>
      </w:r>
    </w:p>
    <w:p w14:paraId="3C075A6A">
      <w:pPr>
        <w:keepNext/>
        <w:keepLines/>
        <w:adjustRightInd w:val="0"/>
        <w:spacing w:before="240" w:after="60"/>
        <w:textAlignment w:val="baseline"/>
        <w:outlineLvl w:val="0"/>
        <w:rPr>
          <w:rFonts w:hint="eastAsia" w:ascii="宋体" w:hAnsi="宋体"/>
          <w:color w:val="auto"/>
          <w:kern w:val="24"/>
          <w:sz w:val="28"/>
          <w:szCs w:val="20"/>
          <w:highlight w:val="none"/>
        </w:rPr>
      </w:pPr>
      <w:bookmarkStart w:id="1492" w:name="_Toc12083"/>
      <w:bookmarkStart w:id="1493" w:name="_Toc27946"/>
      <w:bookmarkStart w:id="1494" w:name="_Toc28618"/>
      <w:bookmarkStart w:id="1495" w:name="_Toc4715"/>
      <w:bookmarkStart w:id="1496" w:name="_Toc12094"/>
      <w:bookmarkStart w:id="1497" w:name="_Toc23010"/>
      <w:bookmarkStart w:id="1498" w:name="_Toc9590885"/>
      <w:bookmarkStart w:id="1499" w:name="_Toc26822"/>
      <w:bookmarkStart w:id="1500" w:name="_Toc24706"/>
      <w:bookmarkStart w:id="1501" w:name="_Toc3734"/>
      <w:r>
        <w:rPr>
          <w:rFonts w:hint="eastAsia" w:ascii="宋体" w:hAnsi="宋体"/>
          <w:color w:val="auto"/>
          <w:kern w:val="24"/>
          <w:sz w:val="28"/>
          <w:szCs w:val="20"/>
          <w:highlight w:val="none"/>
        </w:rPr>
        <w:t>（二）投标申请人声明格式</w:t>
      </w:r>
      <w:bookmarkEnd w:id="1492"/>
      <w:bookmarkEnd w:id="1493"/>
      <w:bookmarkEnd w:id="1494"/>
      <w:bookmarkEnd w:id="1495"/>
      <w:bookmarkEnd w:id="1496"/>
      <w:bookmarkEnd w:id="1497"/>
      <w:bookmarkEnd w:id="1498"/>
      <w:bookmarkEnd w:id="1499"/>
      <w:bookmarkEnd w:id="1500"/>
      <w:bookmarkEnd w:id="1501"/>
    </w:p>
    <w:p w14:paraId="3E0E1AC0">
      <w:pPr>
        <w:spacing w:before="240" w:beforeLines="100" w:after="120" w:afterLines="50" w:line="360" w:lineRule="auto"/>
        <w:ind w:firstLine="371" w:firstLineChars="177"/>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投标申请人声明格式详见</w:t>
      </w:r>
      <w:r>
        <w:rPr>
          <w:rFonts w:hint="eastAsia" w:ascii="宋体" w:hAnsi="宋体" w:cs="宋体"/>
          <w:bCs/>
          <w:color w:val="auto"/>
          <w:kern w:val="0"/>
          <w:szCs w:val="21"/>
          <w:highlight w:val="none"/>
          <w:u w:val="single"/>
        </w:rPr>
        <w:t>招标公告附件一</w:t>
      </w:r>
      <w:r>
        <w:rPr>
          <w:rFonts w:hint="eastAsia" w:ascii="宋体" w:hAnsi="宋体" w:cs="宋体"/>
          <w:bCs/>
          <w:color w:val="auto"/>
          <w:kern w:val="0"/>
          <w:szCs w:val="21"/>
          <w:highlight w:val="none"/>
        </w:rPr>
        <w:t>。</w:t>
      </w:r>
    </w:p>
    <w:p w14:paraId="031C416F">
      <w:pPr>
        <w:pStyle w:val="33"/>
        <w:spacing w:before="1080" w:beforeLines="450" w:line="480" w:lineRule="auto"/>
        <w:ind w:firstLine="4324" w:firstLineChars="1802"/>
        <w:rPr>
          <w:rFonts w:hint="eastAsia" w:ascii="宋体" w:eastAsia="宋体"/>
          <w:color w:val="auto"/>
          <w:sz w:val="24"/>
          <w:szCs w:val="24"/>
          <w:highlight w:val="none"/>
          <w:u w:val="single"/>
        </w:rPr>
      </w:pPr>
      <w:r>
        <w:rPr>
          <w:rFonts w:hint="eastAsia" w:ascii="宋体" w:eastAsia="宋体"/>
          <w:color w:val="auto"/>
          <w:sz w:val="24"/>
          <w:szCs w:val="24"/>
          <w:highlight w:val="none"/>
        </w:rPr>
        <w:t>投标人名称（加盖公章）：</w:t>
      </w:r>
      <w:r>
        <w:rPr>
          <w:rFonts w:ascii="宋体" w:eastAsia="宋体"/>
          <w:color w:val="auto"/>
          <w:sz w:val="24"/>
          <w:szCs w:val="24"/>
          <w:highlight w:val="none"/>
        </w:rPr>
        <w:t xml:space="preserve"> </w:t>
      </w:r>
      <w:r>
        <w:rPr>
          <w:rFonts w:ascii="宋体" w:eastAsia="宋体"/>
          <w:color w:val="auto"/>
          <w:sz w:val="24"/>
          <w:szCs w:val="24"/>
          <w:highlight w:val="none"/>
          <w:u w:val="single"/>
        </w:rPr>
        <w:t xml:space="preserve">                      </w:t>
      </w:r>
    </w:p>
    <w:p w14:paraId="779DC6B9">
      <w:pPr>
        <w:pStyle w:val="33"/>
        <w:spacing w:line="480" w:lineRule="auto"/>
        <w:ind w:firstLine="4324" w:firstLineChars="1802"/>
        <w:rPr>
          <w:rFonts w:hint="eastAsia" w:ascii="宋体" w:eastAsia="宋体"/>
          <w:color w:val="auto"/>
          <w:sz w:val="24"/>
          <w:szCs w:val="24"/>
          <w:highlight w:val="none"/>
        </w:rPr>
      </w:pPr>
      <w:r>
        <w:rPr>
          <w:rFonts w:hint="eastAsia" w:ascii="宋体" w:eastAsia="宋体"/>
          <w:color w:val="auto"/>
          <w:sz w:val="24"/>
          <w:szCs w:val="24"/>
          <w:highlight w:val="none"/>
        </w:rPr>
        <w:t>投标人法定代表人或被授权人（签名或盖私章）：</w:t>
      </w:r>
      <w:r>
        <w:rPr>
          <w:rFonts w:ascii="宋体" w:eastAsia="宋体"/>
          <w:color w:val="auto"/>
          <w:sz w:val="24"/>
          <w:szCs w:val="24"/>
          <w:highlight w:val="none"/>
          <w:u w:val="single"/>
        </w:rPr>
        <w:t xml:space="preserve">   </w:t>
      </w:r>
    </w:p>
    <w:p w14:paraId="3DCFBC0B">
      <w:pPr>
        <w:pStyle w:val="7"/>
        <w:spacing w:line="480" w:lineRule="auto"/>
        <w:ind w:firstLine="480"/>
        <w:jc w:val="right"/>
        <w:rPr>
          <w:color w:val="auto"/>
          <w:highlight w:val="none"/>
        </w:rPr>
      </w:pPr>
      <w:r>
        <w:rPr>
          <w:rFonts w:hint="eastAsia" w:ascii="宋体"/>
          <w:color w:val="auto"/>
          <w:sz w:val="24"/>
          <w:szCs w:val="24"/>
          <w:highlight w:val="none"/>
        </w:rPr>
        <w:t>日</w:t>
      </w:r>
      <w:r>
        <w:rPr>
          <w:rFonts w:ascii="宋体"/>
          <w:color w:val="auto"/>
          <w:sz w:val="24"/>
          <w:szCs w:val="24"/>
          <w:highlight w:val="none"/>
        </w:rPr>
        <w:t xml:space="preserve">  </w:t>
      </w:r>
      <w:r>
        <w:rPr>
          <w:rFonts w:hint="eastAsia" w:ascii="宋体"/>
          <w:color w:val="auto"/>
          <w:sz w:val="24"/>
          <w:szCs w:val="24"/>
          <w:highlight w:val="none"/>
        </w:rPr>
        <w:t>期：</w:t>
      </w:r>
      <w:r>
        <w:rPr>
          <w:rFonts w:ascii="宋体"/>
          <w:color w:val="auto"/>
          <w:sz w:val="24"/>
          <w:szCs w:val="24"/>
          <w:highlight w:val="none"/>
        </w:rPr>
        <w:t xml:space="preserve"> </w:t>
      </w:r>
      <w:r>
        <w:rPr>
          <w:rFonts w:ascii="宋体"/>
          <w:color w:val="auto"/>
          <w:sz w:val="24"/>
          <w:szCs w:val="24"/>
          <w:highlight w:val="none"/>
          <w:u w:val="single"/>
        </w:rPr>
        <w:t xml:space="preserve">     年     月      日</w:t>
      </w:r>
    </w:p>
    <w:p w14:paraId="419D81C6">
      <w:pPr>
        <w:keepNext/>
        <w:keepLines/>
        <w:adjustRightInd w:val="0"/>
        <w:spacing w:before="240" w:after="60"/>
        <w:textAlignment w:val="baseline"/>
        <w:outlineLvl w:val="0"/>
        <w:rPr>
          <w:rFonts w:hint="eastAsia" w:ascii="宋体" w:hAnsi="宋体"/>
          <w:color w:val="auto"/>
          <w:kern w:val="24"/>
          <w:sz w:val="28"/>
          <w:szCs w:val="20"/>
          <w:highlight w:val="none"/>
        </w:rPr>
        <w:sectPr>
          <w:pgSz w:w="11905" w:h="16838"/>
          <w:pgMar w:top="1134" w:right="1134" w:bottom="567" w:left="1134" w:header="567" w:footer="590" w:gutter="0"/>
          <w:cols w:space="720" w:num="1"/>
        </w:sectPr>
      </w:pPr>
    </w:p>
    <w:p w14:paraId="15A09879">
      <w:pPr>
        <w:keepNext/>
        <w:keepLines/>
        <w:adjustRightInd w:val="0"/>
        <w:spacing w:before="240" w:after="60"/>
        <w:textAlignment w:val="baseline"/>
        <w:outlineLvl w:val="0"/>
        <w:rPr>
          <w:rFonts w:hint="eastAsia" w:ascii="宋体" w:hAnsi="宋体" w:cs="宋体"/>
          <w:b/>
          <w:color w:val="auto"/>
          <w:kern w:val="0"/>
          <w:sz w:val="28"/>
          <w:szCs w:val="28"/>
          <w:highlight w:val="none"/>
        </w:rPr>
      </w:pPr>
      <w:bookmarkStart w:id="1502" w:name="_Toc11327"/>
      <w:bookmarkStart w:id="1503" w:name="_Toc508"/>
      <w:bookmarkStart w:id="1504" w:name="_Toc7126"/>
      <w:bookmarkStart w:id="1505" w:name="_Toc8194"/>
      <w:bookmarkStart w:id="1506" w:name="_Toc13461"/>
      <w:bookmarkStart w:id="1507" w:name="_Toc20211"/>
      <w:bookmarkStart w:id="1508" w:name="_Toc25523"/>
      <w:bookmarkStart w:id="1509" w:name="_Toc11288"/>
      <w:bookmarkStart w:id="1510" w:name="_Toc26515"/>
      <w:r>
        <w:rPr>
          <w:rFonts w:hint="eastAsia" w:ascii="宋体" w:hAnsi="宋体" w:cs="宋体"/>
          <w:b/>
          <w:color w:val="auto"/>
          <w:kern w:val="0"/>
          <w:sz w:val="28"/>
          <w:szCs w:val="28"/>
          <w:highlight w:val="none"/>
        </w:rPr>
        <w:t>十四. 须评审的其他资料</w:t>
      </w:r>
      <w:bookmarkEnd w:id="1502"/>
      <w:bookmarkEnd w:id="1503"/>
      <w:bookmarkEnd w:id="1504"/>
      <w:bookmarkEnd w:id="1505"/>
      <w:bookmarkEnd w:id="1506"/>
      <w:bookmarkEnd w:id="1507"/>
      <w:bookmarkEnd w:id="1508"/>
      <w:bookmarkEnd w:id="1509"/>
      <w:bookmarkEnd w:id="1510"/>
    </w:p>
    <w:p w14:paraId="15591E42">
      <w:pPr>
        <w:rPr>
          <w:color w:val="auto"/>
          <w:highlight w:val="none"/>
        </w:rPr>
      </w:pPr>
    </w:p>
    <w:p w14:paraId="60B2B8E7">
      <w:pPr>
        <w:rPr>
          <w:color w:val="auto"/>
          <w:highlight w:val="none"/>
        </w:rPr>
      </w:pPr>
    </w:p>
    <w:p w14:paraId="6BF654FD">
      <w:pPr>
        <w:rPr>
          <w:rFonts w:hint="eastAsia" w:ascii="宋体" w:hAnsi="宋体" w:cs="宋体"/>
          <w:color w:val="auto"/>
          <w:highlight w:val="none"/>
        </w:rPr>
      </w:pPr>
      <w:r>
        <w:rPr>
          <w:rFonts w:hint="eastAsia" w:ascii="宋体" w:hAnsi="宋体"/>
          <w:b/>
          <w:color w:val="auto"/>
          <w:sz w:val="28"/>
          <w:szCs w:val="28"/>
          <w:highlight w:val="none"/>
        </w:rPr>
        <w:t>14.1</w:t>
      </w:r>
      <w:r>
        <w:rPr>
          <w:rFonts w:hint="eastAsia" w:ascii="宋体" w:hAnsi="宋体" w:cs="宋体"/>
          <w:color w:val="auto"/>
          <w:highlight w:val="none"/>
        </w:rPr>
        <w:t>评标办法中所要求的内容，投标文件格式未尽列的，投标人可自拟格式提交。</w:t>
      </w:r>
    </w:p>
    <w:p w14:paraId="5893A7EC">
      <w:pPr>
        <w:rPr>
          <w:color w:val="auto"/>
          <w:highlight w:val="none"/>
        </w:rPr>
      </w:pPr>
    </w:p>
    <w:p w14:paraId="1FE7DA56">
      <w:pPr>
        <w:rPr>
          <w:rFonts w:hint="eastAsia" w:ascii="宋体" w:hAnsi="宋体"/>
          <w:color w:val="auto"/>
          <w:highlight w:val="none"/>
        </w:rPr>
      </w:pPr>
    </w:p>
    <w:p w14:paraId="33ED4A4F">
      <w:pPr>
        <w:rPr>
          <w:rFonts w:hint="eastAsia" w:ascii="宋体" w:hAnsi="宋体"/>
          <w:color w:val="auto"/>
          <w:highlight w:val="none"/>
        </w:rPr>
      </w:pPr>
    </w:p>
    <w:p w14:paraId="1731E2C4">
      <w:pPr>
        <w:rPr>
          <w:rFonts w:hint="eastAsia" w:ascii="宋体" w:hAnsi="宋体"/>
          <w:color w:val="auto"/>
          <w:highlight w:val="none"/>
        </w:rPr>
      </w:pPr>
    </w:p>
    <w:p w14:paraId="2EA42119">
      <w:pPr>
        <w:rPr>
          <w:color w:val="auto"/>
          <w:highlight w:val="none"/>
        </w:rPr>
      </w:pPr>
    </w:p>
    <w:p w14:paraId="7132B4EC">
      <w:pPr>
        <w:rPr>
          <w:color w:val="auto"/>
          <w:highlight w:val="none"/>
        </w:rPr>
      </w:pPr>
    </w:p>
    <w:p w14:paraId="72D5FD6A">
      <w:pPr>
        <w:rPr>
          <w:color w:val="auto"/>
          <w:highlight w:val="none"/>
        </w:rPr>
      </w:pPr>
    </w:p>
    <w:p w14:paraId="0F1AA447">
      <w:pPr>
        <w:rPr>
          <w:color w:val="auto"/>
          <w:highlight w:val="none"/>
        </w:rPr>
      </w:pPr>
    </w:p>
    <w:p w14:paraId="2A7532CC">
      <w:pPr>
        <w:rPr>
          <w:color w:val="auto"/>
          <w:highlight w:val="none"/>
        </w:rPr>
      </w:pPr>
    </w:p>
    <w:p w14:paraId="6339602B">
      <w:pPr>
        <w:rPr>
          <w:color w:val="auto"/>
          <w:highlight w:val="none"/>
        </w:rPr>
      </w:pPr>
    </w:p>
    <w:p w14:paraId="53D6A31B">
      <w:pPr>
        <w:rPr>
          <w:color w:val="auto"/>
          <w:highlight w:val="none"/>
        </w:rPr>
      </w:pPr>
    </w:p>
    <w:p w14:paraId="77484420">
      <w:pPr>
        <w:rPr>
          <w:color w:val="auto"/>
          <w:highlight w:val="none"/>
        </w:rPr>
      </w:pPr>
    </w:p>
    <w:p w14:paraId="58455FFC">
      <w:pPr>
        <w:rPr>
          <w:color w:val="auto"/>
          <w:highlight w:val="none"/>
        </w:rPr>
      </w:pPr>
    </w:p>
    <w:p w14:paraId="5635C1CB">
      <w:pPr>
        <w:rPr>
          <w:color w:val="auto"/>
          <w:highlight w:val="none"/>
        </w:rPr>
      </w:pPr>
    </w:p>
    <w:p w14:paraId="0A5EB9D8">
      <w:pPr>
        <w:rPr>
          <w:color w:val="auto"/>
          <w:highlight w:val="none"/>
        </w:rPr>
      </w:pPr>
    </w:p>
    <w:p w14:paraId="11A1B683">
      <w:pPr>
        <w:rPr>
          <w:color w:val="auto"/>
          <w:highlight w:val="none"/>
        </w:rPr>
      </w:pPr>
    </w:p>
    <w:p w14:paraId="3298616E">
      <w:pPr>
        <w:rPr>
          <w:color w:val="auto"/>
          <w:highlight w:val="none"/>
        </w:rPr>
      </w:pPr>
    </w:p>
    <w:p w14:paraId="131C6E09">
      <w:pPr>
        <w:rPr>
          <w:color w:val="auto"/>
          <w:highlight w:val="none"/>
        </w:rPr>
      </w:pPr>
    </w:p>
    <w:p w14:paraId="1B02D685">
      <w:pPr>
        <w:rPr>
          <w:color w:val="auto"/>
          <w:highlight w:val="none"/>
        </w:rPr>
      </w:pPr>
    </w:p>
    <w:p w14:paraId="38D8849A">
      <w:pPr>
        <w:rPr>
          <w:color w:val="auto"/>
          <w:highlight w:val="none"/>
        </w:rPr>
      </w:pPr>
    </w:p>
    <w:p w14:paraId="0C3E8F65">
      <w:pPr>
        <w:rPr>
          <w:color w:val="auto"/>
          <w:highlight w:val="none"/>
        </w:rPr>
      </w:pPr>
    </w:p>
    <w:p w14:paraId="73FD48B4">
      <w:pPr>
        <w:rPr>
          <w:color w:val="auto"/>
          <w:highlight w:val="none"/>
        </w:rPr>
      </w:pPr>
    </w:p>
    <w:p w14:paraId="4B50A4A0">
      <w:pPr>
        <w:rPr>
          <w:color w:val="auto"/>
          <w:highlight w:val="none"/>
        </w:rPr>
      </w:pPr>
    </w:p>
    <w:p w14:paraId="5657F17B">
      <w:pPr>
        <w:rPr>
          <w:color w:val="auto"/>
          <w:highlight w:val="none"/>
        </w:rPr>
      </w:pPr>
    </w:p>
    <w:p w14:paraId="0CCF4EDE">
      <w:pPr>
        <w:rPr>
          <w:color w:val="auto"/>
          <w:highlight w:val="none"/>
        </w:rPr>
      </w:pPr>
    </w:p>
    <w:p w14:paraId="7CCD3376">
      <w:pPr>
        <w:rPr>
          <w:color w:val="auto"/>
          <w:highlight w:val="none"/>
        </w:rPr>
      </w:pPr>
    </w:p>
    <w:p w14:paraId="1B7064D7">
      <w:pPr>
        <w:rPr>
          <w:color w:val="auto"/>
          <w:highlight w:val="none"/>
        </w:rPr>
      </w:pPr>
    </w:p>
    <w:p w14:paraId="00960C85">
      <w:pPr>
        <w:rPr>
          <w:color w:val="auto"/>
          <w:highlight w:val="none"/>
        </w:rPr>
      </w:pPr>
    </w:p>
    <w:p w14:paraId="24F371A6">
      <w:pPr>
        <w:rPr>
          <w:color w:val="auto"/>
          <w:highlight w:val="none"/>
        </w:rPr>
      </w:pPr>
    </w:p>
    <w:p w14:paraId="59BB4AA9">
      <w:pPr>
        <w:rPr>
          <w:color w:val="auto"/>
          <w:highlight w:val="none"/>
        </w:rPr>
      </w:pPr>
    </w:p>
    <w:p w14:paraId="6A804085">
      <w:pPr>
        <w:rPr>
          <w:color w:val="auto"/>
          <w:highlight w:val="none"/>
        </w:rPr>
      </w:pPr>
    </w:p>
    <w:p w14:paraId="4040EFB0">
      <w:pPr>
        <w:rPr>
          <w:color w:val="auto"/>
          <w:highlight w:val="none"/>
        </w:rPr>
      </w:pPr>
    </w:p>
    <w:p w14:paraId="621D06BD">
      <w:pPr>
        <w:rPr>
          <w:color w:val="auto"/>
          <w:highlight w:val="none"/>
        </w:rPr>
      </w:pPr>
    </w:p>
    <w:p w14:paraId="6EF768B2">
      <w:pPr>
        <w:rPr>
          <w:color w:val="auto"/>
          <w:highlight w:val="none"/>
        </w:rPr>
      </w:pPr>
    </w:p>
    <w:p w14:paraId="74083A11">
      <w:pPr>
        <w:rPr>
          <w:color w:val="auto"/>
          <w:highlight w:val="none"/>
        </w:rPr>
      </w:pPr>
    </w:p>
    <w:p w14:paraId="0D7C774A">
      <w:pPr>
        <w:rPr>
          <w:color w:val="auto"/>
          <w:highlight w:val="none"/>
        </w:rPr>
      </w:pPr>
    </w:p>
    <w:p w14:paraId="54A13D6C">
      <w:pPr>
        <w:rPr>
          <w:color w:val="auto"/>
          <w:highlight w:val="none"/>
        </w:rPr>
      </w:pPr>
    </w:p>
    <w:p w14:paraId="1593A484">
      <w:pPr>
        <w:rPr>
          <w:color w:val="auto"/>
          <w:highlight w:val="none"/>
        </w:rPr>
      </w:pPr>
    </w:p>
    <w:p w14:paraId="066E6B84">
      <w:pPr>
        <w:rPr>
          <w:color w:val="auto"/>
          <w:highlight w:val="none"/>
        </w:rPr>
      </w:pPr>
    </w:p>
    <w:p w14:paraId="74D46029">
      <w:pPr>
        <w:rPr>
          <w:color w:val="auto"/>
          <w:highlight w:val="none"/>
        </w:rPr>
      </w:pPr>
    </w:p>
    <w:p w14:paraId="137D643B">
      <w:pPr>
        <w:rPr>
          <w:color w:val="auto"/>
          <w:highlight w:val="none"/>
        </w:rPr>
      </w:pPr>
    </w:p>
    <w:p w14:paraId="0AC49ED2">
      <w:pPr>
        <w:rPr>
          <w:color w:val="auto"/>
          <w:highlight w:val="none"/>
        </w:rPr>
      </w:pPr>
    </w:p>
    <w:p w14:paraId="1F3B3F77">
      <w:pPr>
        <w:rPr>
          <w:color w:val="auto"/>
          <w:highlight w:val="none"/>
        </w:rPr>
      </w:pPr>
    </w:p>
    <w:p w14:paraId="02052FA4">
      <w:pPr>
        <w:rPr>
          <w:color w:val="auto"/>
          <w:highlight w:val="none"/>
        </w:rPr>
      </w:pPr>
    </w:p>
    <w:p w14:paraId="2458F9D7">
      <w:pPr>
        <w:rPr>
          <w:color w:val="auto"/>
          <w:highlight w:val="none"/>
        </w:rPr>
      </w:pPr>
    </w:p>
    <w:p w14:paraId="6DEB1978">
      <w:pPr>
        <w:rPr>
          <w:color w:val="auto"/>
          <w:highlight w:val="none"/>
        </w:rPr>
      </w:pPr>
    </w:p>
    <w:p w14:paraId="1BE3AB6A">
      <w:pPr>
        <w:rPr>
          <w:color w:val="auto"/>
          <w:highlight w:val="none"/>
        </w:rPr>
      </w:pPr>
    </w:p>
    <w:p w14:paraId="4DCBAD7D">
      <w:pPr>
        <w:rPr>
          <w:color w:val="auto"/>
          <w:highlight w:val="none"/>
        </w:rPr>
      </w:pPr>
    </w:p>
    <w:p w14:paraId="409F239F">
      <w:pPr>
        <w:rPr>
          <w:color w:val="auto"/>
          <w:highlight w:val="none"/>
        </w:rPr>
      </w:pPr>
    </w:p>
    <w:p w14:paraId="281D280D">
      <w:pPr>
        <w:rPr>
          <w:color w:val="auto"/>
          <w:highlight w:val="none"/>
        </w:rPr>
      </w:pPr>
    </w:p>
    <w:p w14:paraId="3A1D79D9">
      <w:pPr>
        <w:rPr>
          <w:color w:val="auto"/>
          <w:highlight w:val="none"/>
        </w:rPr>
      </w:pPr>
    </w:p>
    <w:p w14:paraId="44E528A9">
      <w:pPr>
        <w:rPr>
          <w:color w:val="auto"/>
          <w:highlight w:val="none"/>
        </w:rPr>
      </w:pPr>
    </w:p>
    <w:p w14:paraId="0EC8AE3B">
      <w:pPr>
        <w:rPr>
          <w:color w:val="auto"/>
          <w:highlight w:val="none"/>
        </w:rPr>
      </w:pPr>
    </w:p>
    <w:p w14:paraId="55AD7638">
      <w:pPr>
        <w:rPr>
          <w:color w:val="auto"/>
          <w:highlight w:val="none"/>
        </w:rPr>
      </w:pPr>
    </w:p>
    <w:p w14:paraId="7620EE6B">
      <w:pPr>
        <w:rPr>
          <w:color w:val="auto"/>
          <w:highlight w:val="none"/>
        </w:rPr>
      </w:pPr>
    </w:p>
    <w:p w14:paraId="471AF7A2">
      <w:pPr>
        <w:rPr>
          <w:color w:val="auto"/>
          <w:highlight w:val="none"/>
        </w:rPr>
      </w:pPr>
    </w:p>
    <w:p w14:paraId="6CA80743">
      <w:pPr>
        <w:rPr>
          <w:color w:val="auto"/>
          <w:highlight w:val="none"/>
        </w:rPr>
      </w:pPr>
    </w:p>
    <w:p w14:paraId="71C377C0">
      <w:pPr>
        <w:rPr>
          <w:color w:val="auto"/>
          <w:highlight w:val="none"/>
        </w:rPr>
      </w:pPr>
    </w:p>
    <w:p w14:paraId="443C9C97">
      <w:pPr>
        <w:keepNext/>
        <w:keepLines/>
        <w:adjustRightInd w:val="0"/>
        <w:spacing w:line="360" w:lineRule="auto"/>
        <w:jc w:val="left"/>
        <w:textAlignment w:val="baseline"/>
        <w:outlineLvl w:val="1"/>
        <w:rPr>
          <w:rFonts w:hint="eastAsia" w:ascii="宋体" w:hAnsi="宋体"/>
          <w:b/>
          <w:color w:val="auto"/>
          <w:sz w:val="28"/>
          <w:szCs w:val="28"/>
          <w:highlight w:val="none"/>
        </w:rPr>
      </w:pPr>
      <w:bookmarkStart w:id="1511" w:name="_Toc31517"/>
      <w:bookmarkStart w:id="1512" w:name="_Toc8844"/>
      <w:bookmarkStart w:id="1513" w:name="_Toc1096"/>
      <w:bookmarkStart w:id="1514" w:name="_Toc22342"/>
      <w:bookmarkStart w:id="1515" w:name="_Toc19059"/>
      <w:bookmarkStart w:id="1516" w:name="_Toc2691"/>
      <w:bookmarkStart w:id="1517" w:name="_Toc4819"/>
      <w:bookmarkStart w:id="1518" w:name="_Toc4691"/>
      <w:bookmarkStart w:id="1519" w:name="_Toc31457"/>
      <w:r>
        <w:rPr>
          <w:rFonts w:hint="eastAsia" w:ascii="宋体" w:hAnsi="宋体"/>
          <w:b/>
          <w:color w:val="auto"/>
          <w:sz w:val="28"/>
          <w:szCs w:val="28"/>
          <w:highlight w:val="none"/>
        </w:rPr>
        <w:t>14.2投标人认为需要提供的其他资料</w:t>
      </w:r>
      <w:bookmarkEnd w:id="1511"/>
      <w:bookmarkEnd w:id="1512"/>
      <w:bookmarkEnd w:id="1513"/>
      <w:bookmarkEnd w:id="1514"/>
      <w:bookmarkEnd w:id="1515"/>
      <w:bookmarkEnd w:id="1516"/>
      <w:bookmarkEnd w:id="1517"/>
      <w:bookmarkEnd w:id="1518"/>
      <w:bookmarkEnd w:id="1519"/>
    </w:p>
    <w:p w14:paraId="2A1B45B3">
      <w:pPr>
        <w:rPr>
          <w:color w:val="auto"/>
          <w:highlight w:val="none"/>
        </w:rPr>
      </w:pPr>
    </w:p>
    <w:p w14:paraId="154711BD">
      <w:pPr>
        <w:rPr>
          <w:color w:val="auto"/>
          <w:highlight w:val="none"/>
        </w:rPr>
      </w:pPr>
    </w:p>
    <w:p w14:paraId="1D170AB4">
      <w:pPr>
        <w:rPr>
          <w:color w:val="auto"/>
          <w:highlight w:val="none"/>
        </w:rPr>
      </w:pPr>
    </w:p>
    <w:p w14:paraId="17130BB4">
      <w:pPr>
        <w:rPr>
          <w:color w:val="auto"/>
          <w:highlight w:val="none"/>
        </w:rPr>
      </w:pPr>
    </w:p>
    <w:p w14:paraId="15F1784E">
      <w:pPr>
        <w:rPr>
          <w:color w:val="auto"/>
          <w:highlight w:val="none"/>
        </w:rPr>
      </w:pPr>
    </w:p>
    <w:p w14:paraId="4528B415">
      <w:pPr>
        <w:rPr>
          <w:color w:val="auto"/>
          <w:highlight w:val="none"/>
        </w:rPr>
      </w:pPr>
    </w:p>
    <w:p w14:paraId="6B8683D5">
      <w:pPr>
        <w:rPr>
          <w:color w:val="auto"/>
          <w:highlight w:val="none"/>
        </w:rPr>
      </w:pPr>
    </w:p>
    <w:p w14:paraId="5E85AC21">
      <w:pPr>
        <w:rPr>
          <w:color w:val="auto"/>
          <w:highlight w:val="none"/>
        </w:rPr>
      </w:pPr>
    </w:p>
    <w:p w14:paraId="6CA74CFC">
      <w:pPr>
        <w:rPr>
          <w:color w:val="auto"/>
          <w:highlight w:val="none"/>
        </w:rPr>
      </w:pPr>
    </w:p>
    <w:p w14:paraId="213B6F02">
      <w:pPr>
        <w:rPr>
          <w:color w:val="auto"/>
          <w:highlight w:val="none"/>
        </w:rPr>
      </w:pPr>
    </w:p>
    <w:p w14:paraId="7D66B308">
      <w:pPr>
        <w:rPr>
          <w:color w:val="auto"/>
          <w:highlight w:val="none"/>
        </w:rPr>
      </w:pPr>
    </w:p>
    <w:p w14:paraId="08CF52C7">
      <w:pPr>
        <w:rPr>
          <w:color w:val="auto"/>
          <w:highlight w:val="none"/>
        </w:rPr>
      </w:pPr>
    </w:p>
    <w:p w14:paraId="609D2805">
      <w:pPr>
        <w:rPr>
          <w:color w:val="auto"/>
          <w:highlight w:val="none"/>
        </w:rPr>
      </w:pPr>
    </w:p>
    <w:p w14:paraId="5E4969A5">
      <w:pPr>
        <w:rPr>
          <w:color w:val="auto"/>
          <w:highlight w:val="none"/>
        </w:rPr>
      </w:pPr>
    </w:p>
    <w:p w14:paraId="050FE4BE">
      <w:pPr>
        <w:rPr>
          <w:color w:val="auto"/>
          <w:highlight w:val="none"/>
        </w:rPr>
      </w:pPr>
    </w:p>
    <w:p w14:paraId="166AC4F4">
      <w:pPr>
        <w:rPr>
          <w:color w:val="auto"/>
          <w:highlight w:val="none"/>
        </w:rPr>
      </w:pPr>
    </w:p>
    <w:p w14:paraId="53017757">
      <w:pPr>
        <w:rPr>
          <w:color w:val="auto"/>
          <w:highlight w:val="none"/>
        </w:rPr>
      </w:pPr>
    </w:p>
    <w:p w14:paraId="4890D728">
      <w:pPr>
        <w:rPr>
          <w:color w:val="auto"/>
          <w:highlight w:val="none"/>
        </w:rPr>
      </w:pPr>
    </w:p>
    <w:p w14:paraId="17DBDF32">
      <w:pPr>
        <w:rPr>
          <w:color w:val="auto"/>
          <w:highlight w:val="none"/>
        </w:rPr>
      </w:pPr>
    </w:p>
    <w:p w14:paraId="0EB95AD8">
      <w:pPr>
        <w:rPr>
          <w:color w:val="auto"/>
          <w:highlight w:val="none"/>
        </w:rPr>
      </w:pPr>
    </w:p>
    <w:p w14:paraId="7DABCEC3">
      <w:pPr>
        <w:rPr>
          <w:color w:val="auto"/>
          <w:highlight w:val="none"/>
        </w:rPr>
      </w:pPr>
    </w:p>
    <w:p w14:paraId="36ABB63B">
      <w:pPr>
        <w:rPr>
          <w:color w:val="auto"/>
          <w:highlight w:val="none"/>
        </w:rPr>
      </w:pPr>
    </w:p>
    <w:p w14:paraId="37D0FAB2">
      <w:pPr>
        <w:rPr>
          <w:color w:val="auto"/>
          <w:highlight w:val="none"/>
        </w:rPr>
      </w:pPr>
    </w:p>
    <w:p w14:paraId="6E772A17">
      <w:pPr>
        <w:rPr>
          <w:color w:val="auto"/>
          <w:highlight w:val="none"/>
        </w:rPr>
      </w:pPr>
    </w:p>
    <w:p w14:paraId="139BECB7">
      <w:pPr>
        <w:rPr>
          <w:color w:val="auto"/>
          <w:highlight w:val="none"/>
        </w:rPr>
      </w:pPr>
    </w:p>
    <w:p w14:paraId="44AF952C">
      <w:pPr>
        <w:rPr>
          <w:color w:val="auto"/>
          <w:highlight w:val="none"/>
        </w:rPr>
      </w:pPr>
    </w:p>
    <w:p w14:paraId="5ECD3A10">
      <w:pPr>
        <w:rPr>
          <w:color w:val="auto"/>
          <w:highlight w:val="none"/>
        </w:rPr>
      </w:pPr>
    </w:p>
    <w:p w14:paraId="0D9BB291">
      <w:pPr>
        <w:rPr>
          <w:color w:val="auto"/>
          <w:highlight w:val="none"/>
        </w:rPr>
      </w:pPr>
    </w:p>
    <w:p w14:paraId="3CA224AF">
      <w:pPr>
        <w:rPr>
          <w:color w:val="auto"/>
          <w:highlight w:val="none"/>
        </w:rPr>
      </w:pPr>
    </w:p>
    <w:p w14:paraId="72B1D1F6">
      <w:pPr>
        <w:rPr>
          <w:color w:val="auto"/>
          <w:highlight w:val="none"/>
        </w:rPr>
      </w:pPr>
    </w:p>
    <w:p w14:paraId="7A2A2BFE">
      <w:pPr>
        <w:rPr>
          <w:color w:val="auto"/>
          <w:highlight w:val="none"/>
        </w:rPr>
      </w:pPr>
    </w:p>
    <w:p w14:paraId="752143FF">
      <w:pPr>
        <w:rPr>
          <w:color w:val="auto"/>
          <w:highlight w:val="none"/>
        </w:rPr>
      </w:pPr>
    </w:p>
    <w:p w14:paraId="4D54CF19">
      <w:pPr>
        <w:rPr>
          <w:color w:val="auto"/>
          <w:highlight w:val="none"/>
        </w:rPr>
      </w:pPr>
    </w:p>
    <w:p w14:paraId="2D855EF1">
      <w:pPr>
        <w:rPr>
          <w:color w:val="auto"/>
          <w:highlight w:val="none"/>
        </w:rPr>
      </w:pPr>
    </w:p>
    <w:p w14:paraId="0E35DB41">
      <w:pPr>
        <w:rPr>
          <w:color w:val="auto"/>
          <w:highlight w:val="none"/>
        </w:rPr>
      </w:pPr>
    </w:p>
    <w:p w14:paraId="14274898">
      <w:pPr>
        <w:rPr>
          <w:color w:val="auto"/>
          <w:highlight w:val="none"/>
        </w:rPr>
      </w:pPr>
    </w:p>
    <w:p w14:paraId="27FE4C09">
      <w:pPr>
        <w:rPr>
          <w:color w:val="auto"/>
          <w:highlight w:val="none"/>
        </w:rPr>
      </w:pPr>
    </w:p>
    <w:p w14:paraId="71E23CA8">
      <w:pPr>
        <w:rPr>
          <w:color w:val="auto"/>
          <w:highlight w:val="none"/>
        </w:rPr>
      </w:pPr>
    </w:p>
    <w:p w14:paraId="4222DC5F">
      <w:pPr>
        <w:rPr>
          <w:color w:val="auto"/>
          <w:highlight w:val="none"/>
        </w:rPr>
      </w:pPr>
    </w:p>
    <w:p w14:paraId="76DB46BF">
      <w:pPr>
        <w:rPr>
          <w:color w:val="auto"/>
          <w:highlight w:val="none"/>
        </w:rPr>
      </w:pPr>
    </w:p>
    <w:p w14:paraId="1E93B31C">
      <w:pPr>
        <w:rPr>
          <w:color w:val="auto"/>
          <w:highlight w:val="none"/>
        </w:rPr>
      </w:pPr>
    </w:p>
    <w:sectPr>
      <w:headerReference r:id="rId11" w:type="default"/>
      <w:footerReference r:id="rId12" w:type="default"/>
      <w:pgSz w:w="11905" w:h="16838"/>
      <w:pgMar w:top="1134" w:right="1134" w:bottom="567" w:left="1134" w:header="567" w:footer="59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东文宋体">
    <w:altName w:val="宋体"/>
    <w:panose1 w:val="00000000000000000000"/>
    <w:charset w:val="00"/>
    <w:family w:val="auto"/>
    <w:pitch w:val="default"/>
    <w:sig w:usb0="00000000" w:usb1="00000000" w:usb2="00000000" w:usb3="00000000" w:csb0="0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D23AB">
    <w:pPr>
      <w:pStyle w:val="14"/>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48DE6">
    <w:pPr>
      <w:pStyle w:val="14"/>
      <w:tabs>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57529E">
                          <w:pPr>
                            <w:pStyle w:val="1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7257529E">
                    <w:pPr>
                      <w:pStyle w:val="1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1269D09C">
                          <w:pPr>
                            <w:pStyle w:val="14"/>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&#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5hbuow4CAAAPBAAADgAAAAAAAAABACAAAAAf&#10;AQAAZHJzL2Uyb0RvYy54bWxQSwUGAAAAAAYABgBZAQAAnwUAAAAA&#10;">
              <v:fill on="f" focussize="0,0"/>
              <v:stroke on="f"/>
              <v:imagedata o:title=""/>
              <o:lock v:ext="edit" aspectratio="f"/>
              <v:textbox inset="0mm,0mm,0mm,0mm" style="mso-fit-shape-to-text:t;">
                <w:txbxContent>
                  <w:p w14:paraId="1269D09C">
                    <w:pPr>
                      <w:pStyle w:val="14"/>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3C0D1">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733045">
                          <w:pPr>
                            <w:pStyle w:val="1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14733045">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9CDEB">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904150">
                          <w:pPr>
                            <w:pStyle w:val="1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tWvccBAACdAwAADgAAAGRycy9lMm9Eb2MueG1srVPNjtMwEL6vxDtY&#10;vtNki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ljtWvccBAACdAwAADgAAAAAAAAABACAAAAAeAQAAZHJzL2Uyb0RvYy54&#10;bWxQSwUGAAAAAAYABgBZAQAAVwUAAAAA&#10;">
              <v:fill on="f" focussize="0,0"/>
              <v:stroke on="f"/>
              <v:imagedata o:title=""/>
              <o:lock v:ext="edit" aspectratio="f"/>
              <v:textbox inset="0mm,0mm,0mm,0mm" style="mso-fit-shape-to-text:t;">
                <w:txbxContent>
                  <w:p w14:paraId="79904150">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A3042">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60F214">
                          <w:pPr>
                            <w:pStyle w:val="14"/>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CNFMcBAACdAwAADgAAAGRycy9lMm9Eb2MueG1srVPNjtMwEL6vxDtY&#10;vtNkK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RhCNFMcBAACdAwAADgAAAAAAAAABACAAAAAeAQAAZHJzL2Uyb0RvYy54&#10;bWxQSwUGAAAAAAYABgBZAQAAVwUAAAAA&#10;">
              <v:fill on="f" focussize="0,0"/>
              <v:stroke on="f"/>
              <v:imagedata o:title=""/>
              <o:lock v:ext="edit" aspectratio="f"/>
              <v:textbox inset="0mm,0mm,0mm,0mm" style="mso-fit-shape-to-text:t;">
                <w:txbxContent>
                  <w:p w14:paraId="6C60F214">
                    <w:pPr>
                      <w:pStyle w:val="1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819CC">
    <w:pPr>
      <w:pStyle w:val="14"/>
      <w:ind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A635F0">
                          <w:pPr>
                            <w:pStyle w:val="14"/>
                          </w:pPr>
                          <w:r>
                            <w:fldChar w:fldCharType="begin"/>
                          </w:r>
                          <w:r>
                            <w:instrText xml:space="preserve"> PAGE  \* MERGEFORMAT </w:instrText>
                          </w:r>
                          <w:r>
                            <w:fldChar w:fldCharType="separate"/>
                          </w:r>
                          <w:r>
                            <w:t>28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57A635F0">
                    <w:pPr>
                      <w:pStyle w:val="1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BCCD7">
    <w:pPr>
      <w:pStyle w:val="11"/>
      <w:spacing w:line="14" w:lineRule="auto"/>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FEF191">
                          <w:pPr>
                            <w:pStyle w:val="14"/>
                          </w:pPr>
                          <w:r>
                            <w:fldChar w:fldCharType="begin"/>
                          </w:r>
                          <w:r>
                            <w:instrText xml:space="preserve"> PAGE  \* MERGEFORMAT </w:instrText>
                          </w:r>
                          <w:r>
                            <w:fldChar w:fldCharType="separate"/>
                          </w:r>
                          <w:r>
                            <w:t>85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14FEF191">
                    <w:pPr>
                      <w:pStyle w:val="14"/>
                    </w:pPr>
                    <w:r>
                      <w:fldChar w:fldCharType="begin"/>
                    </w:r>
                    <w:r>
                      <w:instrText xml:space="preserve"> PAGE  \* MERGEFORMAT </w:instrText>
                    </w:r>
                    <w:r>
                      <w:fldChar w:fldCharType="separate"/>
                    </w:r>
                    <w:r>
                      <w:t>85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27B0B">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26499">
    <w:pPr>
      <w:pStyle w:val="1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B0235">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ECAA6"/>
    <w:multiLevelType w:val="singleLevel"/>
    <w:tmpl w:val="94DECAA6"/>
    <w:lvl w:ilvl="0" w:tentative="0">
      <w:start w:val="2"/>
      <w:numFmt w:val="decimal"/>
      <w:suff w:val="nothing"/>
      <w:lvlText w:val="%1）"/>
      <w:lvlJc w:val="left"/>
    </w:lvl>
  </w:abstractNum>
  <w:abstractNum w:abstractNumId="1">
    <w:nsid w:val="AAF1F8DF"/>
    <w:multiLevelType w:val="singleLevel"/>
    <w:tmpl w:val="AAF1F8DF"/>
    <w:lvl w:ilvl="0" w:tentative="0">
      <w:start w:val="1"/>
      <w:numFmt w:val="decimal"/>
      <w:lvlText w:val="%1)"/>
      <w:lvlJc w:val="left"/>
      <w:pPr>
        <w:tabs>
          <w:tab w:val="left" w:pos="312"/>
        </w:tabs>
      </w:pPr>
    </w:lvl>
  </w:abstractNum>
  <w:abstractNum w:abstractNumId="2">
    <w:nsid w:val="BB45706F"/>
    <w:multiLevelType w:val="singleLevel"/>
    <w:tmpl w:val="BB45706F"/>
    <w:lvl w:ilvl="0" w:tentative="0">
      <w:start w:val="1"/>
      <w:numFmt w:val="decimal"/>
      <w:suff w:val="nothing"/>
      <w:lvlText w:val="%1）"/>
      <w:lvlJc w:val="left"/>
    </w:lvl>
  </w:abstractNum>
  <w:abstractNum w:abstractNumId="3">
    <w:nsid w:val="C8E8BE57"/>
    <w:multiLevelType w:val="singleLevel"/>
    <w:tmpl w:val="C8E8BE57"/>
    <w:lvl w:ilvl="0" w:tentative="0">
      <w:start w:val="5"/>
      <w:numFmt w:val="decimal"/>
      <w:lvlText w:val="%1."/>
      <w:lvlJc w:val="left"/>
      <w:pPr>
        <w:tabs>
          <w:tab w:val="left" w:pos="312"/>
        </w:tabs>
      </w:pPr>
    </w:lvl>
  </w:abstractNum>
  <w:abstractNum w:abstractNumId="4">
    <w:nsid w:val="CBDC9C23"/>
    <w:multiLevelType w:val="multilevel"/>
    <w:tmpl w:val="CBDC9C23"/>
    <w:lvl w:ilvl="0" w:tentative="0">
      <w:start w:val="1"/>
      <w:numFmt w:val="decimal"/>
      <w:lvlText w:val="%1"/>
      <w:lvlJc w:val="left"/>
      <w:pPr>
        <w:tabs>
          <w:tab w:val="left" w:pos="420"/>
        </w:tabs>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D56B394C"/>
    <w:multiLevelType w:val="singleLevel"/>
    <w:tmpl w:val="D56B394C"/>
    <w:lvl w:ilvl="0" w:tentative="0">
      <w:start w:val="1"/>
      <w:numFmt w:val="decimal"/>
      <w:suff w:val="nothing"/>
      <w:lvlText w:val="（%1）"/>
      <w:lvlJc w:val="left"/>
    </w:lvl>
  </w:abstractNum>
  <w:abstractNum w:abstractNumId="6">
    <w:nsid w:val="DF3ECDA3"/>
    <w:multiLevelType w:val="singleLevel"/>
    <w:tmpl w:val="DF3ECDA3"/>
    <w:lvl w:ilvl="0" w:tentative="0">
      <w:start w:val="18"/>
      <w:numFmt w:val="decimal"/>
      <w:suff w:val="nothing"/>
      <w:lvlText w:val="%1）"/>
      <w:lvlJc w:val="left"/>
    </w:lvl>
  </w:abstractNum>
  <w:abstractNum w:abstractNumId="7">
    <w:nsid w:val="DFFF0A13"/>
    <w:multiLevelType w:val="singleLevel"/>
    <w:tmpl w:val="DFFF0A13"/>
    <w:lvl w:ilvl="0" w:tentative="0">
      <w:start w:val="6"/>
      <w:numFmt w:val="decimal"/>
      <w:lvlText w:val="%1)"/>
      <w:lvlJc w:val="left"/>
      <w:pPr>
        <w:tabs>
          <w:tab w:val="left" w:pos="312"/>
        </w:tabs>
      </w:pPr>
    </w:lvl>
  </w:abstractNum>
  <w:abstractNum w:abstractNumId="8">
    <w:nsid w:val="FEF7E382"/>
    <w:multiLevelType w:val="singleLevel"/>
    <w:tmpl w:val="FEF7E382"/>
    <w:lvl w:ilvl="0" w:tentative="0">
      <w:start w:val="1"/>
      <w:numFmt w:val="decimal"/>
      <w:suff w:val="nothing"/>
      <w:lvlText w:val="%1）"/>
      <w:lvlJc w:val="left"/>
    </w:lvl>
  </w:abstractNum>
  <w:abstractNum w:abstractNumId="9">
    <w:nsid w:val="3EB61E8C"/>
    <w:multiLevelType w:val="multilevel"/>
    <w:tmpl w:val="3EB61E8C"/>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190460C"/>
    <w:multiLevelType w:val="singleLevel"/>
    <w:tmpl w:val="5190460C"/>
    <w:lvl w:ilvl="0" w:tentative="0">
      <w:start w:val="2"/>
      <w:numFmt w:val="decimal"/>
      <w:suff w:val="nothing"/>
      <w:lvlText w:val="（%1）"/>
      <w:lvlJc w:val="left"/>
    </w:lvl>
  </w:abstractNum>
  <w:abstractNum w:abstractNumId="11">
    <w:nsid w:val="640B502D"/>
    <w:multiLevelType w:val="multilevel"/>
    <w:tmpl w:val="640B502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9FA4D90"/>
    <w:multiLevelType w:val="multilevel"/>
    <w:tmpl w:val="79FA4D90"/>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EFAC46A"/>
    <w:multiLevelType w:val="multilevel"/>
    <w:tmpl w:val="7EFAC46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9"/>
  </w:num>
  <w:num w:numId="2">
    <w:abstractNumId w:val="12"/>
  </w:num>
  <w:num w:numId="3">
    <w:abstractNumId w:val="11"/>
  </w:num>
  <w:num w:numId="4">
    <w:abstractNumId w:val="10"/>
  </w:num>
  <w:num w:numId="5">
    <w:abstractNumId w:val="13"/>
  </w:num>
  <w:num w:numId="6">
    <w:abstractNumId w:val="8"/>
  </w:num>
  <w:num w:numId="7">
    <w:abstractNumId w:val="6"/>
  </w:num>
  <w:num w:numId="8">
    <w:abstractNumId w:val="4"/>
  </w:num>
  <w:num w:numId="9">
    <w:abstractNumId w:val="2"/>
  </w:num>
  <w:num w:numId="10">
    <w:abstractNumId w:val="0"/>
  </w:num>
  <w:num w:numId="11">
    <w:abstractNumId w:val="7"/>
  </w:num>
  <w:num w:numId="12">
    <w:abstractNumId w:val="3"/>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YjFkODI3NWJjZjFjMmIwMWJmYmIwNmU5NDYzZDIifQ=="/>
  </w:docVars>
  <w:rsids>
    <w:rsidRoot w:val="5E701E32"/>
    <w:rsid w:val="00455C71"/>
    <w:rsid w:val="004866FD"/>
    <w:rsid w:val="00B61333"/>
    <w:rsid w:val="00BA0C24"/>
    <w:rsid w:val="00BA0E69"/>
    <w:rsid w:val="00C4798B"/>
    <w:rsid w:val="00DC337A"/>
    <w:rsid w:val="00F20B53"/>
    <w:rsid w:val="02941DB8"/>
    <w:rsid w:val="03D66C25"/>
    <w:rsid w:val="04AF6BB6"/>
    <w:rsid w:val="05575A3F"/>
    <w:rsid w:val="0A1D2B4E"/>
    <w:rsid w:val="0B4778F4"/>
    <w:rsid w:val="0BBB5929"/>
    <w:rsid w:val="0D0878D0"/>
    <w:rsid w:val="0D901577"/>
    <w:rsid w:val="0FC70C60"/>
    <w:rsid w:val="11920EDB"/>
    <w:rsid w:val="1353003E"/>
    <w:rsid w:val="17FA7E09"/>
    <w:rsid w:val="18715E97"/>
    <w:rsid w:val="19D60039"/>
    <w:rsid w:val="1A8B34D8"/>
    <w:rsid w:val="1B0F59A2"/>
    <w:rsid w:val="1BC752FA"/>
    <w:rsid w:val="1E631B56"/>
    <w:rsid w:val="1F0B47D6"/>
    <w:rsid w:val="1F360023"/>
    <w:rsid w:val="1FB234F9"/>
    <w:rsid w:val="1FBB72EF"/>
    <w:rsid w:val="1FCA14B3"/>
    <w:rsid w:val="202328FC"/>
    <w:rsid w:val="221F458E"/>
    <w:rsid w:val="224E6417"/>
    <w:rsid w:val="24A733E7"/>
    <w:rsid w:val="25A34FD8"/>
    <w:rsid w:val="25B9581F"/>
    <w:rsid w:val="25D730C3"/>
    <w:rsid w:val="266A4095"/>
    <w:rsid w:val="27DC3E57"/>
    <w:rsid w:val="29567CB3"/>
    <w:rsid w:val="2A2E018E"/>
    <w:rsid w:val="2BF7AB53"/>
    <w:rsid w:val="2C806A2E"/>
    <w:rsid w:val="2D4E7DC1"/>
    <w:rsid w:val="2ED30832"/>
    <w:rsid w:val="30224607"/>
    <w:rsid w:val="35FD428B"/>
    <w:rsid w:val="379D4786"/>
    <w:rsid w:val="39BB52B8"/>
    <w:rsid w:val="3A5763B7"/>
    <w:rsid w:val="3C9F7360"/>
    <w:rsid w:val="3CE83A6F"/>
    <w:rsid w:val="3DC456E6"/>
    <w:rsid w:val="3EB74EC1"/>
    <w:rsid w:val="3EBD94AF"/>
    <w:rsid w:val="3F080C0B"/>
    <w:rsid w:val="405478DB"/>
    <w:rsid w:val="43064690"/>
    <w:rsid w:val="436B11EE"/>
    <w:rsid w:val="44E02E1A"/>
    <w:rsid w:val="44EE6A61"/>
    <w:rsid w:val="47144723"/>
    <w:rsid w:val="491B2ECA"/>
    <w:rsid w:val="4CB12D62"/>
    <w:rsid w:val="4D4ACE52"/>
    <w:rsid w:val="50877306"/>
    <w:rsid w:val="53615E65"/>
    <w:rsid w:val="53E72AAB"/>
    <w:rsid w:val="54D2170D"/>
    <w:rsid w:val="554F0F29"/>
    <w:rsid w:val="57AF7551"/>
    <w:rsid w:val="58B471AC"/>
    <w:rsid w:val="5AC221A6"/>
    <w:rsid w:val="5E701E32"/>
    <w:rsid w:val="5F2D3CB4"/>
    <w:rsid w:val="5F404107"/>
    <w:rsid w:val="5F621543"/>
    <w:rsid w:val="610B35CF"/>
    <w:rsid w:val="64D67799"/>
    <w:rsid w:val="674A128B"/>
    <w:rsid w:val="6A9C713A"/>
    <w:rsid w:val="6C8B034B"/>
    <w:rsid w:val="6C94136F"/>
    <w:rsid w:val="6CD02EB0"/>
    <w:rsid w:val="6CE37D4D"/>
    <w:rsid w:val="6CE453FC"/>
    <w:rsid w:val="6FFB4FC6"/>
    <w:rsid w:val="6FFFB8A5"/>
    <w:rsid w:val="706A06EC"/>
    <w:rsid w:val="717A5FAA"/>
    <w:rsid w:val="7542686F"/>
    <w:rsid w:val="76DD6E71"/>
    <w:rsid w:val="76F8557F"/>
    <w:rsid w:val="78BA5325"/>
    <w:rsid w:val="7A6D0E54"/>
    <w:rsid w:val="7AFE1648"/>
    <w:rsid w:val="7B5535C1"/>
    <w:rsid w:val="7D8949AE"/>
    <w:rsid w:val="7E317EEA"/>
    <w:rsid w:val="7FEB602F"/>
    <w:rsid w:val="9FE9C631"/>
    <w:rsid w:val="BB85213D"/>
    <w:rsid w:val="D7FA88DC"/>
    <w:rsid w:val="ED5B6F90"/>
    <w:rsid w:val="EE7D7821"/>
    <w:rsid w:val="EE98C746"/>
    <w:rsid w:val="F56F63C1"/>
    <w:rsid w:val="FBF7E794"/>
    <w:rsid w:val="FDC737C8"/>
    <w:rsid w:val="FE3F3F08"/>
    <w:rsid w:val="FFADC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6" w:lineRule="auto"/>
      <w:jc w:val="both"/>
      <w:outlineLvl w:val="0"/>
    </w:pPr>
    <w:rPr>
      <w:rFonts w:ascii="Times New Roman" w:hAnsi="Times New Roman" w:eastAsia="宋体" w:cs="Times New Roman"/>
      <w:b/>
      <w:kern w:val="44"/>
      <w:sz w:val="44"/>
      <w:szCs w:val="24"/>
      <w:lang w:val="en-US" w:eastAsia="zh-CN" w:bidi="ar-SA"/>
    </w:rPr>
  </w:style>
  <w:style w:type="paragraph" w:styleId="3">
    <w:name w:val="heading 2"/>
    <w:basedOn w:val="1"/>
    <w:next w:val="1"/>
    <w:qFormat/>
    <w:uiPriority w:val="0"/>
    <w:pPr>
      <w:keepNext/>
      <w:keepLines/>
      <w:widowControl w:val="0"/>
      <w:spacing w:before="260" w:after="260" w:line="410" w:lineRule="auto"/>
      <w:jc w:val="both"/>
      <w:outlineLvl w:val="1"/>
    </w:pPr>
    <w:rPr>
      <w:rFonts w:ascii="Arial" w:hAnsi="Arial" w:eastAsia="黑体" w:cs="Times New Roman"/>
      <w:b/>
      <w:sz w:val="32"/>
      <w:szCs w:val="24"/>
      <w:lang w:val="en-US" w:eastAsia="zh-CN" w:bidi="ar-SA"/>
    </w:rPr>
  </w:style>
  <w:style w:type="paragraph" w:styleId="4">
    <w:name w:val="heading 3"/>
    <w:next w:val="1"/>
    <w:qFormat/>
    <w:uiPriority w:val="0"/>
    <w:pPr>
      <w:keepNext/>
      <w:keepLines/>
      <w:widowControl w:val="0"/>
      <w:spacing w:line="360" w:lineRule="auto"/>
      <w:jc w:val="both"/>
      <w:outlineLvl w:val="2"/>
    </w:pPr>
    <w:rPr>
      <w:rFonts w:ascii="Times New Roman" w:hAnsi="Times New Roman" w:eastAsia="宋体" w:cs="Times New Roman"/>
      <w:b/>
      <w:bCs/>
      <w:sz w:val="24"/>
      <w:szCs w:val="32"/>
      <w:lang w:val="en-US" w:eastAsia="zh-CN" w:bidi="ar-SA"/>
    </w:rPr>
  </w:style>
  <w:style w:type="paragraph" w:styleId="5">
    <w:name w:val="heading 4"/>
    <w:next w:val="1"/>
    <w:qFormat/>
    <w:uiPriority w:val="0"/>
    <w:pPr>
      <w:keepNext/>
      <w:keepLines/>
      <w:widowControl w:val="0"/>
      <w:spacing w:line="360" w:lineRule="auto"/>
      <w:jc w:val="both"/>
      <w:outlineLvl w:val="3"/>
    </w:pPr>
    <w:rPr>
      <w:rFonts w:ascii="Arial" w:hAnsi="Arial" w:eastAsia="宋体" w:cs="Times New Roman"/>
      <w:b/>
      <w:bCs/>
      <w:szCs w:val="28"/>
      <w:lang w:val="en-US" w:eastAsia="zh-CN" w:bidi="ar-SA"/>
    </w:rPr>
  </w:style>
  <w:style w:type="paragraph" w:styleId="6">
    <w:name w:val="heading 5"/>
    <w:next w:val="1"/>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firstLineChars="200"/>
    </w:pPr>
    <w:rPr>
      <w:szCs w:val="20"/>
    </w:rPr>
  </w:style>
  <w:style w:type="paragraph" w:styleId="8">
    <w:name w:val="toa heading"/>
    <w:basedOn w:val="1"/>
    <w:next w:val="1"/>
    <w:qFormat/>
    <w:uiPriority w:val="0"/>
    <w:pPr>
      <w:widowControl w:val="0"/>
      <w:autoSpaceDE w:val="0"/>
      <w:autoSpaceDN w:val="0"/>
      <w:adjustRightInd w:val="0"/>
      <w:spacing w:before="120" w:after="60" w:line="360" w:lineRule="auto"/>
      <w:ind w:right="-425"/>
      <w:jc w:val="both"/>
    </w:pPr>
    <w:rPr>
      <w:rFonts w:ascii="Arial" w:hAnsi="Arial" w:eastAsia="宋体" w:cs="Times New Roman"/>
      <w:color w:val="000000"/>
      <w:kern w:val="2"/>
      <w:sz w:val="24"/>
      <w:lang w:val="en-US" w:eastAsia="zh-CN" w:bidi="ar-SA"/>
    </w:rPr>
  </w:style>
  <w:style w:type="paragraph" w:styleId="9">
    <w:name w:val="annotation text"/>
    <w:unhideWhenUsed/>
    <w:qFormat/>
    <w:uiPriority w:val="0"/>
    <w:pPr>
      <w:widowControl w:val="0"/>
    </w:pPr>
    <w:rPr>
      <w:rFonts w:ascii="Times New Roman" w:hAnsi="Times New Roman" w:eastAsia="宋体" w:cs="Times New Roman"/>
      <w:kern w:val="2"/>
      <w:sz w:val="21"/>
      <w:szCs w:val="24"/>
      <w:lang w:val="en-US" w:eastAsia="zh-CN" w:bidi="ar-SA"/>
    </w:rPr>
  </w:style>
  <w:style w:type="paragraph" w:styleId="10">
    <w:name w:val="Body Text 3"/>
    <w:qFormat/>
    <w:uiPriority w:val="0"/>
    <w:pPr>
      <w:widowControl w:val="0"/>
      <w:spacing w:after="120"/>
      <w:jc w:val="both"/>
    </w:pPr>
    <w:rPr>
      <w:rFonts w:ascii="Calibri" w:hAnsi="Calibri" w:eastAsia="宋体" w:cs="Times New Roman"/>
      <w:kern w:val="2"/>
      <w:sz w:val="16"/>
      <w:szCs w:val="16"/>
      <w:lang w:val="en-US" w:eastAsia="zh-CN" w:bidi="ar-SA"/>
    </w:rPr>
  </w:style>
  <w:style w:type="paragraph" w:styleId="11">
    <w:name w:val="Body Text"/>
    <w:basedOn w:val="1"/>
    <w:unhideWhenUsed/>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2">
    <w:name w:val="Body Text Indent"/>
    <w:qFormat/>
    <w:uiPriority w:val="0"/>
    <w:pPr>
      <w:widowControl w:val="0"/>
      <w:autoSpaceDE w:val="0"/>
      <w:autoSpaceDN w:val="0"/>
      <w:adjustRightInd w:val="0"/>
      <w:spacing w:line="0" w:lineRule="atLeast"/>
      <w:ind w:firstLine="525"/>
      <w:jc w:val="both"/>
      <w:textAlignment w:val="top"/>
    </w:pPr>
    <w:rPr>
      <w:rFonts w:ascii="宋体" w:hAnsi="宋体" w:eastAsia="宋体" w:cs="Times New Roman"/>
      <w:color w:val="000000"/>
      <w:kern w:val="2"/>
      <w:sz w:val="21"/>
      <w:szCs w:val="24"/>
      <w:lang w:val="en-US" w:eastAsia="zh-CN" w:bidi="ar-SA"/>
    </w:rPr>
  </w:style>
  <w:style w:type="paragraph" w:styleId="13">
    <w:name w:val="toc 3"/>
    <w:next w:val="1"/>
    <w:qFormat/>
    <w:uiPriority w:val="39"/>
    <w:pPr>
      <w:widowControl w:val="0"/>
      <w:ind w:left="400" w:leftChars="400"/>
      <w:jc w:val="both"/>
    </w:pPr>
    <w:rPr>
      <w:rFonts w:ascii="Times New Roman" w:hAnsi="Times New Roman" w:eastAsia="宋体" w:cs="Times New Roman"/>
      <w:kern w:val="2"/>
      <w:sz w:val="21"/>
      <w:szCs w:val="24"/>
      <w:lang w:val="en-US" w:eastAsia="zh-CN" w:bidi="ar-SA"/>
    </w:rPr>
  </w:style>
  <w:style w:type="paragraph" w:styleId="14">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5">
    <w:name w:val="header"/>
    <w:unhideWhenUsed/>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6">
    <w:name w:val="toc 1"/>
    <w:next w:val="1"/>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toc 2"/>
    <w:next w:val="1"/>
    <w:qFormat/>
    <w:uiPriority w:val="39"/>
    <w:pPr>
      <w:widowControl w:val="0"/>
      <w:ind w:left="200" w:leftChars="200"/>
      <w:jc w:val="both"/>
    </w:pPr>
    <w:rPr>
      <w:rFonts w:ascii="Times New Roman" w:hAnsi="Times New Roman" w:eastAsia="宋体" w:cs="Times New Roman"/>
      <w:kern w:val="2"/>
      <w:sz w:val="21"/>
      <w:szCs w:val="24"/>
      <w:lang w:val="en-US" w:eastAsia="zh-CN" w:bidi="ar-SA"/>
    </w:rPr>
  </w:style>
  <w:style w:type="paragraph" w:styleId="18">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19">
    <w:name w:val="Body Text First Indent"/>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20">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22">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4">
    <w:name w:val="Emphasis"/>
    <w:qFormat/>
    <w:uiPriority w:val="0"/>
    <w:rPr>
      <w:i/>
    </w:rPr>
  </w:style>
  <w:style w:type="character" w:styleId="25">
    <w:name w:val="annotation reference"/>
    <w:basedOn w:val="23"/>
    <w:qFormat/>
    <w:uiPriority w:val="0"/>
    <w:rPr>
      <w:sz w:val="21"/>
      <w:szCs w:val="21"/>
    </w:rPr>
  </w:style>
  <w:style w:type="paragraph" w:customStyle="1" w:styleId="26">
    <w:name w:val="p0"/>
    <w:qFormat/>
    <w:uiPriority w:val="0"/>
    <w:pPr>
      <w:jc w:val="both"/>
    </w:pPr>
    <w:rPr>
      <w:rFonts w:ascii="Times New Roman" w:hAnsi="Times New Roman" w:eastAsia="宋体" w:cs="Times New Roman"/>
      <w:sz w:val="21"/>
      <w:szCs w:val="21"/>
      <w:lang w:val="en-US" w:eastAsia="zh-CN" w:bidi="ar-SA"/>
    </w:rPr>
  </w:style>
  <w:style w:type="paragraph" w:styleId="27">
    <w:name w:val="List Paragraph"/>
    <w:basedOn w:val="1"/>
    <w:qFormat/>
    <w:uiPriority w:val="0"/>
    <w:pPr>
      <w:widowControl/>
      <w:ind w:firstLine="420" w:firstLineChars="200"/>
      <w:jc w:val="left"/>
    </w:pPr>
    <w:rPr>
      <w:rFonts w:ascii="Calibri" w:hAnsi="Calibri"/>
      <w:szCs w:val="22"/>
    </w:rPr>
  </w:style>
  <w:style w:type="paragraph" w:customStyle="1" w:styleId="28">
    <w:name w:val="Table Text"/>
    <w:semiHidden/>
    <w:qFormat/>
    <w:uiPriority w:val="0"/>
    <w:pPr>
      <w:widowControl w:val="0"/>
      <w:jc w:val="both"/>
    </w:pPr>
    <w:rPr>
      <w:rFonts w:ascii="宋体" w:hAnsi="宋体" w:eastAsia="宋体" w:cs="宋体"/>
      <w:kern w:val="2"/>
      <w:sz w:val="22"/>
      <w:szCs w:val="22"/>
      <w:lang w:val="en-US" w:eastAsia="en-US" w:bidi="ar-SA"/>
    </w:rPr>
  </w:style>
  <w:style w:type="table" w:customStyle="1" w:styleId="29">
    <w:name w:val="Table Normal"/>
    <w:unhideWhenUsed/>
    <w:qFormat/>
    <w:uiPriority w:val="0"/>
    <w:tblPr>
      <w:tblCellMar>
        <w:top w:w="0" w:type="dxa"/>
        <w:left w:w="0" w:type="dxa"/>
        <w:bottom w:w="0" w:type="dxa"/>
        <w:right w:w="0" w:type="dxa"/>
      </w:tblCellMar>
    </w:tblPr>
  </w:style>
  <w:style w:type="character" w:customStyle="1" w:styleId="30">
    <w:name w:val="font41"/>
    <w:basedOn w:val="23"/>
    <w:qFormat/>
    <w:uiPriority w:val="0"/>
    <w:rPr>
      <w:rFonts w:hint="eastAsia" w:ascii="宋体" w:hAnsi="宋体" w:eastAsia="宋体" w:cs="宋体"/>
      <w:b/>
      <w:bCs/>
      <w:color w:val="000000"/>
      <w:sz w:val="24"/>
      <w:szCs w:val="24"/>
      <w:u w:val="none"/>
    </w:rPr>
  </w:style>
  <w:style w:type="character" w:customStyle="1" w:styleId="31">
    <w:name w:val="font21"/>
    <w:qFormat/>
    <w:uiPriority w:val="0"/>
    <w:rPr>
      <w:rFonts w:hint="eastAsia" w:ascii="宋体" w:hAnsi="宋体" w:eastAsia="宋体" w:cs="宋体"/>
      <w:b/>
      <w:bCs/>
      <w:color w:val="000000"/>
      <w:sz w:val="24"/>
      <w:szCs w:val="24"/>
      <w:u w:val="none"/>
    </w:rPr>
  </w:style>
  <w:style w:type="paragraph" w:customStyle="1" w:styleId="32">
    <w:name w:val="表格内容"/>
    <w:qFormat/>
    <w:uiPriority w:val="0"/>
    <w:pPr>
      <w:widowControl w:val="0"/>
      <w:spacing w:line="360" w:lineRule="auto"/>
      <w:jc w:val="both"/>
    </w:pPr>
    <w:rPr>
      <w:rFonts w:ascii="Calibri" w:hAnsi="Calibri" w:eastAsia="宋体" w:cs="Times New Roman"/>
      <w:kern w:val="2"/>
      <w:sz w:val="24"/>
      <w:szCs w:val="22"/>
      <w:lang w:val="en-US" w:eastAsia="zh-CN" w:bidi="ar-SA"/>
    </w:rPr>
  </w:style>
  <w:style w:type="paragraph" w:customStyle="1" w:styleId="33">
    <w:name w:val="正文缩进2格"/>
    <w:qFormat/>
    <w:uiPriority w:val="0"/>
    <w:pPr>
      <w:widowControl w:val="0"/>
      <w:spacing w:line="600" w:lineRule="exact"/>
      <w:ind w:firstLine="639" w:firstLineChars="206"/>
      <w:jc w:val="both"/>
    </w:pPr>
    <w:rPr>
      <w:rFonts w:ascii="仿宋_GB2312" w:hAnsi="宋体" w:eastAsia="仿宋_GB2312" w:cs="Times New Roman"/>
      <w:sz w:val="31"/>
      <w:szCs w:val="28"/>
      <w:lang w:val="zh-CN" w:eastAsia="zh-CN" w:bidi="ar-SA"/>
    </w:rPr>
  </w:style>
  <w:style w:type="character" w:customStyle="1" w:styleId="34">
    <w:name w:val="fontstyle01"/>
    <w:qFormat/>
    <w:uiPriority w:val="0"/>
    <w:rPr>
      <w:rFonts w:hint="eastAsia" w:ascii="宋体" w:hAnsi="宋体" w:eastAsia="宋体" w:cs="宋体"/>
      <w:color w:val="000000"/>
      <w:sz w:val="28"/>
      <w:szCs w:val="28"/>
    </w:rPr>
  </w:style>
  <w:style w:type="character" w:customStyle="1" w:styleId="35">
    <w:name w:val="font61"/>
    <w:basedOn w:val="23"/>
    <w:qFormat/>
    <w:uiPriority w:val="0"/>
    <w:rPr>
      <w:rFonts w:hint="eastAsia" w:ascii="等线" w:hAnsi="等线" w:eastAsia="等线" w:cs="等线"/>
      <w:color w:val="000000"/>
      <w:sz w:val="22"/>
      <w:szCs w:val="22"/>
      <w:u w:val="none"/>
    </w:rPr>
  </w:style>
  <w:style w:type="character" w:customStyle="1" w:styleId="36">
    <w:name w:val="font51"/>
    <w:basedOn w:val="23"/>
    <w:qFormat/>
    <w:uiPriority w:val="0"/>
    <w:rPr>
      <w:rFonts w:hint="eastAsia" w:ascii="等线" w:hAnsi="等线" w:eastAsia="等线" w:cs="等线"/>
      <w:color w:val="000000"/>
      <w:sz w:val="21"/>
      <w:szCs w:val="21"/>
      <w:u w:val="none"/>
    </w:rPr>
  </w:style>
  <w:style w:type="paragraph" w:customStyle="1" w:styleId="37">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8">
    <w:name w:val="格式2"/>
    <w:basedOn w:val="3"/>
    <w:qFormat/>
    <w:uiPriority w:val="0"/>
    <w:pPr>
      <w:autoSpaceDE w:val="0"/>
      <w:autoSpaceDN w:val="0"/>
      <w:adjustRightInd w:val="0"/>
      <w:spacing w:line="416" w:lineRule="atLeast"/>
      <w:textAlignment w:val="baseline"/>
    </w:pPr>
    <w:rPr>
      <w:rFonts w:ascii="黑体" w:hAnsi="Times New Roman"/>
      <w:kern w:val="0"/>
      <w:sz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146</Pages>
  <Words>81884</Words>
  <Characters>86937</Characters>
  <Lines>669</Lines>
  <Paragraphs>188</Paragraphs>
  <TotalTime>0</TotalTime>
  <ScaleCrop>false</ScaleCrop>
  <LinksUpToDate>false</LinksUpToDate>
  <CharactersWithSpaces>91276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2025-03-22T21:40:00Z</dcterms:created>
  <dc:creator>祝斌</dc:creator>
  <cp:lastModifiedBy>admin</cp:lastModifiedBy>
  <cp:lastPrinted>2025-05-12T04:06:00Z</cp:lastPrinted>
  <dcterms:modified xsi:type="dcterms:W3CDTF">2025-05-16T03:06:15Z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5698C13C8B8C409A97EDEAAA60C1E399_13</vt:lpwstr>
  </property>
  <property fmtid="{D5CDD505-2E9C-101B-9397-08002B2CF9AE}" pid="4" name="KSOTemplateDocerSaveRecord">
    <vt:lpwstr>eyJoZGlkIjoiN2I2NmMwNzIxMjhlNGMyY2JiODI1OWMzMDRkYzNhZGYiLCJ1c2VySWQiOiI0NDY5NjA3MjYifQ==</vt:lpwstr>
  </property>
</Properties>
</file>