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A733CC3">
      <w:pPr>
        <w:spacing w:line="360" w:lineRule="auto"/>
        <w:ind w:firstLine="723" w:firstLineChars="200"/>
        <w:jc w:val="center"/>
        <w:rPr>
          <w:rFonts w:hint="eastAsia" w:ascii="仿宋_GB2312" w:hAnsi="宋体" w:eastAsia="仿宋_GB2312" w:cs="Times New Roman"/>
          <w:b/>
          <w:bCs w:val="0"/>
          <w:color w:val="auto"/>
          <w:sz w:val="36"/>
          <w:szCs w:val="36"/>
          <w:highlight w:val="none"/>
        </w:rPr>
      </w:pPr>
    </w:p>
    <w:p w14:paraId="113B0123">
      <w:pPr>
        <w:pStyle w:val="11"/>
        <w:kinsoku w:val="0"/>
        <w:overflowPunct w:val="0"/>
        <w:ind w:left="0"/>
        <w:rPr>
          <w:rFonts w:hint="eastAsia" w:ascii="Times New Roman" w:hAnsi="Times New Roman" w:eastAsia="Times New Roman"/>
          <w:color w:val="auto"/>
          <w:sz w:val="20"/>
          <w:szCs w:val="24"/>
          <w:highlight w:val="none"/>
        </w:rPr>
      </w:pPr>
    </w:p>
    <w:p w14:paraId="2315ADA9">
      <w:pPr>
        <w:pStyle w:val="11"/>
        <w:kinsoku w:val="0"/>
        <w:overflowPunct w:val="0"/>
        <w:ind w:left="0"/>
        <w:rPr>
          <w:rFonts w:hint="eastAsia" w:ascii="Times New Roman" w:hAnsi="Times New Roman" w:eastAsia="Times New Roman"/>
          <w:color w:val="auto"/>
          <w:sz w:val="20"/>
          <w:szCs w:val="24"/>
          <w:highlight w:val="none"/>
        </w:rPr>
      </w:pPr>
    </w:p>
    <w:p w14:paraId="6C69E2A1">
      <w:pPr>
        <w:pStyle w:val="11"/>
        <w:kinsoku w:val="0"/>
        <w:overflowPunct w:val="0"/>
        <w:ind w:left="0"/>
        <w:rPr>
          <w:rFonts w:hint="eastAsia" w:ascii="Times New Roman" w:hAnsi="Times New Roman" w:eastAsia="Times New Roman"/>
          <w:color w:val="auto"/>
          <w:sz w:val="20"/>
          <w:szCs w:val="24"/>
          <w:highlight w:val="none"/>
        </w:rPr>
      </w:pPr>
    </w:p>
    <w:p w14:paraId="5B32E640">
      <w:pPr>
        <w:pStyle w:val="11"/>
        <w:kinsoku w:val="0"/>
        <w:overflowPunct w:val="0"/>
        <w:ind w:left="0"/>
        <w:rPr>
          <w:rFonts w:hint="eastAsia" w:ascii="Times New Roman" w:hAnsi="Times New Roman" w:eastAsia="Times New Roman"/>
          <w:color w:val="auto"/>
          <w:sz w:val="20"/>
          <w:szCs w:val="24"/>
          <w:highlight w:val="none"/>
        </w:rPr>
      </w:pPr>
    </w:p>
    <w:p w14:paraId="18FC597F">
      <w:pPr>
        <w:jc w:val="center"/>
        <w:outlineLvl w:val="9"/>
        <w:rPr>
          <w:rFonts w:hint="eastAsia" w:ascii="黑体" w:hAnsi="黑体" w:eastAsia="黑体" w:cs="黑体"/>
          <w:color w:val="auto"/>
          <w:sz w:val="44"/>
          <w:szCs w:val="44"/>
          <w:highlight w:val="none"/>
        </w:rPr>
      </w:pPr>
      <w:bookmarkStart w:id="0" w:name="_Toc6405"/>
      <w:r>
        <w:rPr>
          <w:rFonts w:hint="eastAsia" w:ascii="黑体" w:hAnsi="黑体" w:eastAsia="黑体" w:cs="黑体"/>
          <w:color w:val="auto"/>
          <w:sz w:val="44"/>
          <w:szCs w:val="44"/>
          <w:highlight w:val="none"/>
          <w:lang w:eastAsia="zh-CN"/>
        </w:rPr>
        <w:t xml:space="preserve"> </w:t>
      </w:r>
      <w:bookmarkStart w:id="1" w:name="_Toc7909"/>
      <w:r>
        <w:rPr>
          <w:rFonts w:hint="eastAsia" w:ascii="黑体" w:hAnsi="黑体" w:eastAsia="黑体" w:cs="黑体"/>
          <w:color w:val="auto"/>
          <w:sz w:val="44"/>
          <w:szCs w:val="44"/>
          <w:highlight w:val="none"/>
          <w:lang w:eastAsia="zh-CN"/>
        </w:rPr>
        <w:t>增城区中心城区净水厂污水处理设备更新改造项目施工监理服务</w:t>
      </w:r>
      <w:bookmarkEnd w:id="1"/>
      <w:r>
        <w:rPr>
          <w:rFonts w:hint="eastAsia" w:ascii="黑体" w:hAnsi="黑体" w:eastAsia="黑体" w:cs="黑体"/>
          <w:color w:val="auto"/>
          <w:sz w:val="44"/>
          <w:szCs w:val="44"/>
          <w:highlight w:val="none"/>
          <w:lang w:eastAsia="zh-CN"/>
        </w:rPr>
        <w:t xml:space="preserve"> </w:t>
      </w:r>
      <w:bookmarkEnd w:id="0"/>
    </w:p>
    <w:p w14:paraId="1E27BFFE">
      <w:pPr>
        <w:pStyle w:val="11"/>
        <w:kinsoku w:val="0"/>
        <w:overflowPunct w:val="0"/>
        <w:spacing w:before="2"/>
        <w:ind w:left="0"/>
        <w:rPr>
          <w:rFonts w:hint="default"/>
          <w:color w:val="auto"/>
          <w:sz w:val="23"/>
          <w:szCs w:val="24"/>
          <w:highlight w:val="none"/>
        </w:rPr>
      </w:pPr>
    </w:p>
    <w:p w14:paraId="14105823">
      <w:pPr>
        <w:pStyle w:val="11"/>
        <w:kinsoku w:val="0"/>
        <w:overflowPunct w:val="0"/>
        <w:ind w:left="0"/>
        <w:rPr>
          <w:rFonts w:hint="default"/>
          <w:color w:val="auto"/>
          <w:sz w:val="20"/>
          <w:szCs w:val="24"/>
          <w:highlight w:val="none"/>
        </w:rPr>
      </w:pPr>
    </w:p>
    <w:p w14:paraId="768868EA">
      <w:pPr>
        <w:pStyle w:val="11"/>
        <w:kinsoku w:val="0"/>
        <w:overflowPunct w:val="0"/>
        <w:ind w:left="0"/>
        <w:rPr>
          <w:rFonts w:hint="default"/>
          <w:color w:val="auto"/>
          <w:sz w:val="20"/>
          <w:szCs w:val="24"/>
          <w:highlight w:val="none"/>
        </w:rPr>
      </w:pPr>
    </w:p>
    <w:p w14:paraId="5578F15D">
      <w:pPr>
        <w:pStyle w:val="11"/>
        <w:kinsoku w:val="0"/>
        <w:overflowPunct w:val="0"/>
        <w:ind w:left="0"/>
        <w:rPr>
          <w:rFonts w:hint="default"/>
          <w:color w:val="auto"/>
          <w:sz w:val="20"/>
          <w:szCs w:val="24"/>
          <w:highlight w:val="none"/>
        </w:rPr>
      </w:pPr>
    </w:p>
    <w:p w14:paraId="26A87A3A">
      <w:pPr>
        <w:pStyle w:val="11"/>
        <w:kinsoku w:val="0"/>
        <w:overflowPunct w:val="0"/>
        <w:ind w:left="0"/>
        <w:rPr>
          <w:rFonts w:hint="default"/>
          <w:color w:val="auto"/>
          <w:sz w:val="20"/>
          <w:szCs w:val="24"/>
          <w:highlight w:val="none"/>
        </w:rPr>
      </w:pPr>
    </w:p>
    <w:p w14:paraId="7B8163C1">
      <w:pPr>
        <w:pStyle w:val="11"/>
        <w:kinsoku w:val="0"/>
        <w:overflowPunct w:val="0"/>
        <w:ind w:left="0"/>
        <w:rPr>
          <w:rFonts w:hint="default"/>
          <w:color w:val="auto"/>
          <w:sz w:val="20"/>
          <w:szCs w:val="24"/>
          <w:highlight w:val="none"/>
        </w:rPr>
      </w:pPr>
    </w:p>
    <w:p w14:paraId="51CA26D2">
      <w:pPr>
        <w:pStyle w:val="11"/>
        <w:kinsoku w:val="0"/>
        <w:overflowPunct w:val="0"/>
        <w:spacing w:before="106"/>
        <w:ind w:left="3" w:right="4"/>
        <w:jc w:val="center"/>
        <w:rPr>
          <w:rFonts w:hint="default"/>
          <w:color w:val="auto"/>
          <w:sz w:val="44"/>
          <w:szCs w:val="24"/>
          <w:highlight w:val="none"/>
        </w:rPr>
      </w:pPr>
      <w:r>
        <w:rPr>
          <w:rFonts w:hint="eastAsia" w:ascii="黑体" w:hAnsi="黑体" w:eastAsia="黑体"/>
          <w:color w:val="auto"/>
          <w:sz w:val="84"/>
          <w:szCs w:val="24"/>
          <w:highlight w:val="none"/>
        </w:rPr>
        <w:t>招标文件</w:t>
      </w:r>
    </w:p>
    <w:p w14:paraId="68B44921">
      <w:pPr>
        <w:pStyle w:val="11"/>
        <w:kinsoku w:val="0"/>
        <w:overflowPunct w:val="0"/>
        <w:ind w:left="0"/>
        <w:rPr>
          <w:rFonts w:hint="default"/>
          <w:color w:val="auto"/>
          <w:sz w:val="44"/>
          <w:szCs w:val="24"/>
          <w:highlight w:val="none"/>
        </w:rPr>
      </w:pPr>
    </w:p>
    <w:p w14:paraId="1E5B2395">
      <w:pPr>
        <w:pStyle w:val="11"/>
        <w:kinsoku w:val="0"/>
        <w:overflowPunct w:val="0"/>
        <w:ind w:left="0"/>
        <w:rPr>
          <w:rFonts w:hint="default"/>
          <w:color w:val="auto"/>
          <w:sz w:val="44"/>
          <w:szCs w:val="24"/>
          <w:highlight w:val="none"/>
        </w:rPr>
      </w:pPr>
    </w:p>
    <w:p w14:paraId="7606EC56">
      <w:pPr>
        <w:pStyle w:val="11"/>
        <w:kinsoku w:val="0"/>
        <w:overflowPunct w:val="0"/>
        <w:ind w:left="0"/>
        <w:rPr>
          <w:rFonts w:hint="default"/>
          <w:color w:val="auto"/>
          <w:sz w:val="44"/>
          <w:szCs w:val="24"/>
          <w:highlight w:val="none"/>
        </w:rPr>
      </w:pPr>
    </w:p>
    <w:p w14:paraId="00B18588">
      <w:pPr>
        <w:pStyle w:val="11"/>
        <w:kinsoku w:val="0"/>
        <w:overflowPunct w:val="0"/>
        <w:ind w:left="0"/>
        <w:rPr>
          <w:rFonts w:hint="default"/>
          <w:color w:val="auto"/>
          <w:sz w:val="44"/>
          <w:szCs w:val="24"/>
          <w:highlight w:val="none"/>
        </w:rPr>
      </w:pPr>
    </w:p>
    <w:p w14:paraId="47F0C110">
      <w:pPr>
        <w:pStyle w:val="11"/>
        <w:kinsoku w:val="0"/>
        <w:overflowPunct w:val="0"/>
        <w:ind w:left="0"/>
        <w:rPr>
          <w:rFonts w:hint="default"/>
          <w:color w:val="auto"/>
          <w:sz w:val="44"/>
          <w:szCs w:val="24"/>
          <w:highlight w:val="none"/>
        </w:rPr>
      </w:pPr>
    </w:p>
    <w:p w14:paraId="03F7C7B6">
      <w:pPr>
        <w:pStyle w:val="11"/>
        <w:kinsoku w:val="0"/>
        <w:overflowPunct w:val="0"/>
        <w:ind w:left="0"/>
        <w:rPr>
          <w:rFonts w:hint="default"/>
          <w:color w:val="auto"/>
          <w:sz w:val="44"/>
          <w:szCs w:val="24"/>
          <w:highlight w:val="none"/>
        </w:rPr>
      </w:pPr>
    </w:p>
    <w:p w14:paraId="7C495843">
      <w:pPr>
        <w:pStyle w:val="11"/>
        <w:kinsoku w:val="0"/>
        <w:overflowPunct w:val="0"/>
        <w:ind w:left="0"/>
        <w:rPr>
          <w:rFonts w:hint="default"/>
          <w:color w:val="auto"/>
          <w:sz w:val="44"/>
          <w:szCs w:val="24"/>
          <w:highlight w:val="none"/>
        </w:rPr>
      </w:pPr>
    </w:p>
    <w:p w14:paraId="3F4E5F38">
      <w:pPr>
        <w:pStyle w:val="11"/>
        <w:kinsoku w:val="0"/>
        <w:overflowPunct w:val="0"/>
        <w:ind w:left="0"/>
        <w:rPr>
          <w:rFonts w:hint="default"/>
          <w:color w:val="auto"/>
          <w:sz w:val="44"/>
          <w:szCs w:val="24"/>
          <w:highlight w:val="none"/>
        </w:rPr>
      </w:pPr>
    </w:p>
    <w:p w14:paraId="25216F23">
      <w:pPr>
        <w:pStyle w:val="11"/>
        <w:kinsoku w:val="0"/>
        <w:overflowPunct w:val="0"/>
        <w:ind w:left="0"/>
        <w:rPr>
          <w:rFonts w:hint="default"/>
          <w:color w:val="auto"/>
          <w:sz w:val="44"/>
          <w:szCs w:val="24"/>
          <w:highlight w:val="none"/>
        </w:rPr>
      </w:pPr>
    </w:p>
    <w:p w14:paraId="72A46931">
      <w:pPr>
        <w:pStyle w:val="11"/>
        <w:kinsoku w:val="0"/>
        <w:overflowPunct w:val="0"/>
        <w:spacing w:before="8"/>
        <w:ind w:left="0"/>
        <w:rPr>
          <w:rFonts w:hint="default"/>
          <w:color w:val="auto"/>
          <w:sz w:val="33"/>
          <w:szCs w:val="24"/>
          <w:highlight w:val="none"/>
        </w:rPr>
      </w:pPr>
    </w:p>
    <w:p w14:paraId="6C513E34">
      <w:pPr>
        <w:shd w:val="clear"/>
        <w:spacing w:before="88" w:line="468" w:lineRule="auto"/>
        <w:ind w:left="2158"/>
        <w:rPr>
          <w:rFonts w:hint="eastAsia" w:ascii="仿宋" w:hAnsi="仿宋" w:eastAsia="仿宋" w:cs="仿宋"/>
          <w:color w:val="auto"/>
          <w:spacing w:val="-4"/>
          <w:sz w:val="27"/>
          <w:szCs w:val="27"/>
          <w:highlight w:val="none"/>
        </w:rPr>
      </w:pPr>
      <w:r>
        <w:rPr>
          <w:rFonts w:hint="eastAsia" w:ascii="仿宋" w:hAnsi="仿宋" w:eastAsia="仿宋" w:cs="仿宋"/>
          <w:color w:val="auto"/>
          <w:spacing w:val="-4"/>
          <w:sz w:val="27"/>
          <w:szCs w:val="27"/>
          <w:highlight w:val="none"/>
        </w:rPr>
        <w:t>招</w:t>
      </w:r>
      <w:r>
        <w:rPr>
          <w:rFonts w:hint="eastAsia" w:ascii="仿宋" w:hAnsi="仿宋" w:eastAsia="仿宋" w:cs="仿宋"/>
          <w:color w:val="auto"/>
          <w:spacing w:val="-4"/>
          <w:sz w:val="27"/>
          <w:szCs w:val="27"/>
          <w:highlight w:val="none"/>
          <w:lang w:val="en-US" w:eastAsia="zh-CN"/>
        </w:rPr>
        <w:t xml:space="preserve"> </w:t>
      </w:r>
      <w:r>
        <w:rPr>
          <w:rFonts w:hint="eastAsia" w:ascii="仿宋" w:hAnsi="仿宋" w:eastAsia="仿宋" w:cs="仿宋"/>
          <w:color w:val="auto"/>
          <w:spacing w:val="-4"/>
          <w:sz w:val="27"/>
          <w:szCs w:val="27"/>
          <w:highlight w:val="none"/>
        </w:rPr>
        <w:t>标</w:t>
      </w:r>
      <w:r>
        <w:rPr>
          <w:rFonts w:hint="eastAsia" w:ascii="仿宋" w:hAnsi="仿宋" w:eastAsia="仿宋" w:cs="仿宋"/>
          <w:color w:val="auto"/>
          <w:spacing w:val="-4"/>
          <w:sz w:val="27"/>
          <w:szCs w:val="27"/>
          <w:highlight w:val="none"/>
          <w:lang w:val="en-US" w:eastAsia="zh-CN"/>
        </w:rPr>
        <w:t xml:space="preserve"> </w:t>
      </w:r>
      <w:r>
        <w:rPr>
          <w:rFonts w:hint="eastAsia" w:ascii="仿宋" w:hAnsi="仿宋" w:eastAsia="仿宋" w:cs="仿宋"/>
          <w:color w:val="auto"/>
          <w:spacing w:val="-4"/>
          <w:sz w:val="27"/>
          <w:szCs w:val="27"/>
          <w:highlight w:val="none"/>
        </w:rPr>
        <w:t>人：</w:t>
      </w:r>
      <w:r>
        <w:rPr>
          <w:rFonts w:hint="eastAsia" w:ascii="仿宋" w:hAnsi="仿宋" w:eastAsia="仿宋" w:cs="仿宋"/>
          <w:color w:val="auto"/>
          <w:spacing w:val="-4"/>
          <w:sz w:val="27"/>
          <w:szCs w:val="27"/>
          <w:highlight w:val="none"/>
          <w:u w:val="single" w:color="auto"/>
          <w:lang w:eastAsia="zh-CN"/>
        </w:rPr>
        <w:t>广州市增城区供排水管理中心</w:t>
      </w:r>
      <w:r>
        <w:rPr>
          <w:rFonts w:hint="eastAsia" w:ascii="仿宋" w:hAnsi="仿宋" w:eastAsia="仿宋" w:cs="仿宋"/>
          <w:color w:val="auto"/>
          <w:spacing w:val="-4"/>
          <w:sz w:val="27"/>
          <w:szCs w:val="27"/>
          <w:highlight w:val="none"/>
        </w:rPr>
        <w:t>(盖单位章)</w:t>
      </w:r>
    </w:p>
    <w:p w14:paraId="6834F035">
      <w:pPr>
        <w:shd w:val="clear"/>
        <w:spacing w:before="88" w:line="468" w:lineRule="auto"/>
        <w:ind w:left="2158"/>
        <w:rPr>
          <w:rFonts w:hint="eastAsia" w:ascii="仿宋" w:hAnsi="仿宋" w:eastAsia="仿宋" w:cs="仿宋"/>
          <w:color w:val="auto"/>
          <w:spacing w:val="-4"/>
          <w:sz w:val="27"/>
          <w:szCs w:val="27"/>
          <w:highlight w:val="none"/>
        </w:rPr>
      </w:pPr>
      <w:r>
        <w:rPr>
          <w:rFonts w:hint="eastAsia" w:ascii="仿宋" w:hAnsi="仿宋" w:eastAsia="仿宋" w:cs="仿宋"/>
          <w:color w:val="auto"/>
          <w:spacing w:val="-4"/>
          <w:sz w:val="27"/>
          <w:szCs w:val="27"/>
          <w:highlight w:val="none"/>
          <w:lang w:val="en-US" w:eastAsia="zh-CN"/>
        </w:rPr>
        <w:t>招标代理：</w:t>
      </w:r>
      <w:r>
        <w:rPr>
          <w:rFonts w:hint="eastAsia" w:ascii="仿宋" w:hAnsi="仿宋" w:eastAsia="仿宋" w:cs="仿宋"/>
          <w:color w:val="auto"/>
          <w:spacing w:val="-4"/>
          <w:sz w:val="27"/>
          <w:szCs w:val="27"/>
          <w:highlight w:val="none"/>
          <w:u w:val="single"/>
          <w:lang w:val="en-US" w:eastAsia="zh-CN"/>
        </w:rPr>
        <w:t>建成工程咨询股份有限公司</w:t>
      </w:r>
      <w:r>
        <w:rPr>
          <w:rFonts w:hint="eastAsia" w:ascii="仿宋" w:hAnsi="仿宋" w:eastAsia="仿宋" w:cs="仿宋"/>
          <w:color w:val="auto"/>
          <w:spacing w:val="-4"/>
          <w:sz w:val="27"/>
          <w:szCs w:val="27"/>
          <w:highlight w:val="none"/>
          <w:u w:val="single"/>
        </w:rPr>
        <w:t>(</w:t>
      </w:r>
      <w:r>
        <w:rPr>
          <w:rFonts w:hint="eastAsia" w:ascii="仿宋" w:hAnsi="仿宋" w:eastAsia="仿宋" w:cs="仿宋"/>
          <w:color w:val="auto"/>
          <w:spacing w:val="-4"/>
          <w:sz w:val="27"/>
          <w:szCs w:val="27"/>
          <w:highlight w:val="none"/>
        </w:rPr>
        <w:t>盖单位章)</w:t>
      </w:r>
    </w:p>
    <w:p w14:paraId="46A84352">
      <w:pPr>
        <w:pStyle w:val="11"/>
        <w:shd w:val="clear"/>
        <w:tabs>
          <w:tab w:val="left" w:pos="3611"/>
          <w:tab w:val="left" w:pos="4626"/>
          <w:tab w:val="left" w:pos="5642"/>
        </w:tabs>
        <w:kinsoku/>
        <w:overflowPunct w:val="0"/>
        <w:spacing w:before="14"/>
        <w:ind w:left="0" w:right="175" w:firstLine="2160" w:firstLineChars="800"/>
        <w:rPr>
          <w:rFonts w:hint="eastAsia" w:ascii="仿宋" w:hAnsi="仿宋" w:eastAsia="仿宋" w:cs="仿宋"/>
          <w:color w:val="auto"/>
          <w:sz w:val="28"/>
          <w:szCs w:val="24"/>
          <w:highlight w:val="none"/>
        </w:rPr>
        <w:sectPr>
          <w:pgSz w:w="11905" w:h="16838"/>
          <w:pgMar w:top="1417" w:right="1417" w:bottom="1417" w:left="1417" w:header="737" w:footer="737" w:gutter="0"/>
          <w:lnNumType w:countBy="0" w:distance="360"/>
          <w:pgNumType w:fmt="decimal"/>
          <w:cols w:space="720" w:num="1"/>
        </w:sectPr>
      </w:pPr>
      <w:r>
        <w:rPr>
          <w:rFonts w:hint="eastAsia" w:ascii="仿宋" w:hAnsi="仿宋" w:eastAsia="仿宋" w:cs="仿宋"/>
          <w:color w:val="auto"/>
          <w:sz w:val="27"/>
          <w:szCs w:val="27"/>
          <w:highlight w:val="none"/>
          <w:u w:val="none" w:color="auto"/>
          <w:lang w:val="en-US" w:eastAsia="zh-CN"/>
        </w:rPr>
        <w:t xml:space="preserve">日    期： 2025 </w:t>
      </w:r>
      <w:r>
        <w:rPr>
          <w:rFonts w:hint="eastAsia" w:ascii="仿宋" w:hAnsi="仿宋" w:eastAsia="仿宋" w:cs="仿宋"/>
          <w:color w:val="auto"/>
          <w:spacing w:val="6"/>
          <w:sz w:val="27"/>
          <w:szCs w:val="27"/>
          <w:highlight w:val="none"/>
        </w:rPr>
        <w:t>年</w:t>
      </w:r>
      <w:r>
        <w:rPr>
          <w:rFonts w:hint="eastAsia" w:ascii="仿宋" w:hAnsi="仿宋" w:eastAsia="仿宋" w:cs="仿宋"/>
          <w:color w:val="auto"/>
          <w:spacing w:val="6"/>
          <w:sz w:val="27"/>
          <w:szCs w:val="27"/>
          <w:highlight w:val="none"/>
          <w:lang w:val="en-US" w:eastAsia="zh-CN"/>
        </w:rPr>
        <w:t xml:space="preserve"> </w:t>
      </w:r>
      <w:r>
        <w:rPr>
          <w:rFonts w:hint="eastAsia" w:ascii="仿宋" w:hAnsi="仿宋" w:eastAsia="仿宋" w:cs="仿宋"/>
          <w:color w:val="auto"/>
          <w:spacing w:val="6"/>
          <w:sz w:val="27"/>
          <w:szCs w:val="27"/>
          <w:highlight w:val="none"/>
          <w:u w:val="none" w:color="auto"/>
          <w:lang w:val="en-US" w:eastAsia="zh-CN"/>
        </w:rPr>
        <w:t xml:space="preserve">5 </w:t>
      </w:r>
      <w:r>
        <w:rPr>
          <w:rFonts w:hint="eastAsia" w:ascii="仿宋" w:hAnsi="仿宋" w:eastAsia="仿宋" w:cs="仿宋"/>
          <w:color w:val="auto"/>
          <w:spacing w:val="3"/>
          <w:sz w:val="27"/>
          <w:szCs w:val="27"/>
          <w:highlight w:val="none"/>
        </w:rPr>
        <w:t>月</w:t>
      </w:r>
    </w:p>
    <w:sdt>
      <w:sdtPr>
        <w:rPr>
          <w:rFonts w:hint="default" w:ascii="宋体" w:hAnsi="宋体" w:eastAsia="宋体" w:cs="Times New Roman"/>
          <w:b/>
          <w:bCs/>
          <w:color w:val="auto"/>
          <w:sz w:val="36"/>
          <w:szCs w:val="44"/>
          <w:highlight w:val="none"/>
        </w:rPr>
        <w:id w:val="147472368"/>
        <w15:color w:val="DBDBDB"/>
      </w:sdtPr>
      <w:sdtEndPr>
        <w:rPr>
          <w:rFonts w:hint="eastAsia" w:ascii="宋体" w:hAnsi="宋体" w:eastAsia="宋体" w:cs="宋体"/>
          <w:b/>
          <w:bCs/>
          <w:color w:val="auto"/>
          <w:sz w:val="20"/>
          <w:szCs w:val="24"/>
          <w:highlight w:val="none"/>
          <w:lang w:eastAsia="zh-CN"/>
        </w:rPr>
      </w:sdtEndPr>
      <w:sdtContent>
        <w:p w14:paraId="2872BE61">
          <w:pPr>
            <w:spacing w:before="0" w:beforeLines="0" w:after="0" w:afterLines="0" w:line="360" w:lineRule="auto"/>
            <w:ind w:left="0" w:leftChars="0" w:right="0" w:rightChars="0" w:firstLine="0" w:firstLineChars="0"/>
            <w:jc w:val="center"/>
            <w:rPr>
              <w:b/>
              <w:bCs/>
              <w:color w:val="auto"/>
              <w:sz w:val="44"/>
              <w:szCs w:val="44"/>
              <w:highlight w:val="none"/>
            </w:rPr>
          </w:pPr>
          <w:r>
            <w:rPr>
              <w:rFonts w:ascii="宋体" w:hAnsi="宋体" w:eastAsia="宋体"/>
              <w:b/>
              <w:bCs/>
              <w:color w:val="auto"/>
              <w:sz w:val="36"/>
              <w:szCs w:val="44"/>
              <w:highlight w:val="none"/>
            </w:rPr>
            <w:t>目录</w:t>
          </w:r>
        </w:p>
        <w:p w14:paraId="23346DB1">
          <w:pPr>
            <w:pStyle w:val="37"/>
            <w:tabs>
              <w:tab w:val="right" w:leader="dot" w:pos="9071"/>
            </w:tabs>
            <w:spacing w:line="360" w:lineRule="auto"/>
            <w:rPr>
              <w:rFonts w:hint="default" w:ascii="Times New Roman" w:hAnsi="Times New Roman" w:cs="Times New Roman"/>
              <w:b/>
              <w:bCs/>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TOC \o "1-1" \h \u </w:instrText>
          </w:r>
          <w:r>
            <w:rPr>
              <w:rFonts w:hint="eastAsia" w:ascii="宋体" w:hAnsi="宋体" w:eastAsia="宋体" w:cs="宋体"/>
              <w:color w:val="auto"/>
              <w:sz w:val="24"/>
              <w:szCs w:val="24"/>
              <w:highlight w:val="none"/>
              <w:lang w:eastAsia="zh-CN"/>
            </w:rPr>
            <w:fldChar w:fldCharType="separate"/>
          </w:r>
          <w:r>
            <w:rPr>
              <w:rFonts w:hint="default" w:ascii="Times New Roman" w:hAnsi="Times New Roman" w:eastAsia="宋体" w:cs="Times New Roman"/>
              <w:b/>
              <w:bCs/>
              <w:color w:val="auto"/>
              <w:sz w:val="24"/>
              <w:szCs w:val="24"/>
              <w:highlight w:val="none"/>
              <w:lang w:eastAsia="zh-CN"/>
            </w:rPr>
            <w:fldChar w:fldCharType="begin"/>
          </w:r>
          <w:r>
            <w:rPr>
              <w:rFonts w:hint="default" w:ascii="Times New Roman" w:hAnsi="Times New Roman" w:eastAsia="宋体" w:cs="Times New Roman"/>
              <w:b/>
              <w:bCs/>
              <w:color w:val="auto"/>
              <w:sz w:val="24"/>
              <w:szCs w:val="24"/>
              <w:highlight w:val="none"/>
              <w:lang w:eastAsia="zh-CN"/>
            </w:rPr>
            <w:instrText xml:space="preserve"> HYPERLINK \l _Toc5659 </w:instrText>
          </w:r>
          <w:r>
            <w:rPr>
              <w:rFonts w:hint="default" w:ascii="Times New Roman" w:hAnsi="Times New Roman" w:eastAsia="宋体" w:cs="Times New Roman"/>
              <w:b/>
              <w:bCs/>
              <w:color w:val="auto"/>
              <w:sz w:val="24"/>
              <w:szCs w:val="24"/>
              <w:highlight w:val="none"/>
              <w:lang w:eastAsia="zh-CN"/>
            </w:rPr>
            <w:fldChar w:fldCharType="separate"/>
          </w:r>
          <w:r>
            <w:rPr>
              <w:rFonts w:hint="default" w:ascii="Times New Roman" w:hAnsi="Times New Roman" w:cs="Times New Roman"/>
              <w:b/>
              <w:bCs/>
              <w:color w:val="auto"/>
              <w:sz w:val="24"/>
              <w:szCs w:val="24"/>
              <w:highlight w:val="none"/>
            </w:rPr>
            <w:t>第一卷</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_Toc5659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2</w:t>
          </w:r>
          <w:r>
            <w:rPr>
              <w:rFonts w:hint="default" w:ascii="Times New Roman" w:hAnsi="Times New Roman"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lang w:eastAsia="zh-CN"/>
            </w:rPr>
            <w:fldChar w:fldCharType="end"/>
          </w:r>
        </w:p>
        <w:p w14:paraId="02347DCC">
          <w:pPr>
            <w:pStyle w:val="37"/>
            <w:tabs>
              <w:tab w:val="right" w:leader="dot" w:pos="9071"/>
            </w:tabs>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fldChar w:fldCharType="begin"/>
          </w:r>
          <w:r>
            <w:rPr>
              <w:rFonts w:hint="default" w:ascii="Times New Roman" w:hAnsi="Times New Roman" w:eastAsia="宋体" w:cs="Times New Roman"/>
              <w:color w:val="auto"/>
              <w:sz w:val="24"/>
              <w:szCs w:val="24"/>
              <w:highlight w:val="none"/>
              <w:lang w:eastAsia="zh-CN"/>
            </w:rPr>
            <w:instrText xml:space="preserve"> HYPERLINK \l _Toc11900 </w:instrText>
          </w:r>
          <w:r>
            <w:rPr>
              <w:rFonts w:hint="default" w:ascii="Times New Roman" w:hAnsi="Times New Roman" w:eastAsia="宋体" w:cs="Times New Roman"/>
              <w:color w:val="auto"/>
              <w:sz w:val="24"/>
              <w:szCs w:val="24"/>
              <w:highlight w:val="none"/>
              <w:lang w:eastAsia="zh-CN"/>
            </w:rPr>
            <w:fldChar w:fldCharType="separate"/>
          </w:r>
          <w:r>
            <w:rPr>
              <w:rFonts w:hint="default" w:ascii="Times New Roman" w:hAnsi="Times New Roman" w:cs="Times New Roman"/>
              <w:color w:val="auto"/>
              <w:sz w:val="24"/>
              <w:szCs w:val="24"/>
              <w:highlight w:val="none"/>
            </w:rPr>
            <w:t>第一章</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招标公告</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_Toc11900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w:t>
          </w:r>
          <w:r>
            <w:rPr>
              <w:rFonts w:hint="default" w:ascii="Times New Roman" w:hAnsi="Times New Roman"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lang w:eastAsia="zh-CN"/>
            </w:rPr>
            <w:fldChar w:fldCharType="end"/>
          </w:r>
        </w:p>
        <w:p w14:paraId="0A06B129">
          <w:pPr>
            <w:pStyle w:val="37"/>
            <w:tabs>
              <w:tab w:val="right" w:leader="dot" w:pos="9071"/>
            </w:tabs>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fldChar w:fldCharType="begin"/>
          </w:r>
          <w:r>
            <w:rPr>
              <w:rFonts w:hint="default" w:ascii="Times New Roman" w:hAnsi="Times New Roman" w:eastAsia="宋体" w:cs="Times New Roman"/>
              <w:color w:val="auto"/>
              <w:sz w:val="24"/>
              <w:szCs w:val="24"/>
              <w:highlight w:val="none"/>
              <w:lang w:eastAsia="zh-CN"/>
            </w:rPr>
            <w:instrText xml:space="preserve"> HYPERLINK \l _Toc11515 </w:instrText>
          </w:r>
          <w:r>
            <w:rPr>
              <w:rFonts w:hint="default" w:ascii="Times New Roman" w:hAnsi="Times New Roman" w:eastAsia="宋体" w:cs="Times New Roman"/>
              <w:color w:val="auto"/>
              <w:sz w:val="24"/>
              <w:szCs w:val="24"/>
              <w:highlight w:val="none"/>
              <w:lang w:eastAsia="zh-CN"/>
            </w:rPr>
            <w:fldChar w:fldCharType="separate"/>
          </w:r>
          <w:r>
            <w:rPr>
              <w:rFonts w:hint="default" w:ascii="Times New Roman" w:hAnsi="Times New Roman" w:cs="Times New Roman"/>
              <w:color w:val="auto"/>
              <w:sz w:val="24"/>
              <w:szCs w:val="24"/>
              <w:highlight w:val="none"/>
            </w:rPr>
            <w:t>第二章</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投标人须知</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_Toc11515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w:t>
          </w:r>
          <w:r>
            <w:rPr>
              <w:rFonts w:hint="default" w:ascii="Times New Roman" w:hAnsi="Times New Roman"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lang w:eastAsia="zh-CN"/>
            </w:rPr>
            <w:fldChar w:fldCharType="end"/>
          </w:r>
        </w:p>
        <w:p w14:paraId="624DF14F">
          <w:pPr>
            <w:pStyle w:val="37"/>
            <w:tabs>
              <w:tab w:val="right" w:leader="dot" w:pos="9071"/>
            </w:tabs>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fldChar w:fldCharType="begin"/>
          </w:r>
          <w:r>
            <w:rPr>
              <w:rFonts w:hint="default" w:ascii="Times New Roman" w:hAnsi="Times New Roman" w:eastAsia="宋体" w:cs="Times New Roman"/>
              <w:color w:val="auto"/>
              <w:sz w:val="24"/>
              <w:szCs w:val="24"/>
              <w:highlight w:val="none"/>
              <w:lang w:eastAsia="zh-CN"/>
            </w:rPr>
            <w:instrText xml:space="preserve"> HYPERLINK \l _Toc26859 </w:instrText>
          </w:r>
          <w:r>
            <w:rPr>
              <w:rFonts w:hint="default" w:ascii="Times New Roman" w:hAnsi="Times New Roman" w:eastAsia="宋体" w:cs="Times New Roman"/>
              <w:color w:val="auto"/>
              <w:sz w:val="24"/>
              <w:szCs w:val="24"/>
              <w:highlight w:val="none"/>
              <w:lang w:eastAsia="zh-CN"/>
            </w:rPr>
            <w:fldChar w:fldCharType="separate"/>
          </w:r>
          <w:r>
            <w:rPr>
              <w:rFonts w:hint="default" w:ascii="Times New Roman" w:hAnsi="Times New Roman" w:cs="Times New Roman"/>
              <w:color w:val="auto"/>
              <w:sz w:val="24"/>
              <w:szCs w:val="24"/>
              <w:highlight w:val="none"/>
            </w:rPr>
            <w:t>第三章</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评标办法（综合评估法）</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_Toc26859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30</w:t>
          </w:r>
          <w:r>
            <w:rPr>
              <w:rFonts w:hint="default" w:ascii="Times New Roman" w:hAnsi="Times New Roman"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lang w:eastAsia="zh-CN"/>
            </w:rPr>
            <w:fldChar w:fldCharType="end"/>
          </w:r>
        </w:p>
        <w:p w14:paraId="26593DE4">
          <w:pPr>
            <w:pStyle w:val="37"/>
            <w:tabs>
              <w:tab w:val="right" w:leader="dot" w:pos="9071"/>
            </w:tabs>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fldChar w:fldCharType="begin"/>
          </w:r>
          <w:r>
            <w:rPr>
              <w:rFonts w:hint="default" w:ascii="Times New Roman" w:hAnsi="Times New Roman" w:eastAsia="宋体" w:cs="Times New Roman"/>
              <w:color w:val="auto"/>
              <w:sz w:val="24"/>
              <w:szCs w:val="24"/>
              <w:highlight w:val="none"/>
              <w:lang w:eastAsia="zh-CN"/>
            </w:rPr>
            <w:instrText xml:space="preserve"> HYPERLINK \l _Toc27798 </w:instrText>
          </w:r>
          <w:r>
            <w:rPr>
              <w:rFonts w:hint="default" w:ascii="Times New Roman" w:hAnsi="Times New Roman" w:eastAsia="宋体" w:cs="Times New Roman"/>
              <w:color w:val="auto"/>
              <w:sz w:val="24"/>
              <w:szCs w:val="24"/>
              <w:highlight w:val="none"/>
              <w:lang w:eastAsia="zh-CN"/>
            </w:rPr>
            <w:fldChar w:fldCharType="separate"/>
          </w:r>
          <w:r>
            <w:rPr>
              <w:rFonts w:hint="default" w:ascii="Times New Roman" w:hAnsi="Times New Roman" w:cs="Times New Roman"/>
              <w:color w:val="auto"/>
              <w:sz w:val="24"/>
              <w:szCs w:val="24"/>
              <w:highlight w:val="none"/>
            </w:rPr>
            <w:t>第四章</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合同条款及格式</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_Toc27798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38</w:t>
          </w:r>
          <w:r>
            <w:rPr>
              <w:rFonts w:hint="default" w:ascii="Times New Roman" w:hAnsi="Times New Roman"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lang w:eastAsia="zh-CN"/>
            </w:rPr>
            <w:fldChar w:fldCharType="end"/>
          </w:r>
        </w:p>
        <w:p w14:paraId="435BE18A">
          <w:pPr>
            <w:pStyle w:val="37"/>
            <w:tabs>
              <w:tab w:val="right" w:leader="dot" w:pos="9071"/>
            </w:tabs>
            <w:spacing w:line="360" w:lineRule="auto"/>
            <w:rPr>
              <w:rFonts w:hint="default" w:ascii="Times New Roman" w:hAnsi="Times New Roman"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fldChar w:fldCharType="begin"/>
          </w:r>
          <w:r>
            <w:rPr>
              <w:rFonts w:hint="default" w:ascii="Times New Roman" w:hAnsi="Times New Roman" w:eastAsia="宋体" w:cs="Times New Roman"/>
              <w:b/>
              <w:bCs/>
              <w:color w:val="auto"/>
              <w:sz w:val="24"/>
              <w:szCs w:val="24"/>
              <w:highlight w:val="none"/>
              <w:lang w:eastAsia="zh-CN"/>
            </w:rPr>
            <w:instrText xml:space="preserve"> HYPERLINK \l _Toc15759 </w:instrText>
          </w:r>
          <w:r>
            <w:rPr>
              <w:rFonts w:hint="default" w:ascii="Times New Roman" w:hAnsi="Times New Roman" w:eastAsia="宋体" w:cs="Times New Roman"/>
              <w:b/>
              <w:bCs/>
              <w:color w:val="auto"/>
              <w:sz w:val="24"/>
              <w:szCs w:val="24"/>
              <w:highlight w:val="none"/>
              <w:lang w:eastAsia="zh-CN"/>
            </w:rPr>
            <w:fldChar w:fldCharType="separate"/>
          </w:r>
          <w:r>
            <w:rPr>
              <w:rFonts w:hint="default" w:ascii="Times New Roman" w:hAnsi="Times New Roman" w:cs="Times New Roman"/>
              <w:b/>
              <w:bCs/>
              <w:color w:val="auto"/>
              <w:sz w:val="24"/>
              <w:szCs w:val="24"/>
              <w:highlight w:val="none"/>
            </w:rPr>
            <w:t>第二卷</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_Toc15759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39</w:t>
          </w:r>
          <w:r>
            <w:rPr>
              <w:rFonts w:hint="default" w:ascii="Times New Roman" w:hAnsi="Times New Roman"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lang w:eastAsia="zh-CN"/>
            </w:rPr>
            <w:fldChar w:fldCharType="end"/>
          </w:r>
        </w:p>
        <w:p w14:paraId="3C1904C4">
          <w:pPr>
            <w:pStyle w:val="37"/>
            <w:tabs>
              <w:tab w:val="right" w:leader="dot" w:pos="9071"/>
            </w:tabs>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fldChar w:fldCharType="begin"/>
          </w:r>
          <w:r>
            <w:rPr>
              <w:rFonts w:hint="default" w:ascii="Times New Roman" w:hAnsi="Times New Roman" w:eastAsia="宋体" w:cs="Times New Roman"/>
              <w:color w:val="auto"/>
              <w:sz w:val="24"/>
              <w:szCs w:val="24"/>
              <w:highlight w:val="none"/>
              <w:lang w:eastAsia="zh-CN"/>
            </w:rPr>
            <w:instrText xml:space="preserve"> HYPERLINK \l _Toc30626 </w:instrText>
          </w:r>
          <w:r>
            <w:rPr>
              <w:rFonts w:hint="default" w:ascii="Times New Roman" w:hAnsi="Times New Roman" w:eastAsia="宋体" w:cs="Times New Roman"/>
              <w:color w:val="auto"/>
              <w:sz w:val="24"/>
              <w:szCs w:val="24"/>
              <w:highlight w:val="none"/>
              <w:lang w:eastAsia="zh-CN"/>
            </w:rPr>
            <w:fldChar w:fldCharType="separate"/>
          </w:r>
          <w:r>
            <w:rPr>
              <w:rFonts w:hint="default" w:ascii="Times New Roman" w:hAnsi="Times New Roman" w:cs="Times New Roman"/>
              <w:color w:val="auto"/>
              <w:sz w:val="24"/>
              <w:szCs w:val="24"/>
              <w:highlight w:val="none"/>
            </w:rPr>
            <w:t>第五章</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委托人要求</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_Toc30626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40</w:t>
          </w:r>
          <w:r>
            <w:rPr>
              <w:rFonts w:hint="default" w:ascii="Times New Roman" w:hAnsi="Times New Roman"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lang w:eastAsia="zh-CN"/>
            </w:rPr>
            <w:fldChar w:fldCharType="end"/>
          </w:r>
        </w:p>
        <w:p w14:paraId="0DD672CA">
          <w:pPr>
            <w:pStyle w:val="37"/>
            <w:tabs>
              <w:tab w:val="right" w:leader="dot" w:pos="9071"/>
            </w:tabs>
            <w:spacing w:line="360" w:lineRule="auto"/>
            <w:rPr>
              <w:rFonts w:hint="default" w:ascii="Times New Roman" w:hAnsi="Times New Roman"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fldChar w:fldCharType="begin"/>
          </w:r>
          <w:r>
            <w:rPr>
              <w:rFonts w:hint="default" w:ascii="Times New Roman" w:hAnsi="Times New Roman" w:eastAsia="宋体" w:cs="Times New Roman"/>
              <w:b/>
              <w:bCs/>
              <w:color w:val="auto"/>
              <w:sz w:val="24"/>
              <w:szCs w:val="24"/>
              <w:highlight w:val="none"/>
              <w:lang w:eastAsia="zh-CN"/>
            </w:rPr>
            <w:instrText xml:space="preserve"> HYPERLINK \l _Toc16291 </w:instrText>
          </w:r>
          <w:r>
            <w:rPr>
              <w:rFonts w:hint="default" w:ascii="Times New Roman" w:hAnsi="Times New Roman" w:eastAsia="宋体" w:cs="Times New Roman"/>
              <w:b/>
              <w:bCs/>
              <w:color w:val="auto"/>
              <w:sz w:val="24"/>
              <w:szCs w:val="24"/>
              <w:highlight w:val="none"/>
              <w:lang w:eastAsia="zh-CN"/>
            </w:rPr>
            <w:fldChar w:fldCharType="separate"/>
          </w:r>
          <w:r>
            <w:rPr>
              <w:rFonts w:hint="default" w:ascii="Times New Roman" w:hAnsi="Times New Roman" w:cs="Times New Roman"/>
              <w:b/>
              <w:bCs/>
              <w:color w:val="auto"/>
              <w:sz w:val="24"/>
              <w:szCs w:val="24"/>
              <w:highlight w:val="none"/>
            </w:rPr>
            <w:t>第三卷</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_Toc16291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48</w:t>
          </w:r>
          <w:r>
            <w:rPr>
              <w:rFonts w:hint="default" w:ascii="Times New Roman" w:hAnsi="Times New Roman"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lang w:eastAsia="zh-CN"/>
            </w:rPr>
            <w:fldChar w:fldCharType="end"/>
          </w:r>
        </w:p>
        <w:p w14:paraId="012CB487">
          <w:pPr>
            <w:pStyle w:val="37"/>
            <w:tabs>
              <w:tab w:val="right" w:leader="dot" w:pos="9071"/>
            </w:tabs>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fldChar w:fldCharType="begin"/>
          </w:r>
          <w:r>
            <w:rPr>
              <w:rFonts w:hint="default" w:ascii="Times New Roman" w:hAnsi="Times New Roman" w:eastAsia="宋体" w:cs="Times New Roman"/>
              <w:color w:val="auto"/>
              <w:sz w:val="24"/>
              <w:szCs w:val="24"/>
              <w:highlight w:val="none"/>
              <w:lang w:eastAsia="zh-CN"/>
            </w:rPr>
            <w:instrText xml:space="preserve"> HYPERLINK \l _Toc19817 </w:instrText>
          </w:r>
          <w:r>
            <w:rPr>
              <w:rFonts w:hint="default" w:ascii="Times New Roman" w:hAnsi="Times New Roman" w:eastAsia="宋体" w:cs="Times New Roman"/>
              <w:color w:val="auto"/>
              <w:sz w:val="24"/>
              <w:szCs w:val="24"/>
              <w:highlight w:val="none"/>
              <w:lang w:eastAsia="zh-CN"/>
            </w:rPr>
            <w:fldChar w:fldCharType="separate"/>
          </w:r>
          <w:r>
            <w:rPr>
              <w:rFonts w:hint="default" w:ascii="Times New Roman" w:hAnsi="Times New Roman" w:cs="Times New Roman"/>
              <w:color w:val="auto"/>
              <w:sz w:val="24"/>
              <w:szCs w:val="24"/>
              <w:highlight w:val="none"/>
            </w:rPr>
            <w:t>第六章</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投标文件格式</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_Toc19817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49</w:t>
          </w:r>
          <w:r>
            <w:rPr>
              <w:rFonts w:hint="default" w:ascii="Times New Roman" w:hAnsi="Times New Roman"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lang w:eastAsia="zh-CN"/>
            </w:rPr>
            <w:fldChar w:fldCharType="end"/>
          </w:r>
        </w:p>
        <w:p w14:paraId="5347E9C2">
          <w:pPr>
            <w:pStyle w:val="37"/>
            <w:tabs>
              <w:tab w:val="right" w:leader="dot" w:pos="9071"/>
            </w:tabs>
            <w:spacing w:line="360" w:lineRule="auto"/>
            <w:ind w:firstLine="480" w:firstLineChars="200"/>
            <w:rPr>
              <w:color w:val="auto"/>
              <w:sz w:val="24"/>
              <w:szCs w:val="24"/>
              <w:highlight w:val="none"/>
            </w:rPr>
          </w:pPr>
          <w:r>
            <w:rPr>
              <w:rFonts w:hint="default" w:ascii="Times New Roman" w:hAnsi="Times New Roman" w:eastAsia="宋体" w:cs="Times New Roman"/>
              <w:color w:val="auto"/>
              <w:sz w:val="24"/>
              <w:szCs w:val="24"/>
              <w:highlight w:val="none"/>
              <w:lang w:eastAsia="zh-CN"/>
            </w:rPr>
            <w:fldChar w:fldCharType="begin"/>
          </w:r>
          <w:r>
            <w:rPr>
              <w:rFonts w:hint="default" w:ascii="Times New Roman" w:hAnsi="Times New Roman" w:eastAsia="宋体" w:cs="Times New Roman"/>
              <w:color w:val="auto"/>
              <w:sz w:val="24"/>
              <w:szCs w:val="24"/>
              <w:highlight w:val="none"/>
              <w:lang w:eastAsia="zh-CN"/>
            </w:rPr>
            <w:instrText xml:space="preserve"> HYPERLINK \l _Toc22888 </w:instrText>
          </w:r>
          <w:r>
            <w:rPr>
              <w:rFonts w:hint="default" w:ascii="Times New Roman" w:hAnsi="Times New Roman" w:eastAsia="宋体" w:cs="Times New Roman"/>
              <w:color w:val="auto"/>
              <w:sz w:val="24"/>
              <w:szCs w:val="24"/>
              <w:highlight w:val="none"/>
              <w:lang w:eastAsia="zh-CN"/>
            </w:rPr>
            <w:fldChar w:fldCharType="separate"/>
          </w:r>
          <w:r>
            <w:rPr>
              <w:rFonts w:hint="default" w:ascii="Times New Roman" w:hAnsi="Times New Roman" w:cs="Times New Roman"/>
              <w:color w:val="auto"/>
              <w:sz w:val="24"/>
              <w:szCs w:val="24"/>
              <w:highlight w:val="none"/>
              <w:lang w:val="en-US" w:eastAsia="zh-CN"/>
            </w:rPr>
            <w:t xml:space="preserve">第七章 </w:t>
          </w:r>
          <w:r>
            <w:rPr>
              <w:rFonts w:hint="default" w:ascii="Times New Roman" w:hAnsi="Times New Roman" w:cs="Times New Roman"/>
              <w:color w:val="auto"/>
              <w:sz w:val="24"/>
              <w:szCs w:val="24"/>
              <w:highlight w:val="none"/>
            </w:rPr>
            <w:t>投标人须知前附表规定的其他资料。</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PAGEREF _Toc22888 \h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69</w:t>
          </w:r>
          <w:r>
            <w:rPr>
              <w:rFonts w:hint="default" w:ascii="Times New Roman" w:hAnsi="Times New Roman"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lang w:eastAsia="zh-CN"/>
            </w:rPr>
            <w:fldChar w:fldCharType="end"/>
          </w:r>
        </w:p>
        <w:p w14:paraId="4EEF104E">
          <w:pPr>
            <w:pStyle w:val="39"/>
            <w:keepNext w:val="0"/>
            <w:keepLines w:val="0"/>
            <w:pageBreakBefore w:val="0"/>
            <w:widowControl/>
            <w:tabs>
              <w:tab w:val="right" w:leader="dot" w:pos="9071"/>
            </w:tabs>
            <w:kinsoku/>
            <w:wordWrap/>
            <w:overflowPunct/>
            <w:topLinePunct w:val="0"/>
            <w:autoSpaceDE/>
            <w:autoSpaceDN/>
            <w:bidi w:val="0"/>
            <w:adjustRightInd/>
            <w:snapToGrid/>
            <w:spacing w:line="360" w:lineRule="auto"/>
            <w:ind w:left="720" w:leftChars="300"/>
            <w:textAlignment w:val="auto"/>
            <w:rPr>
              <w:rFonts w:hint="eastAsia" w:ascii="宋体" w:hAnsi="宋体" w:eastAsia="宋体" w:cs="宋体"/>
              <w:color w:val="auto"/>
              <w:sz w:val="20"/>
              <w:szCs w:val="24"/>
              <w:highlight w:val="none"/>
              <w:lang w:eastAsia="zh-CN"/>
            </w:rPr>
          </w:pPr>
          <w:r>
            <w:rPr>
              <w:rFonts w:hint="eastAsia" w:ascii="宋体" w:hAnsi="宋体" w:eastAsia="宋体" w:cs="宋体"/>
              <w:color w:val="auto"/>
              <w:sz w:val="24"/>
              <w:szCs w:val="24"/>
              <w:highlight w:val="none"/>
              <w:lang w:eastAsia="zh-CN"/>
            </w:rPr>
            <w:fldChar w:fldCharType="end"/>
          </w:r>
        </w:p>
      </w:sdtContent>
    </w:sdt>
    <w:p w14:paraId="77EA586C">
      <w:pPr>
        <w:pStyle w:val="39"/>
        <w:keepNext w:val="0"/>
        <w:keepLines w:val="0"/>
        <w:pageBreakBefore w:val="0"/>
        <w:widowControl/>
        <w:tabs>
          <w:tab w:val="right" w:leader="dot" w:pos="9071"/>
        </w:tabs>
        <w:kinsoku/>
        <w:wordWrap/>
        <w:overflowPunct/>
        <w:topLinePunct w:val="0"/>
        <w:autoSpaceDE/>
        <w:autoSpaceDN/>
        <w:bidi w:val="0"/>
        <w:adjustRightInd/>
        <w:snapToGrid/>
        <w:spacing w:line="360" w:lineRule="auto"/>
        <w:ind w:left="720" w:leftChars="300"/>
        <w:textAlignment w:val="auto"/>
        <w:rPr>
          <w:rFonts w:hint="eastAsia" w:ascii="宋体" w:hAnsi="宋体" w:eastAsia="宋体" w:cs="宋体"/>
          <w:color w:val="auto"/>
          <w:sz w:val="20"/>
          <w:szCs w:val="24"/>
          <w:highlight w:val="none"/>
          <w:lang w:eastAsia="zh-CN"/>
        </w:rPr>
      </w:pPr>
    </w:p>
    <w:p w14:paraId="357239F9">
      <w:pPr>
        <w:pStyle w:val="11"/>
        <w:tabs>
          <w:tab w:val="right" w:leader="dot" w:pos="8714"/>
        </w:tabs>
        <w:kinsoku w:val="0"/>
        <w:overflowPunct w:val="0"/>
        <w:spacing w:line="288" w:lineRule="exact"/>
        <w:ind w:left="0"/>
        <w:jc w:val="center"/>
        <w:rPr>
          <w:rFonts w:hint="default" w:hAnsi="Calibri"/>
          <w:color w:val="auto"/>
          <w:sz w:val="21"/>
          <w:szCs w:val="24"/>
          <w:highlight w:val="none"/>
          <w:lang w:eastAsia="zh-CN"/>
        </w:rPr>
        <w:sectPr>
          <w:footerReference r:id="rId3" w:type="default"/>
          <w:pgSz w:w="11905" w:h="16838"/>
          <w:pgMar w:top="1417" w:right="1417" w:bottom="1417" w:left="1417" w:header="720" w:footer="720" w:gutter="0"/>
          <w:lnNumType w:countBy="0" w:distance="360"/>
          <w:pgNumType w:start="1"/>
          <w:cols w:space="720" w:num="1"/>
        </w:sectPr>
      </w:pPr>
    </w:p>
    <w:p w14:paraId="6F449C7A">
      <w:pPr>
        <w:pStyle w:val="11"/>
        <w:kinsoku w:val="0"/>
        <w:overflowPunct w:val="0"/>
        <w:ind w:left="0"/>
        <w:rPr>
          <w:rFonts w:hint="default" w:ascii="Calibri" w:hAnsi="Calibri" w:eastAsia="Calibri"/>
          <w:color w:val="auto"/>
          <w:sz w:val="44"/>
          <w:szCs w:val="24"/>
          <w:highlight w:val="none"/>
        </w:rPr>
      </w:pPr>
    </w:p>
    <w:p w14:paraId="2872DB4C">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color w:val="auto"/>
          <w:sz w:val="52"/>
          <w:szCs w:val="52"/>
          <w:highlight w:val="none"/>
        </w:rPr>
      </w:pPr>
      <w:bookmarkStart w:id="2" w:name="_Toc5659"/>
      <w:r>
        <w:rPr>
          <w:rFonts w:hint="eastAsia"/>
          <w:color w:val="auto"/>
          <w:sz w:val="52"/>
          <w:szCs w:val="52"/>
          <w:highlight w:val="none"/>
        </w:rPr>
        <w:t>第一卷</w:t>
      </w:r>
      <w:bookmarkEnd w:id="2"/>
    </w:p>
    <w:p w14:paraId="4C4D0244">
      <w:pPr>
        <w:pStyle w:val="11"/>
        <w:kinsoku w:val="0"/>
        <w:overflowPunct w:val="0"/>
        <w:ind w:left="0"/>
        <w:rPr>
          <w:rFonts w:hint="eastAsia"/>
          <w:b w:val="0"/>
          <w:color w:val="auto"/>
          <w:sz w:val="44"/>
          <w:szCs w:val="24"/>
          <w:highlight w:val="none"/>
        </w:rPr>
        <w:sectPr>
          <w:footerReference r:id="rId4" w:type="default"/>
          <w:pgSz w:w="11905" w:h="16838"/>
          <w:pgMar w:top="1417" w:right="1417" w:bottom="1417" w:left="1417" w:header="720" w:footer="720" w:gutter="0"/>
          <w:lnNumType w:countBy="0" w:distance="360"/>
          <w:cols w:space="720" w:num="1"/>
        </w:sectPr>
      </w:pPr>
    </w:p>
    <w:p w14:paraId="74DCEE45">
      <w:pPr>
        <w:pStyle w:val="3"/>
        <w:outlineLvl w:val="0"/>
        <w:rPr>
          <w:rFonts w:hint="default" w:cs="宋体"/>
          <w:color w:val="auto"/>
          <w:sz w:val="44"/>
          <w:szCs w:val="24"/>
          <w:highlight w:val="none"/>
        </w:rPr>
      </w:pPr>
      <w:bookmarkStart w:id="3" w:name="_Toc11900"/>
      <w:r>
        <w:rPr>
          <w:rFonts w:hint="default" w:cs="宋体"/>
          <w:color w:val="auto"/>
          <w:sz w:val="44"/>
          <w:szCs w:val="24"/>
          <w:highlight w:val="none"/>
        </w:rPr>
        <w:t>第一章</w:t>
      </w:r>
      <w:r>
        <w:rPr>
          <w:rFonts w:hint="default" w:cs="宋体"/>
          <w:color w:val="auto"/>
          <w:sz w:val="44"/>
          <w:szCs w:val="24"/>
          <w:highlight w:val="none"/>
          <w:lang w:val="en-US" w:eastAsia="zh-CN"/>
        </w:rPr>
        <w:t xml:space="preserve"> </w:t>
      </w:r>
      <w:r>
        <w:rPr>
          <w:rFonts w:hint="default" w:cs="宋体"/>
          <w:color w:val="auto"/>
          <w:sz w:val="44"/>
          <w:szCs w:val="24"/>
          <w:highlight w:val="none"/>
        </w:rPr>
        <w:t>招标公告</w:t>
      </w:r>
      <w:bookmarkEnd w:id="3"/>
    </w:p>
    <w:p w14:paraId="56E53DAC">
      <w:pPr>
        <w:jc w:val="center"/>
        <w:rPr>
          <w:rFonts w:hint="eastAsia" w:eastAsia="宋体" w:cs="宋体"/>
          <w:color w:val="auto"/>
          <w:sz w:val="44"/>
          <w:szCs w:val="24"/>
          <w:highlight w:val="none"/>
          <w:lang w:eastAsia="zh-CN"/>
        </w:rPr>
      </w:pPr>
      <w:bookmarkStart w:id="4" w:name="_Toc11515"/>
      <w:r>
        <w:rPr>
          <w:rFonts w:hint="eastAsia" w:cs="宋体"/>
          <w:color w:val="auto"/>
          <w:sz w:val="44"/>
          <w:szCs w:val="24"/>
          <w:highlight w:val="none"/>
          <w:lang w:eastAsia="zh-CN"/>
        </w:rPr>
        <w:t>另册</w:t>
      </w:r>
      <w:r>
        <w:rPr>
          <w:rFonts w:hint="default" w:cs="宋体"/>
          <w:color w:val="auto"/>
          <w:sz w:val="44"/>
          <w:szCs w:val="24"/>
          <w:highlight w:val="none"/>
        </w:rPr>
        <w:br w:type="page"/>
      </w:r>
    </w:p>
    <w:p w14:paraId="4AAD21E5">
      <w:pPr>
        <w:pStyle w:val="3"/>
        <w:outlineLvl w:val="0"/>
        <w:rPr>
          <w:rFonts w:hint="eastAsia" w:ascii="Microsoft JhengHei" w:hAnsi="Microsoft JhengHei" w:eastAsia="Microsoft JhengHei"/>
          <w:b w:val="0"/>
          <w:color w:val="auto"/>
          <w:sz w:val="57"/>
          <w:szCs w:val="24"/>
          <w:highlight w:val="none"/>
        </w:rPr>
      </w:pPr>
      <w:r>
        <w:rPr>
          <w:rFonts w:hint="default" w:cs="宋体"/>
          <w:color w:val="auto"/>
          <w:sz w:val="44"/>
          <w:szCs w:val="24"/>
          <w:highlight w:val="none"/>
        </w:rPr>
        <w:t>第二章</w:t>
      </w:r>
      <w:r>
        <w:rPr>
          <w:rFonts w:hint="default" w:cs="宋体"/>
          <w:color w:val="auto"/>
          <w:sz w:val="44"/>
          <w:szCs w:val="24"/>
          <w:highlight w:val="none"/>
          <w:lang w:val="en-US" w:eastAsia="zh-CN"/>
        </w:rPr>
        <w:t xml:space="preserve"> </w:t>
      </w:r>
      <w:r>
        <w:rPr>
          <w:rFonts w:hint="default" w:cs="宋体"/>
          <w:color w:val="auto"/>
          <w:sz w:val="44"/>
          <w:szCs w:val="24"/>
          <w:highlight w:val="none"/>
        </w:rPr>
        <w:t>投标人须知</w:t>
      </w:r>
      <w:bookmarkEnd w:id="4"/>
    </w:p>
    <w:p w14:paraId="29014DA9">
      <w:pPr>
        <w:pStyle w:val="4"/>
        <w:kinsoku w:val="0"/>
        <w:overflowPunct w:val="0"/>
        <w:ind w:left="220"/>
        <w:jc w:val="center"/>
        <w:outlineLvl w:val="1"/>
        <w:rPr>
          <w:rFonts w:hint="eastAsia" w:ascii="Microsoft JhengHei" w:hAnsi="Microsoft JhengHei" w:eastAsia="Microsoft JhengHei"/>
          <w:b w:val="0"/>
          <w:color w:val="auto"/>
          <w:sz w:val="20"/>
          <w:szCs w:val="24"/>
          <w:highlight w:val="none"/>
        </w:rPr>
      </w:pPr>
      <w:bookmarkStart w:id="5" w:name="_Toc6280"/>
      <w:r>
        <w:rPr>
          <w:rFonts w:hint="default"/>
          <w:color w:val="auto"/>
          <w:sz w:val="32"/>
          <w:szCs w:val="24"/>
          <w:highlight w:val="none"/>
        </w:rPr>
        <w:t>投标人须知前附表</w:t>
      </w:r>
      <w:bookmarkEnd w:id="5"/>
    </w:p>
    <w:tbl>
      <w:tblPr>
        <w:tblStyle w:val="21"/>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607"/>
        <w:gridCol w:w="5463"/>
      </w:tblGrid>
      <w:tr w14:paraId="68CA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0604243">
            <w:pPr>
              <w:pStyle w:val="28"/>
              <w:kinsoku w:val="0"/>
              <w:overflowPunct w:val="0"/>
              <w:spacing w:before="41"/>
              <w:jc w:val="center"/>
              <w:rPr>
                <w:rFonts w:hint="default"/>
                <w:color w:val="auto"/>
                <w:sz w:val="21"/>
                <w:szCs w:val="24"/>
                <w:highlight w:val="none"/>
              </w:rPr>
            </w:pPr>
            <w:r>
              <w:rPr>
                <w:rFonts w:hint="default" w:ascii="宋体" w:hAnsi="宋体" w:eastAsia="宋体" w:cs="宋体"/>
                <w:b/>
                <w:color w:val="auto"/>
                <w:sz w:val="21"/>
                <w:szCs w:val="21"/>
                <w:highlight w:val="none"/>
              </w:rPr>
              <w:t>条款号</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309375E">
            <w:pPr>
              <w:pStyle w:val="28"/>
              <w:kinsoku w:val="0"/>
              <w:overflowPunct w:val="0"/>
              <w:spacing w:before="41"/>
              <w:jc w:val="center"/>
              <w:rPr>
                <w:rFonts w:hint="default"/>
                <w:color w:val="auto"/>
                <w:sz w:val="21"/>
                <w:szCs w:val="24"/>
                <w:highlight w:val="none"/>
              </w:rPr>
            </w:pPr>
            <w:r>
              <w:rPr>
                <w:rFonts w:hint="default" w:ascii="宋体" w:hAnsi="宋体" w:eastAsia="宋体" w:cs="宋体"/>
                <w:b/>
                <w:color w:val="auto"/>
                <w:sz w:val="21"/>
                <w:szCs w:val="21"/>
                <w:highlight w:val="none"/>
              </w:rPr>
              <w:t>条款名称</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85C6C8B">
            <w:pPr>
              <w:pStyle w:val="28"/>
              <w:kinsoku w:val="0"/>
              <w:overflowPunct w:val="0"/>
              <w:spacing w:before="41"/>
              <w:jc w:val="center"/>
              <w:rPr>
                <w:rFonts w:hint="default"/>
                <w:color w:val="auto"/>
                <w:sz w:val="21"/>
                <w:szCs w:val="24"/>
                <w:highlight w:val="none"/>
              </w:rPr>
            </w:pPr>
            <w:r>
              <w:rPr>
                <w:rFonts w:hint="default" w:ascii="宋体" w:hAnsi="宋体" w:eastAsia="宋体" w:cs="宋体"/>
                <w:b/>
                <w:color w:val="auto"/>
                <w:sz w:val="21"/>
                <w:szCs w:val="21"/>
                <w:highlight w:val="none"/>
              </w:rPr>
              <w:t>编列内容</w:t>
            </w:r>
          </w:p>
        </w:tc>
      </w:tr>
      <w:tr w14:paraId="66D8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2A0BC8A">
            <w:pPr>
              <w:pStyle w:val="28"/>
              <w:kinsoku w:val="0"/>
              <w:overflowPunct w:val="0"/>
              <w:jc w:val="center"/>
              <w:rPr>
                <w:rFonts w:hint="default" w:ascii="宋体" w:hAnsi="宋体" w:eastAsia="宋体"/>
                <w:color w:val="auto"/>
                <w:sz w:val="21"/>
                <w:szCs w:val="24"/>
                <w:highlight w:val="none"/>
              </w:rPr>
            </w:pPr>
            <w:r>
              <w:rPr>
                <w:rFonts w:hint="eastAsia" w:ascii="宋体" w:hAnsi="宋体" w:eastAsia="宋体"/>
                <w:color w:val="auto"/>
                <w:sz w:val="21"/>
                <w:szCs w:val="24"/>
                <w:highlight w:val="none"/>
              </w:rPr>
              <w:t>1.1.2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9F54C7C">
            <w:pPr>
              <w:pStyle w:val="28"/>
              <w:kinsoku w:val="0"/>
              <w:overflowPunct w:val="0"/>
              <w:jc w:val="center"/>
              <w:rPr>
                <w:rFonts w:hint="default" w:ascii="宋体" w:hAnsi="宋体" w:eastAsia="宋体"/>
                <w:color w:val="auto"/>
                <w:sz w:val="21"/>
                <w:szCs w:val="24"/>
                <w:highlight w:val="none"/>
              </w:rPr>
            </w:pPr>
            <w:r>
              <w:rPr>
                <w:rFonts w:hint="default" w:ascii="宋体" w:hAnsi="宋体" w:eastAsia="宋体"/>
                <w:color w:val="auto"/>
                <w:sz w:val="21"/>
                <w:szCs w:val="24"/>
                <w:highlight w:val="none"/>
              </w:rPr>
              <w:t>招标人</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89E9A85">
            <w:pPr>
              <w:pStyle w:val="28"/>
              <w:kinsoku w:val="0"/>
              <w:overflowPunct w:val="0"/>
              <w:spacing w:line="360" w:lineRule="auto"/>
              <w:jc w:val="both"/>
              <w:rPr>
                <w:rFonts w:hint="default" w:ascii="宋体" w:hAnsi="宋体" w:eastAsia="宋体"/>
                <w:color w:val="auto"/>
                <w:sz w:val="21"/>
                <w:szCs w:val="24"/>
                <w:highlight w:val="none"/>
                <w:lang w:val="en-US" w:eastAsia="zh-CN"/>
              </w:rPr>
            </w:pPr>
            <w:r>
              <w:rPr>
                <w:rFonts w:hint="default" w:ascii="宋体" w:hAnsi="宋体" w:eastAsia="宋体"/>
                <w:color w:val="auto"/>
                <w:sz w:val="21"/>
                <w:szCs w:val="24"/>
                <w:highlight w:val="none"/>
                <w:lang w:val="en-US" w:eastAsia="zh-CN"/>
              </w:rPr>
              <w:t>名称： 广州市增城区供排水管理中心</w:t>
            </w:r>
          </w:p>
          <w:p w14:paraId="6AA40005">
            <w:pPr>
              <w:pStyle w:val="28"/>
              <w:kinsoku w:val="0"/>
              <w:overflowPunct w:val="0"/>
              <w:spacing w:line="360" w:lineRule="auto"/>
              <w:jc w:val="both"/>
              <w:rPr>
                <w:rFonts w:hint="default" w:ascii="宋体" w:hAnsi="宋体" w:eastAsia="宋体"/>
                <w:color w:val="auto"/>
                <w:sz w:val="21"/>
                <w:szCs w:val="24"/>
                <w:highlight w:val="none"/>
                <w:lang w:val="en-US" w:eastAsia="zh-CN"/>
              </w:rPr>
            </w:pPr>
            <w:r>
              <w:rPr>
                <w:rFonts w:hint="default" w:ascii="宋体" w:hAnsi="宋体" w:eastAsia="宋体"/>
                <w:color w:val="auto"/>
                <w:sz w:val="21"/>
                <w:szCs w:val="24"/>
                <w:highlight w:val="none"/>
                <w:lang w:val="en-US" w:eastAsia="zh-CN"/>
              </w:rPr>
              <w:t>地址：广州市增城区荔城街园圃路4号</w:t>
            </w:r>
          </w:p>
          <w:p w14:paraId="6CBD8547">
            <w:pPr>
              <w:pStyle w:val="28"/>
              <w:kinsoku w:val="0"/>
              <w:overflowPunct w:val="0"/>
              <w:spacing w:line="360" w:lineRule="auto"/>
              <w:jc w:val="both"/>
              <w:rPr>
                <w:rFonts w:hint="default" w:ascii="宋体" w:hAnsi="宋体" w:eastAsia="宋体"/>
                <w:color w:val="auto"/>
                <w:sz w:val="21"/>
                <w:szCs w:val="24"/>
                <w:highlight w:val="none"/>
                <w:lang w:val="en-US" w:eastAsia="zh-CN"/>
              </w:rPr>
            </w:pPr>
            <w:r>
              <w:rPr>
                <w:rFonts w:hint="default" w:ascii="宋体" w:hAnsi="宋体" w:eastAsia="宋体"/>
                <w:color w:val="auto"/>
                <w:sz w:val="21"/>
                <w:szCs w:val="24"/>
                <w:highlight w:val="none"/>
                <w:lang w:val="en-US" w:eastAsia="zh-CN"/>
              </w:rPr>
              <w:t>联系人：欧阳先生</w:t>
            </w:r>
          </w:p>
          <w:p w14:paraId="26915D54">
            <w:pPr>
              <w:pStyle w:val="28"/>
              <w:kinsoku w:val="0"/>
              <w:overflowPunct w:val="0"/>
              <w:spacing w:line="360" w:lineRule="auto"/>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lang w:val="en-US" w:eastAsia="zh-CN"/>
              </w:rPr>
              <w:t xml:space="preserve">电话： </w:t>
            </w:r>
            <w:r>
              <w:rPr>
                <w:rFonts w:hint="eastAsia" w:ascii="宋体" w:hAnsi="宋体"/>
                <w:color w:val="auto"/>
                <w:sz w:val="21"/>
                <w:szCs w:val="24"/>
                <w:highlight w:val="none"/>
                <w:lang w:val="en-US" w:eastAsia="zh-CN"/>
              </w:rPr>
              <w:t>020-</w:t>
            </w:r>
            <w:r>
              <w:rPr>
                <w:rFonts w:hint="default" w:ascii="宋体" w:hAnsi="宋体" w:eastAsia="宋体"/>
                <w:color w:val="auto"/>
                <w:sz w:val="21"/>
                <w:szCs w:val="24"/>
                <w:highlight w:val="none"/>
                <w:lang w:val="en-US" w:eastAsia="zh-CN"/>
              </w:rPr>
              <w:t>82632389</w:t>
            </w:r>
          </w:p>
        </w:tc>
      </w:tr>
      <w:tr w14:paraId="474F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A2FE803">
            <w:pPr>
              <w:pStyle w:val="28"/>
              <w:kinsoku w:val="0"/>
              <w:overflowPunct w:val="0"/>
              <w:jc w:val="center"/>
              <w:rPr>
                <w:rFonts w:hint="default" w:ascii="宋体" w:hAnsi="宋体" w:eastAsia="宋体"/>
                <w:color w:val="auto"/>
                <w:sz w:val="21"/>
                <w:szCs w:val="24"/>
                <w:highlight w:val="none"/>
              </w:rPr>
            </w:pPr>
            <w:r>
              <w:rPr>
                <w:rFonts w:hint="eastAsia" w:ascii="宋体" w:hAnsi="宋体" w:eastAsia="宋体"/>
                <w:color w:val="auto"/>
                <w:sz w:val="21"/>
                <w:szCs w:val="24"/>
                <w:highlight w:val="none"/>
              </w:rPr>
              <w:t>1.1.3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33247C2">
            <w:pPr>
              <w:pStyle w:val="28"/>
              <w:kinsoku w:val="0"/>
              <w:overflowPunct w:val="0"/>
              <w:jc w:val="center"/>
              <w:rPr>
                <w:rFonts w:hint="default" w:ascii="宋体" w:hAnsi="宋体" w:eastAsia="宋体"/>
                <w:color w:val="auto"/>
                <w:sz w:val="21"/>
                <w:szCs w:val="24"/>
                <w:highlight w:val="none"/>
              </w:rPr>
            </w:pPr>
            <w:r>
              <w:rPr>
                <w:rFonts w:hint="default" w:ascii="宋体" w:hAnsi="宋体" w:eastAsia="宋体"/>
                <w:color w:val="auto"/>
                <w:sz w:val="21"/>
                <w:szCs w:val="24"/>
                <w:highlight w:val="none"/>
              </w:rPr>
              <w:t>招标代理机构</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614CED7">
            <w:pPr>
              <w:pStyle w:val="28"/>
              <w:kinsoku w:val="0"/>
              <w:overflowPunct w:val="0"/>
              <w:spacing w:line="360" w:lineRule="auto"/>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 xml:space="preserve">名称：建成工程咨询股份有限公司  </w:t>
            </w:r>
          </w:p>
          <w:p w14:paraId="0A2B2175">
            <w:pPr>
              <w:pStyle w:val="28"/>
              <w:kinsoku w:val="0"/>
              <w:overflowPunct w:val="0"/>
              <w:spacing w:line="360" w:lineRule="auto"/>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地址：广州市越秀区东风中路318号嘉业大厦22楼</w:t>
            </w:r>
          </w:p>
          <w:p w14:paraId="1EB6E52C">
            <w:pPr>
              <w:pStyle w:val="28"/>
              <w:kinsoku w:val="0"/>
              <w:overflowPunct w:val="0"/>
              <w:spacing w:line="360" w:lineRule="auto"/>
              <w:jc w:val="both"/>
              <w:rPr>
                <w:rFonts w:hint="eastAsia" w:ascii="宋体" w:hAnsi="宋体" w:eastAsia="宋体"/>
                <w:color w:val="auto"/>
                <w:sz w:val="21"/>
                <w:szCs w:val="24"/>
                <w:highlight w:val="none"/>
                <w:lang w:eastAsia="zh-CN"/>
              </w:rPr>
            </w:pPr>
            <w:r>
              <w:rPr>
                <w:rFonts w:hint="default" w:ascii="宋体" w:hAnsi="宋体" w:eastAsia="宋体"/>
                <w:color w:val="auto"/>
                <w:sz w:val="21"/>
                <w:szCs w:val="24"/>
                <w:highlight w:val="none"/>
              </w:rPr>
              <w:t xml:space="preserve"> 联系</w:t>
            </w:r>
            <w:r>
              <w:rPr>
                <w:rFonts w:hint="default" w:ascii="宋体" w:hAnsi="宋体" w:eastAsia="宋体"/>
                <w:color w:val="auto"/>
                <w:sz w:val="21"/>
                <w:szCs w:val="24"/>
                <w:highlight w:val="none"/>
                <w:lang w:val="en-US" w:eastAsia="zh-CN"/>
              </w:rPr>
              <w:t>人</w:t>
            </w:r>
            <w:r>
              <w:rPr>
                <w:rFonts w:hint="default" w:ascii="宋体" w:hAnsi="宋体" w:eastAsia="宋体"/>
                <w:color w:val="auto"/>
                <w:sz w:val="21"/>
                <w:szCs w:val="24"/>
                <w:highlight w:val="none"/>
              </w:rPr>
              <w:t>：</w:t>
            </w:r>
            <w:r>
              <w:rPr>
                <w:rFonts w:hint="eastAsia" w:ascii="宋体" w:hAnsi="宋体"/>
                <w:color w:val="auto"/>
                <w:sz w:val="21"/>
                <w:szCs w:val="24"/>
                <w:highlight w:val="none"/>
                <w:lang w:eastAsia="zh-CN"/>
              </w:rPr>
              <w:t xml:space="preserve">蔡工/符工 </w:t>
            </w:r>
          </w:p>
          <w:p w14:paraId="3EF7ABD3">
            <w:pPr>
              <w:pStyle w:val="28"/>
              <w:kinsoku w:val="0"/>
              <w:overflowPunct w:val="0"/>
              <w:spacing w:line="360" w:lineRule="auto"/>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电话：020-32632286</w:t>
            </w:r>
          </w:p>
        </w:tc>
      </w:tr>
      <w:tr w14:paraId="7D89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245C8CB">
            <w:pPr>
              <w:pStyle w:val="28"/>
              <w:kinsoku w:val="0"/>
              <w:overflowPunct w:val="0"/>
              <w:jc w:val="center"/>
              <w:rPr>
                <w:rFonts w:hint="default" w:ascii="宋体" w:hAnsi="宋体" w:eastAsia="宋体"/>
                <w:color w:val="auto"/>
                <w:sz w:val="21"/>
                <w:szCs w:val="24"/>
                <w:highlight w:val="none"/>
              </w:rPr>
            </w:pPr>
            <w:r>
              <w:rPr>
                <w:rFonts w:hint="eastAsia" w:ascii="宋体" w:hAnsi="宋体" w:eastAsia="宋体"/>
                <w:color w:val="auto"/>
                <w:sz w:val="21"/>
                <w:szCs w:val="24"/>
                <w:highlight w:val="none"/>
              </w:rPr>
              <w:t>1.1.4</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22C4FA9">
            <w:pPr>
              <w:pStyle w:val="28"/>
              <w:kinsoku w:val="0"/>
              <w:overflowPunct w:val="0"/>
              <w:jc w:val="center"/>
              <w:rPr>
                <w:rFonts w:hint="default" w:ascii="宋体" w:hAnsi="宋体" w:eastAsia="宋体"/>
                <w:color w:val="auto"/>
                <w:sz w:val="21"/>
                <w:szCs w:val="24"/>
                <w:highlight w:val="none"/>
              </w:rPr>
            </w:pPr>
            <w:r>
              <w:rPr>
                <w:rFonts w:hint="default" w:ascii="宋体" w:hAnsi="宋体" w:eastAsia="宋体"/>
                <w:color w:val="auto"/>
                <w:sz w:val="21"/>
                <w:szCs w:val="24"/>
                <w:highlight w:val="none"/>
              </w:rPr>
              <w:t>招标项目名称</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34BC6A6">
            <w:pPr>
              <w:pStyle w:val="28"/>
              <w:kinsoku w:val="0"/>
              <w:overflowPunct w:val="0"/>
              <w:jc w:val="both"/>
              <w:rPr>
                <w:rFonts w:hint="default" w:ascii="宋体" w:hAnsi="宋体" w:eastAsia="宋体"/>
                <w:color w:val="auto"/>
                <w:sz w:val="21"/>
                <w:szCs w:val="24"/>
                <w:highlight w:val="none"/>
              </w:rPr>
            </w:pPr>
            <w:r>
              <w:rPr>
                <w:rFonts w:hint="eastAsia" w:ascii="宋体" w:hAnsi="宋体" w:eastAsia="宋体"/>
                <w:color w:val="auto"/>
                <w:sz w:val="21"/>
                <w:szCs w:val="24"/>
                <w:highlight w:val="none"/>
                <w:lang w:eastAsia="zh-CN"/>
              </w:rPr>
              <w:t>增城区中心城区净水厂污水处理设备更新改造项目施工监理服务</w:t>
            </w:r>
          </w:p>
        </w:tc>
      </w:tr>
      <w:tr w14:paraId="5003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5CD141C">
            <w:pPr>
              <w:pStyle w:val="28"/>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1.1.5</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152FE1F">
            <w:pPr>
              <w:pStyle w:val="28"/>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项目建设地点</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797E087">
            <w:pPr>
              <w:jc w:val="both"/>
              <w:rPr>
                <w:rFonts w:hint="default"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详见招标公告</w:t>
            </w:r>
          </w:p>
        </w:tc>
      </w:tr>
      <w:tr w14:paraId="0106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5329E03">
            <w:pPr>
              <w:pStyle w:val="28"/>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1.1.6</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6FC8958">
            <w:pPr>
              <w:pStyle w:val="28"/>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项目建设规模</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0CD6368">
            <w:pPr>
              <w:jc w:val="both"/>
              <w:rPr>
                <w:rFonts w:hint="default"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详见招标公告</w:t>
            </w:r>
          </w:p>
        </w:tc>
      </w:tr>
      <w:tr w14:paraId="2704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79FA801">
            <w:pPr>
              <w:pStyle w:val="28"/>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1.1.7</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16F6CAB">
            <w:pPr>
              <w:pStyle w:val="28"/>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工程项目施工预计开工日期和建设周期</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2F4E01F">
            <w:pPr>
              <w:jc w:val="both"/>
              <w:rPr>
                <w:rFonts w:hint="default"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具体以开工报告为准。</w:t>
            </w:r>
          </w:p>
        </w:tc>
      </w:tr>
      <w:tr w14:paraId="681E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F187E32">
            <w:pPr>
              <w:pStyle w:val="28"/>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1.1.8</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391ECA4">
            <w:pPr>
              <w:pStyle w:val="28"/>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建筑安装工程费</w:t>
            </w:r>
            <w:r>
              <w:rPr>
                <w:rFonts w:hint="eastAsia" w:ascii="Times New Roman" w:hAnsi="Times New Roman" w:eastAsia="Times New Roman"/>
                <w:color w:val="auto"/>
                <w:sz w:val="21"/>
                <w:szCs w:val="24"/>
                <w:highlight w:val="none"/>
              </w:rPr>
              <w:t>/</w:t>
            </w:r>
            <w:r>
              <w:rPr>
                <w:rFonts w:hint="default" w:ascii="宋体" w:hAnsi="宋体" w:eastAsia="宋体"/>
                <w:color w:val="auto"/>
                <w:sz w:val="21"/>
                <w:szCs w:val="24"/>
                <w:highlight w:val="none"/>
              </w:rPr>
              <w:t>工程概算</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6882BA1">
            <w:pPr>
              <w:widowControl/>
              <w:jc w:val="left"/>
              <w:rPr>
                <w:rFonts w:hint="default"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lang w:val="en-US" w:eastAsia="zh-CN"/>
              </w:rPr>
              <w:t>项目总投资约为</w:t>
            </w:r>
            <w:r>
              <w:rPr>
                <w:rFonts w:hint="eastAsia" w:ascii="宋体" w:hAnsi="宋体" w:eastAsia="宋体" w:cs="Times New Roman"/>
                <w:color w:val="auto"/>
                <w:kern w:val="0"/>
                <w:sz w:val="21"/>
                <w:szCs w:val="24"/>
                <w:highlight w:val="none"/>
                <w:lang w:val="en-US" w:eastAsia="zh-CN" w:bidi="ar"/>
              </w:rPr>
              <w:t>9684.28</w:t>
            </w:r>
            <w:r>
              <w:rPr>
                <w:rFonts w:hint="eastAsia" w:ascii="宋体" w:hAnsi="宋体" w:eastAsia="宋体" w:cs="Times New Roman"/>
                <w:color w:val="auto"/>
                <w:sz w:val="21"/>
                <w:szCs w:val="24"/>
                <w:highlight w:val="none"/>
                <w:lang w:val="en-US" w:eastAsia="zh-CN"/>
              </w:rPr>
              <w:t>万元，其中工程费约为：</w:t>
            </w:r>
            <w:r>
              <w:rPr>
                <w:rFonts w:hint="eastAsia" w:ascii="宋体" w:hAnsi="宋体" w:eastAsia="宋体" w:cs="Times New Roman"/>
                <w:color w:val="auto"/>
                <w:kern w:val="0"/>
                <w:sz w:val="21"/>
                <w:szCs w:val="24"/>
                <w:highlight w:val="none"/>
                <w:lang w:val="en-US" w:eastAsia="zh-CN" w:bidi="ar"/>
              </w:rPr>
              <w:t>7943.79</w:t>
            </w:r>
            <w:r>
              <w:rPr>
                <w:rFonts w:hint="eastAsia" w:ascii="宋体" w:hAnsi="宋体" w:eastAsia="宋体" w:cs="Times New Roman"/>
                <w:color w:val="auto"/>
                <w:sz w:val="21"/>
                <w:szCs w:val="24"/>
                <w:highlight w:val="none"/>
                <w:lang w:val="en-US" w:eastAsia="zh-CN"/>
              </w:rPr>
              <w:t>万元。</w:t>
            </w:r>
          </w:p>
        </w:tc>
      </w:tr>
      <w:tr w14:paraId="1101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9EB56A2">
            <w:pPr>
              <w:pStyle w:val="28"/>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78BBB89">
            <w:pPr>
              <w:pStyle w:val="28"/>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资金来源及比例</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9D2034E">
            <w:pPr>
              <w:jc w:val="both"/>
              <w:rPr>
                <w:rFonts w:hint="default"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详见招标公告</w:t>
            </w:r>
          </w:p>
        </w:tc>
      </w:tr>
      <w:tr w14:paraId="1004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FB3E277">
            <w:pPr>
              <w:pStyle w:val="28"/>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1.2.2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B5B0A40">
            <w:pPr>
              <w:pStyle w:val="28"/>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资金落实情况</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7F5ED11">
            <w:pPr>
              <w:jc w:val="both"/>
              <w:rPr>
                <w:rFonts w:hint="default"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lang w:val="en-US" w:eastAsia="zh-CN"/>
              </w:rPr>
              <w:t>已落实</w:t>
            </w:r>
          </w:p>
        </w:tc>
      </w:tr>
      <w:tr w14:paraId="4E0F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07BDDDF">
            <w:pPr>
              <w:pStyle w:val="28"/>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1.3.1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17ECCAF">
            <w:pPr>
              <w:pStyle w:val="28"/>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招标范围</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D228050">
            <w:pPr>
              <w:jc w:val="both"/>
              <w:rPr>
                <w:rFonts w:hint="default"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详见招标公告</w:t>
            </w:r>
          </w:p>
        </w:tc>
      </w:tr>
      <w:tr w14:paraId="71FD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BCC68B0">
            <w:pPr>
              <w:pStyle w:val="28"/>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1.3.2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50230B3">
            <w:pPr>
              <w:pStyle w:val="28"/>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监理服务期限</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23DF2F59">
            <w:pPr>
              <w:jc w:val="both"/>
              <w:rPr>
                <w:rFonts w:hint="default"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详见招标公告</w:t>
            </w:r>
          </w:p>
        </w:tc>
      </w:tr>
      <w:tr w14:paraId="1125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7683B81">
            <w:pPr>
              <w:pStyle w:val="28"/>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1.3.3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4922109">
            <w:pPr>
              <w:pStyle w:val="28"/>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质量标准</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E82DD2E">
            <w:pPr>
              <w:jc w:val="both"/>
              <w:rPr>
                <w:rFonts w:hint="default"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lang w:val="en-US" w:eastAsia="zh-CN"/>
              </w:rPr>
              <w:t>按国家、省级及项目地区相关规定执行的合格标准。</w:t>
            </w:r>
          </w:p>
        </w:tc>
      </w:tr>
      <w:tr w14:paraId="5D88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7F9B043">
            <w:pPr>
              <w:pStyle w:val="28"/>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1.4.1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1F10D09">
            <w:pPr>
              <w:pStyle w:val="28"/>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投标人资质条件、能力、信誉</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E91094D">
            <w:pPr>
              <w:pStyle w:val="28"/>
              <w:kinsoku w:val="0"/>
              <w:overflowPunct w:val="0"/>
              <w:jc w:val="both"/>
              <w:rPr>
                <w:rFonts w:hint="default" w:ascii="宋体" w:hAnsi="宋体" w:eastAsia="宋体"/>
                <w:color w:val="auto"/>
                <w:sz w:val="21"/>
                <w:szCs w:val="24"/>
                <w:highlight w:val="none"/>
                <w:lang w:eastAsia="zh-CN"/>
              </w:rPr>
            </w:pPr>
            <w:r>
              <w:rPr>
                <w:rFonts w:hint="default" w:ascii="宋体" w:hAnsi="宋体" w:eastAsia="宋体"/>
                <w:color w:val="auto"/>
                <w:sz w:val="21"/>
                <w:szCs w:val="24"/>
                <w:highlight w:val="none"/>
                <w:lang w:eastAsia="zh-CN"/>
              </w:rPr>
              <w:t>详见本项目招标公告。</w:t>
            </w:r>
          </w:p>
        </w:tc>
      </w:tr>
      <w:tr w14:paraId="104E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9539641">
            <w:pPr>
              <w:pStyle w:val="28"/>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1.4.2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102456E">
            <w:pPr>
              <w:pStyle w:val="28"/>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是否接受联合体投标</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C42AA6A">
            <w:pPr>
              <w:pStyle w:val="28"/>
              <w:kinsoku w:val="0"/>
              <w:overflowPunct w:val="0"/>
              <w:jc w:val="both"/>
              <w:rPr>
                <w:rFonts w:hint="default" w:ascii="宋体" w:hAnsi="宋体" w:eastAsia="宋体"/>
                <w:color w:val="auto"/>
                <w:sz w:val="21"/>
                <w:szCs w:val="24"/>
                <w:highlight w:val="none"/>
              </w:rPr>
            </w:pPr>
            <w:r>
              <w:rPr>
                <w:rFonts w:hint="eastAsia" w:ascii="仿宋" w:hAnsi="仿宋" w:eastAsia="仿宋" w:cs="仿宋"/>
                <w:color w:val="auto"/>
                <w:sz w:val="21"/>
                <w:szCs w:val="24"/>
                <w:highlight w:val="none"/>
              </w:rPr>
              <w:sym w:font="Wingdings 2" w:char="0052"/>
            </w:r>
            <w:r>
              <w:rPr>
                <w:rFonts w:hint="default" w:ascii="宋体" w:hAnsi="宋体" w:eastAsia="宋体"/>
                <w:color w:val="auto"/>
                <w:sz w:val="21"/>
                <w:szCs w:val="24"/>
                <w:highlight w:val="none"/>
              </w:rPr>
              <w:t>不接受</w:t>
            </w:r>
          </w:p>
          <w:p w14:paraId="2CB69017">
            <w:pPr>
              <w:pStyle w:val="28"/>
              <w:kinsoku w:val="0"/>
              <w:overflowPunct w:val="0"/>
              <w:jc w:val="both"/>
              <w:rPr>
                <w:rFonts w:hint="default"/>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接受，应满足下列要求：</w:t>
            </w:r>
          </w:p>
        </w:tc>
      </w:tr>
      <w:tr w14:paraId="3998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2FAB4AE">
            <w:pPr>
              <w:pStyle w:val="28"/>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1.4.3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CF06CF5">
            <w:pPr>
              <w:pStyle w:val="28"/>
              <w:kinsoku w:val="0"/>
              <w:overflowPunct w:val="0"/>
              <w:jc w:val="center"/>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投标人不得存在的其他情形</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18CB0E2">
            <w:pPr>
              <w:jc w:val="both"/>
              <w:rPr>
                <w:rFonts w:hint="default" w:ascii="宋体" w:hAnsi="宋体" w:eastAsia="宋体" w:cs="宋体"/>
                <w:b/>
                <w:color w:val="auto"/>
                <w:sz w:val="21"/>
                <w:szCs w:val="21"/>
                <w:highlight w:val="none"/>
              </w:rPr>
            </w:pPr>
            <w:r>
              <w:rPr>
                <w:rFonts w:hint="eastAsia" w:ascii="宋体" w:hAnsi="宋体"/>
                <w:color w:val="auto"/>
                <w:sz w:val="21"/>
                <w:highlight w:val="none"/>
              </w:rPr>
              <w:t>详见第二章“投标人须知”第</w:t>
            </w:r>
            <w:r>
              <w:rPr>
                <w:rFonts w:ascii="宋体" w:hAnsi="宋体"/>
                <w:color w:val="auto"/>
                <w:sz w:val="21"/>
                <w:highlight w:val="none"/>
              </w:rPr>
              <w:t>1.4.3项规定</w:t>
            </w:r>
            <w:r>
              <w:rPr>
                <w:rFonts w:hint="eastAsia" w:ascii="宋体" w:hAnsi="宋体"/>
                <w:color w:val="auto"/>
                <w:sz w:val="21"/>
                <w:highlight w:val="none"/>
              </w:rPr>
              <w:t>。</w:t>
            </w:r>
          </w:p>
        </w:tc>
      </w:tr>
      <w:tr w14:paraId="5ED2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35BB0A3">
            <w:pPr>
              <w:pStyle w:val="28"/>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1.9.1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EDF5555">
            <w:pPr>
              <w:pStyle w:val="28"/>
              <w:kinsoku w:val="0"/>
              <w:overflowPunct w:val="0"/>
              <w:jc w:val="center"/>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踏勘现场</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5047128">
            <w:pPr>
              <w:rPr>
                <w:rFonts w:hint="default"/>
                <w:color w:val="auto"/>
                <w:sz w:val="21"/>
                <w:szCs w:val="24"/>
                <w:highlight w:val="none"/>
              </w:rPr>
            </w:pPr>
            <w:r>
              <w:rPr>
                <w:rFonts w:hint="default" w:ascii="宋体" w:hAnsi="Times New Roman" w:eastAsia="宋体"/>
                <w:color w:val="auto"/>
                <w:sz w:val="21"/>
                <w:szCs w:val="24"/>
                <w:highlight w:val="none"/>
              </w:rPr>
              <w:t>招标人不集中组织，由投标人自行踏勘；</w:t>
            </w:r>
          </w:p>
          <w:p w14:paraId="1BED4E37">
            <w:pPr>
              <w:rPr>
                <w:rFonts w:hint="default"/>
                <w:color w:val="auto"/>
                <w:sz w:val="21"/>
                <w:szCs w:val="24"/>
                <w:highlight w:val="none"/>
              </w:rPr>
            </w:pPr>
            <w:r>
              <w:rPr>
                <w:rFonts w:hint="default" w:ascii="宋体" w:hAnsi="Times New Roman" w:eastAsia="宋体"/>
                <w:color w:val="auto"/>
                <w:sz w:val="21"/>
                <w:szCs w:val="24"/>
                <w:highlight w:val="none"/>
              </w:rPr>
              <w:t>时间：自公告发布之日起具备现场踏勘条件；</w:t>
            </w:r>
          </w:p>
          <w:p w14:paraId="57F64EF4">
            <w:pPr>
              <w:pStyle w:val="28"/>
              <w:kinsoku w:val="0"/>
              <w:overflowPunct w:val="0"/>
              <w:jc w:val="both"/>
              <w:rPr>
                <w:rFonts w:hint="default" w:ascii="宋体" w:hAnsi="宋体" w:eastAsia="宋体" w:cs="宋体"/>
                <w:b/>
                <w:color w:val="auto"/>
                <w:sz w:val="21"/>
                <w:szCs w:val="21"/>
                <w:highlight w:val="none"/>
              </w:rPr>
            </w:pPr>
            <w:r>
              <w:rPr>
                <w:rFonts w:hint="default" w:ascii="宋体" w:hAnsi="Times New Roman" w:eastAsia="宋体"/>
                <w:color w:val="auto"/>
                <w:sz w:val="21"/>
                <w:szCs w:val="24"/>
                <w:highlight w:val="none"/>
              </w:rPr>
              <w:t>现场详细地点：</w:t>
            </w:r>
            <w:r>
              <w:rPr>
                <w:rFonts w:hint="default"/>
                <w:color w:val="auto"/>
                <w:sz w:val="21"/>
                <w:szCs w:val="24"/>
                <w:highlight w:val="none"/>
              </w:rPr>
              <w:t>详见招标公告工程建设地点；</w:t>
            </w:r>
          </w:p>
        </w:tc>
      </w:tr>
      <w:tr w14:paraId="4B0E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top"/>
          </w:tcPr>
          <w:p w14:paraId="700C9296">
            <w:pPr>
              <w:spacing w:line="283" w:lineRule="auto"/>
              <w:jc w:val="center"/>
              <w:rPr>
                <w:rFonts w:hint="default" w:ascii="Arial" w:hAnsi="Times New Roman" w:eastAsia="宋体"/>
                <w:color w:val="auto"/>
                <w:sz w:val="21"/>
                <w:szCs w:val="24"/>
                <w:highlight w:val="none"/>
              </w:rPr>
            </w:pPr>
          </w:p>
          <w:p w14:paraId="142EAC68">
            <w:pPr>
              <w:spacing w:line="284" w:lineRule="auto"/>
              <w:jc w:val="center"/>
              <w:rPr>
                <w:rFonts w:hint="default" w:ascii="Arial" w:hAnsi="Times New Roman" w:eastAsia="宋体"/>
                <w:color w:val="auto"/>
                <w:sz w:val="21"/>
                <w:szCs w:val="24"/>
                <w:highlight w:val="none"/>
              </w:rPr>
            </w:pPr>
          </w:p>
          <w:p w14:paraId="38D9E0EE">
            <w:pPr>
              <w:spacing w:before="60" w:line="186" w:lineRule="auto"/>
              <w:jc w:val="center"/>
              <w:rPr>
                <w:rFonts w:hint="eastAsia" w:ascii="Times New Roman" w:hAnsi="Times New Roman" w:eastAsia="Times New Roman" w:cs="Times New Roman"/>
                <w:color w:val="auto"/>
                <w:sz w:val="21"/>
                <w:szCs w:val="21"/>
                <w:highlight w:val="none"/>
              </w:rPr>
            </w:pPr>
            <w:r>
              <w:rPr>
                <w:rFonts w:hint="eastAsia" w:ascii="Times New Roman" w:hAnsi="Times New Roman" w:eastAsia="Times New Roman" w:cs="Times New Roman"/>
                <w:color w:val="auto"/>
                <w:spacing w:val="-5"/>
                <w:sz w:val="21"/>
                <w:szCs w:val="21"/>
                <w:highlight w:val="none"/>
              </w:rPr>
              <w:t>1</w:t>
            </w:r>
            <w:r>
              <w:rPr>
                <w:rFonts w:hint="eastAsia" w:ascii="Times New Roman" w:hAnsi="Times New Roman" w:eastAsia="Times New Roman" w:cs="Times New Roman"/>
                <w:color w:val="auto"/>
                <w:spacing w:val="-4"/>
                <w:sz w:val="21"/>
                <w:szCs w:val="21"/>
                <w:highlight w:val="none"/>
              </w:rPr>
              <w:t>.10.1</w:t>
            </w:r>
          </w:p>
        </w:tc>
        <w:tc>
          <w:tcPr>
            <w:tcW w:w="2607" w:type="dxa"/>
            <w:tcBorders>
              <w:top w:val="single" w:color="auto" w:sz="4" w:space="0"/>
              <w:left w:val="single" w:color="auto" w:sz="4" w:space="0"/>
              <w:bottom w:val="single" w:color="auto" w:sz="4" w:space="0"/>
              <w:right w:val="single" w:color="auto" w:sz="4" w:space="0"/>
              <w:tl2br w:val="nil"/>
              <w:tr2bl w:val="nil"/>
            </w:tcBorders>
            <w:vAlign w:val="top"/>
          </w:tcPr>
          <w:p w14:paraId="6CE02636">
            <w:pPr>
              <w:spacing w:line="260" w:lineRule="auto"/>
              <w:jc w:val="center"/>
              <w:rPr>
                <w:rFonts w:hint="default" w:ascii="Arial" w:hAnsi="Times New Roman" w:eastAsia="宋体"/>
                <w:color w:val="auto"/>
                <w:sz w:val="21"/>
                <w:szCs w:val="24"/>
                <w:highlight w:val="none"/>
              </w:rPr>
            </w:pPr>
          </w:p>
          <w:p w14:paraId="2FC64DD9">
            <w:pPr>
              <w:spacing w:line="260" w:lineRule="auto"/>
              <w:jc w:val="center"/>
              <w:rPr>
                <w:rFonts w:hint="default" w:ascii="Arial" w:hAnsi="Times New Roman" w:eastAsia="宋体"/>
                <w:color w:val="auto"/>
                <w:sz w:val="21"/>
                <w:szCs w:val="24"/>
                <w:highlight w:val="none"/>
              </w:rPr>
            </w:pPr>
          </w:p>
          <w:p w14:paraId="0C429B42">
            <w:pPr>
              <w:spacing w:before="68" w:line="217" w:lineRule="auto"/>
              <w:jc w:val="center"/>
              <w:rPr>
                <w:rFonts w:hint="default" w:ascii="宋体" w:hAnsi="宋体" w:eastAsia="宋体" w:cs="宋体"/>
                <w:color w:val="auto"/>
                <w:sz w:val="21"/>
                <w:szCs w:val="21"/>
                <w:highlight w:val="none"/>
              </w:rPr>
            </w:pPr>
            <w:r>
              <w:rPr>
                <w:rFonts w:hint="default" w:ascii="宋体" w:hAnsi="宋体" w:eastAsia="宋体" w:cs="Times New Roman"/>
                <w:color w:val="auto"/>
                <w:sz w:val="21"/>
                <w:szCs w:val="21"/>
                <w:highlight w:val="none"/>
              </w:rPr>
              <w:t>投标预备会</w:t>
            </w:r>
          </w:p>
        </w:tc>
        <w:tc>
          <w:tcPr>
            <w:tcW w:w="5463" w:type="dxa"/>
            <w:tcBorders>
              <w:top w:val="single" w:color="auto" w:sz="4" w:space="0"/>
              <w:left w:val="single" w:color="auto" w:sz="4" w:space="0"/>
              <w:bottom w:val="single" w:color="auto" w:sz="4" w:space="0"/>
              <w:right w:val="single" w:color="auto" w:sz="4" w:space="0"/>
              <w:tl2br w:val="nil"/>
              <w:tr2bl w:val="nil"/>
            </w:tcBorders>
            <w:vAlign w:val="top"/>
          </w:tcPr>
          <w:p w14:paraId="25C95894">
            <w:pPr>
              <w:pStyle w:val="10"/>
              <w:spacing w:before="62" w:beforeLines="20" w:after="62" w:afterLines="20"/>
              <w:ind w:left="48" w:leftChars="20" w:right="48" w:rightChars="2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☑不召开</w:t>
            </w:r>
          </w:p>
          <w:p w14:paraId="654046D6">
            <w:pPr>
              <w:spacing w:before="62" w:beforeLines="20" w:after="62" w:afterLines="20"/>
              <w:ind w:left="48" w:leftChars="20" w:right="48" w:rightChars="2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sym w:font="Wingdings 2" w:char="00A3"/>
            </w:r>
            <w:r>
              <w:rPr>
                <w:rFonts w:hint="default" w:ascii="宋体" w:hAnsi="宋体" w:eastAsia="宋体" w:cs="宋体"/>
                <w:color w:val="auto"/>
                <w:sz w:val="21"/>
                <w:szCs w:val="21"/>
                <w:highlight w:val="none"/>
              </w:rPr>
              <w:t>召开，召开时间：</w:t>
            </w:r>
          </w:p>
          <w:p w14:paraId="2598D969">
            <w:pPr>
              <w:spacing w:before="173"/>
              <w:ind w:right="50" w:firstLine="840" w:firstLineChars="400"/>
              <w:rPr>
                <w:rFonts w:hint="default" w:ascii="宋体" w:hAnsi="宋体" w:eastAsia="宋体"/>
                <w:color w:val="auto"/>
                <w:sz w:val="21"/>
                <w:szCs w:val="24"/>
                <w:highlight w:val="none"/>
              </w:rPr>
            </w:pPr>
            <w:r>
              <w:rPr>
                <w:rFonts w:hint="default" w:ascii="宋体" w:hAnsi="宋体" w:eastAsia="宋体" w:cs="宋体"/>
                <w:color w:val="auto"/>
                <w:sz w:val="21"/>
                <w:szCs w:val="21"/>
                <w:highlight w:val="none"/>
              </w:rPr>
              <w:t>召开地点：</w:t>
            </w:r>
          </w:p>
        </w:tc>
      </w:tr>
      <w:tr w14:paraId="670A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1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99EC2B0">
            <w:pPr>
              <w:spacing w:before="60" w:line="186" w:lineRule="auto"/>
              <w:jc w:val="center"/>
              <w:rPr>
                <w:rFonts w:hint="eastAsia" w:ascii="Times New Roman" w:hAnsi="Times New Roman" w:eastAsia="Times New Roman" w:cs="Times New Roman"/>
                <w:color w:val="auto"/>
                <w:spacing w:val="-5"/>
                <w:sz w:val="21"/>
                <w:szCs w:val="21"/>
                <w:highlight w:val="none"/>
              </w:rPr>
            </w:pPr>
            <w:r>
              <w:rPr>
                <w:rFonts w:hint="eastAsia" w:ascii="Times New Roman" w:hAnsi="Times New Roman" w:eastAsia="Times New Roman" w:cs="Times New Roman"/>
                <w:color w:val="auto"/>
                <w:spacing w:val="-5"/>
                <w:sz w:val="21"/>
                <w:szCs w:val="21"/>
                <w:highlight w:val="none"/>
              </w:rPr>
              <w:t>1.10.2</w:t>
            </w:r>
          </w:p>
        </w:tc>
        <w:tc>
          <w:tcPr>
            <w:tcW w:w="260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FFCF42B">
            <w:pPr>
              <w:spacing w:before="68" w:line="217" w:lineRule="auto"/>
              <w:jc w:val="center"/>
              <w:rPr>
                <w:rFonts w:hint="default" w:ascii="宋体" w:hAnsi="宋体" w:eastAsia="宋体" w:cs="宋体"/>
                <w:color w:val="auto"/>
                <w:spacing w:val="-2"/>
                <w:sz w:val="21"/>
                <w:szCs w:val="21"/>
                <w:highlight w:val="none"/>
              </w:rPr>
            </w:pPr>
            <w:r>
              <w:rPr>
                <w:rFonts w:hint="default" w:ascii="宋体" w:hAnsi="宋体" w:eastAsia="宋体" w:cs="宋体"/>
                <w:color w:val="auto"/>
                <w:sz w:val="21"/>
                <w:szCs w:val="21"/>
                <w:highlight w:val="none"/>
              </w:rPr>
              <w:t>投标人在投标预备会前提出问题</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7A76FC1">
            <w:pPr>
              <w:autoSpaceDE/>
              <w:autoSpaceDN/>
              <w:adjustRightInd/>
              <w:spacing w:before="63" w:beforeLines="20" w:after="63" w:afterLines="20"/>
              <w:ind w:left="48" w:leftChars="20" w:right="48" w:rightChars="20"/>
              <w:rPr>
                <w:rFonts w:hint="default" w:ascii="宋体" w:hAnsi="宋体" w:eastAsia="宋体" w:cs="宋体"/>
                <w:color w:val="auto"/>
                <w:sz w:val="21"/>
                <w:szCs w:val="21"/>
                <w:highlight w:val="none"/>
                <w:lang w:val="en-US"/>
              </w:rPr>
            </w:pPr>
            <w:r>
              <w:rPr>
                <w:rFonts w:hint="default" w:ascii="宋体" w:hAnsi="宋体" w:eastAsia="宋体" w:cs="宋体"/>
                <w:color w:val="auto"/>
                <w:sz w:val="21"/>
                <w:szCs w:val="21"/>
                <w:highlight w:val="none"/>
              </w:rPr>
              <w:t>时间：</w:t>
            </w:r>
            <w:r>
              <w:rPr>
                <w:rFonts w:hint="default" w:ascii="宋体" w:hAnsi="宋体" w:eastAsia="宋体" w:cs="宋体"/>
                <w:color w:val="auto"/>
                <w:sz w:val="21"/>
                <w:szCs w:val="21"/>
                <w:highlight w:val="none"/>
                <w:lang w:val="en-US" w:eastAsia="zh-CN"/>
              </w:rPr>
              <w:t xml:space="preserve"> /</w:t>
            </w:r>
          </w:p>
        </w:tc>
      </w:tr>
      <w:tr w14:paraId="5CBC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506A822">
            <w:pPr>
              <w:pStyle w:val="28"/>
              <w:kinsoku w:val="0"/>
              <w:overflowPunct w:val="0"/>
              <w:jc w:val="center"/>
              <w:rPr>
                <w:rFonts w:hint="eastAsia" w:ascii="Times New Roman" w:hAnsi="Times New Roman" w:eastAsia="Times New Roman"/>
                <w:color w:val="auto"/>
                <w:sz w:val="21"/>
                <w:szCs w:val="24"/>
                <w:highlight w:val="none"/>
              </w:rPr>
            </w:pPr>
          </w:p>
        </w:tc>
        <w:tc>
          <w:tcPr>
            <w:tcW w:w="26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E66237F">
            <w:pPr>
              <w:pStyle w:val="28"/>
              <w:kinsoku w:val="0"/>
              <w:overflowPunct w:val="0"/>
              <w:jc w:val="center"/>
              <w:rPr>
                <w:rFonts w:hint="default" w:ascii="宋体" w:hAnsi="宋体" w:eastAsia="宋体"/>
                <w:color w:val="auto"/>
                <w:sz w:val="21"/>
                <w:szCs w:val="24"/>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978018C">
            <w:pPr>
              <w:autoSpaceDE/>
              <w:autoSpaceDN/>
              <w:adjustRightInd/>
              <w:spacing w:before="63" w:beforeLines="20" w:after="63" w:afterLines="20"/>
              <w:ind w:left="48" w:leftChars="20" w:right="48" w:rightChars="20"/>
              <w:rPr>
                <w:rFonts w:hint="default" w:ascii="宋体" w:hAnsi="宋体" w:eastAsia="宋体" w:cs="宋体"/>
                <w:color w:val="auto"/>
                <w:sz w:val="21"/>
                <w:szCs w:val="21"/>
                <w:highlight w:val="none"/>
                <w:lang w:val="en-US"/>
              </w:rPr>
            </w:pPr>
            <w:r>
              <w:rPr>
                <w:rFonts w:hint="default" w:ascii="宋体" w:hAnsi="宋体" w:eastAsia="宋体" w:cs="宋体"/>
                <w:color w:val="auto"/>
                <w:sz w:val="21"/>
                <w:szCs w:val="21"/>
                <w:highlight w:val="none"/>
              </w:rPr>
              <w:t>形式：</w:t>
            </w:r>
            <w:r>
              <w:rPr>
                <w:rFonts w:hint="default" w:ascii="宋体" w:hAnsi="宋体" w:eastAsia="宋体" w:cs="宋体"/>
                <w:color w:val="auto"/>
                <w:sz w:val="21"/>
                <w:szCs w:val="21"/>
                <w:highlight w:val="none"/>
                <w:lang w:val="en-US" w:eastAsia="zh-CN"/>
              </w:rPr>
              <w:t xml:space="preserve"> /</w:t>
            </w:r>
          </w:p>
        </w:tc>
      </w:tr>
      <w:tr w14:paraId="7486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D61D32E">
            <w:pPr>
              <w:spacing w:before="62" w:beforeLines="20" w:after="62" w:afterLines="20"/>
              <w:ind w:left="48" w:leftChars="20" w:right="48" w:rightChars="20"/>
              <w:jc w:val="center"/>
              <w:rPr>
                <w:rFonts w:hint="default" w:ascii="Arial" w:hAnsi="宋体" w:eastAsia="宋体" w:cs="宋体"/>
                <w:snapToGrid w:val="0"/>
                <w:color w:val="auto"/>
                <w:sz w:val="21"/>
                <w:szCs w:val="21"/>
                <w:highlight w:val="none"/>
              </w:rPr>
            </w:pPr>
            <w:r>
              <w:rPr>
                <w:rFonts w:hint="eastAsia" w:ascii="Times New Roman" w:hAnsi="Times New Roman" w:eastAsia="Times New Roman" w:cs="Times New Roman"/>
                <w:color w:val="auto"/>
                <w:spacing w:val="-5"/>
                <w:sz w:val="21"/>
                <w:szCs w:val="21"/>
                <w:highlight w:val="none"/>
              </w:rPr>
              <w:t>1.10.3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2EFF996">
            <w:pPr>
              <w:spacing w:before="62" w:beforeLines="20" w:after="62" w:afterLines="20"/>
              <w:ind w:left="48" w:leftChars="20" w:right="48" w:rightChars="20"/>
              <w:jc w:val="center"/>
              <w:rPr>
                <w:rFonts w:hint="default" w:ascii="宋体" w:hAnsi="宋体" w:eastAsia="宋体" w:cs="宋体"/>
                <w:snapToGrid w:val="0"/>
                <w:color w:val="auto"/>
                <w:sz w:val="21"/>
                <w:szCs w:val="21"/>
                <w:highlight w:val="none"/>
              </w:rPr>
            </w:pPr>
            <w:r>
              <w:rPr>
                <w:rFonts w:hint="default" w:ascii="宋体" w:hAnsi="宋体" w:eastAsia="宋体" w:cs="宋体"/>
                <w:color w:val="auto"/>
                <w:sz w:val="21"/>
                <w:szCs w:val="21"/>
                <w:highlight w:val="none"/>
              </w:rPr>
              <w:t>招标文件澄清发出的形式</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C218B79">
            <w:pPr>
              <w:autoSpaceDE/>
              <w:autoSpaceDN/>
              <w:adjustRightInd/>
              <w:spacing w:before="63" w:beforeLines="20" w:after="63" w:afterLines="20"/>
              <w:ind w:left="0" w:leftChars="0" w:right="48" w:rightChars="20" w:firstLine="0" w:firstLineChars="0"/>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招标文件的澄清均以广州交易集团有限公司（广州公共资源交易中心）网站发布的内容为准。当招标文件的澄清、修改在同一内容的表述不一致时，以广州交易集团有限公司（广州公共资源交易中心）网站最后发布的内容为准。</w:t>
            </w:r>
          </w:p>
        </w:tc>
      </w:tr>
      <w:tr w14:paraId="6C3B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7A3E100">
            <w:pPr>
              <w:pStyle w:val="28"/>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1.12.1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FA40542">
            <w:pPr>
              <w:pStyle w:val="28"/>
              <w:kinsoku w:val="0"/>
              <w:overflowPunct w:val="0"/>
              <w:jc w:val="center"/>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实质性要求和条件</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DBE996E">
            <w:pPr>
              <w:autoSpaceDE/>
              <w:autoSpaceDN/>
              <w:adjustRightInd/>
              <w:spacing w:before="63" w:beforeLines="20" w:after="63" w:afterLines="20"/>
              <w:ind w:right="48" w:rightChars="20" w:firstLine="0" w:firstLineChars="0"/>
              <w:jc w:val="left"/>
              <w:rPr>
                <w:rFonts w:hint="default" w:ascii="宋体" w:hAnsi="宋体" w:eastAsia="宋体" w:cs="宋体"/>
                <w:b w:val="0"/>
                <w:color w:val="auto"/>
                <w:sz w:val="21"/>
                <w:szCs w:val="21"/>
                <w:highlight w:val="none"/>
                <w:lang w:eastAsia="zh-CN"/>
              </w:rPr>
            </w:pPr>
            <w:r>
              <w:rPr>
                <w:rFonts w:hint="default" w:ascii="宋体" w:hAnsi="宋体" w:eastAsia="宋体" w:cs="宋体"/>
                <w:b w:val="0"/>
                <w:color w:val="auto"/>
                <w:sz w:val="21"/>
                <w:szCs w:val="21"/>
                <w:highlight w:val="none"/>
                <w:lang w:eastAsia="zh-CN"/>
              </w:rPr>
              <w:t>详见评标办法前附表中2.1.1、2.1.2、2.1.3的评审标准。</w:t>
            </w:r>
          </w:p>
        </w:tc>
      </w:tr>
      <w:tr w14:paraId="3F09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FB3529E">
            <w:pPr>
              <w:pStyle w:val="28"/>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1.12.3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8D7A1F7">
            <w:pPr>
              <w:pStyle w:val="28"/>
              <w:kinsoku w:val="0"/>
              <w:overflowPunct w:val="0"/>
              <w:jc w:val="center"/>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偏差</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019A98A">
            <w:pPr>
              <w:pStyle w:val="28"/>
              <w:kinsoku w:val="0"/>
              <w:overflowPunct w:val="0"/>
              <w:jc w:val="both"/>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52"/>
            </w:r>
            <w:r>
              <w:rPr>
                <w:rFonts w:hint="default" w:ascii="宋体" w:hAnsi="宋体" w:eastAsia="宋体"/>
                <w:color w:val="auto"/>
                <w:sz w:val="21"/>
                <w:szCs w:val="24"/>
                <w:highlight w:val="none"/>
              </w:rPr>
              <w:t>不允许</w:t>
            </w:r>
          </w:p>
          <w:p w14:paraId="44A70E2F">
            <w:pPr>
              <w:pStyle w:val="28"/>
              <w:kinsoku w:val="0"/>
              <w:overflowPunct w:val="0"/>
              <w:jc w:val="both"/>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允许，偏差范围：</w:t>
            </w:r>
          </w:p>
          <w:p w14:paraId="27FD7128">
            <w:pPr>
              <w:pStyle w:val="28"/>
              <w:kinsoku w:val="0"/>
              <w:overflowPunct w:val="0"/>
              <w:jc w:val="both"/>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偏差幅度：</w:t>
            </w:r>
          </w:p>
        </w:tc>
      </w:tr>
      <w:tr w14:paraId="7EFD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15DD80E">
            <w:pPr>
              <w:pStyle w:val="28"/>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E636B7C">
            <w:pPr>
              <w:pStyle w:val="28"/>
              <w:kinsoku w:val="0"/>
              <w:overflowPunct w:val="0"/>
              <w:jc w:val="center"/>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构成招标文件的其他资料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2F9C5C9">
            <w:pPr>
              <w:jc w:val="both"/>
              <w:rPr>
                <w:rFonts w:hint="default" w:ascii="宋体" w:hAnsi="宋体" w:eastAsia="宋体" w:cs="宋体"/>
                <w:b/>
                <w:color w:val="auto"/>
                <w:sz w:val="21"/>
                <w:szCs w:val="21"/>
                <w:highlight w:val="none"/>
              </w:rPr>
            </w:pPr>
            <w:r>
              <w:rPr>
                <w:rFonts w:hint="default" w:ascii="宋体" w:hAnsi="宋体" w:cs="Times New Roman"/>
                <w:color w:val="auto"/>
                <w:sz w:val="21"/>
                <w:szCs w:val="24"/>
                <w:highlight w:val="none"/>
              </w:rPr>
              <w:t>对招标文件所作的澄清、修改</w:t>
            </w:r>
            <w:r>
              <w:rPr>
                <w:rFonts w:hint="default" w:ascii="宋体" w:hAnsi="宋体" w:eastAsia="宋体" w:cs="Times New Roman"/>
                <w:b w:val="0"/>
                <w:color w:val="auto"/>
                <w:sz w:val="21"/>
                <w:szCs w:val="24"/>
                <w:highlight w:val="none"/>
                <w:lang w:val="en-US" w:eastAsia="zh-CN"/>
              </w:rPr>
              <w:t>。</w:t>
            </w:r>
          </w:p>
        </w:tc>
      </w:tr>
      <w:tr w14:paraId="430E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6535DB1E">
            <w:pPr>
              <w:spacing w:before="60" w:line="186" w:lineRule="auto"/>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s="Times New Roman"/>
                <w:color w:val="auto"/>
                <w:spacing w:val="-1"/>
                <w:sz w:val="21"/>
                <w:szCs w:val="21"/>
                <w:highlight w:val="none"/>
              </w:rPr>
              <w:t>2.2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4A7C711">
            <w:pPr>
              <w:spacing w:line="272" w:lineRule="auto"/>
              <w:jc w:val="center"/>
              <w:rPr>
                <w:rFonts w:hint="default"/>
                <w:color w:val="auto"/>
                <w:sz w:val="21"/>
                <w:szCs w:val="24"/>
                <w:highlight w:val="none"/>
              </w:rPr>
            </w:pPr>
          </w:p>
          <w:p w14:paraId="47B8022A">
            <w:pPr>
              <w:spacing w:before="69" w:line="220" w:lineRule="auto"/>
              <w:jc w:val="center"/>
              <w:rPr>
                <w:rFonts w:hint="default"/>
                <w:color w:val="auto"/>
                <w:sz w:val="21"/>
                <w:szCs w:val="24"/>
                <w:highlight w:val="none"/>
                <w:lang w:eastAsia="zh-CN"/>
              </w:rPr>
            </w:pPr>
            <w:r>
              <w:rPr>
                <w:rFonts w:hint="default" w:ascii="宋体" w:hAnsi="Times New Roman" w:eastAsia="宋体"/>
                <w:color w:val="auto"/>
                <w:sz w:val="21"/>
                <w:szCs w:val="24"/>
                <w:highlight w:val="none"/>
                <w:lang w:eastAsia="zh-CN"/>
              </w:rPr>
              <w:t>招标答疑</w:t>
            </w:r>
          </w:p>
          <w:p w14:paraId="3D0DC3D8">
            <w:pPr>
              <w:jc w:val="center"/>
              <w:rPr>
                <w:rFonts w:hint="default"/>
                <w:color w:val="auto"/>
                <w:sz w:val="21"/>
                <w:szCs w:val="24"/>
                <w:highlight w:val="none"/>
                <w:lang w:eastAsia="zh-CN"/>
              </w:rPr>
            </w:pPr>
          </w:p>
          <w:p w14:paraId="42FF89E9">
            <w:pPr>
              <w:tabs>
                <w:tab w:val="left" w:pos="1103"/>
              </w:tabs>
              <w:jc w:val="center"/>
              <w:rPr>
                <w:rFonts w:hint="default" w:ascii="宋体" w:hAnsi="宋体" w:eastAsia="宋体"/>
                <w:color w:val="auto"/>
                <w:sz w:val="21"/>
                <w:szCs w:val="24"/>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vAlign w:val="top"/>
          </w:tcPr>
          <w:p w14:paraId="32DA1620">
            <w:pPr>
              <w:autoSpaceDE/>
              <w:autoSpaceDN/>
              <w:adjustRightInd/>
              <w:snapToGrid w:val="0"/>
              <w:jc w:val="both"/>
              <w:rPr>
                <w:rFonts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时间：在投标截止日期前18日</w:t>
            </w:r>
          </w:p>
          <w:p w14:paraId="0B048C39">
            <w:pPr>
              <w:autoSpaceDE/>
              <w:autoSpaceDN/>
              <w:adjustRightInd/>
              <w:snapToGrid w:val="0"/>
              <w:jc w:val="both"/>
              <w:outlineLvl w:val="0"/>
              <w:rPr>
                <w:rFonts w:ascii="宋体" w:hAnsi="宋体" w:cs="宋体"/>
                <w:color w:val="auto"/>
                <w:sz w:val="21"/>
                <w:szCs w:val="21"/>
                <w:highlight w:val="none"/>
                <w:u w:val="single"/>
              </w:rPr>
            </w:pPr>
            <w:bookmarkStart w:id="6" w:name="_Toc21897"/>
            <w:r>
              <w:rPr>
                <w:rFonts w:hint="eastAsia" w:ascii="宋体" w:hAnsi="宋体" w:cs="宋体"/>
                <w:color w:val="auto"/>
                <w:sz w:val="21"/>
                <w:szCs w:val="21"/>
                <w:highlight w:val="none"/>
                <w:u w:val="single"/>
              </w:rPr>
              <w:t>形式：1、招标答疑采用网上答疑方式进行。投标人若对招标文件有疑问的，可在规定的时间内通过广州公共资源交易中心网站进入提问区域将问题提交给招标人或招标代理人，提交问题时一律不得署名。</w:t>
            </w:r>
            <w:bookmarkEnd w:id="6"/>
          </w:p>
          <w:p w14:paraId="08665EFB">
            <w:pPr>
              <w:autoSpaceDE/>
              <w:autoSpaceDN/>
              <w:adjustRightInd/>
              <w:snapToGrid w:val="0"/>
              <w:ind w:firstLine="420" w:firstLineChars="200"/>
              <w:jc w:val="both"/>
              <w:outlineLvl w:val="0"/>
              <w:rPr>
                <w:rFonts w:ascii="宋体" w:hAnsi="宋体" w:cs="宋体"/>
                <w:color w:val="auto"/>
                <w:sz w:val="21"/>
                <w:szCs w:val="21"/>
                <w:highlight w:val="none"/>
                <w:u w:val="single"/>
              </w:rPr>
            </w:pPr>
            <w:bookmarkStart w:id="7" w:name="_Toc16112"/>
            <w:r>
              <w:rPr>
                <w:rFonts w:hint="eastAsia" w:ascii="宋体" w:hAnsi="宋体" w:cs="宋体"/>
                <w:color w:val="auto"/>
                <w:sz w:val="21"/>
                <w:szCs w:val="21"/>
                <w:highlight w:val="none"/>
                <w:u w:val="single"/>
              </w:rPr>
              <w:t>网上答疑的操作指南为：网上答疑的操作指南为：登录广州公共资源交易中心网站→进入“我是投标人”→进入“新建设工程交易平台”→进入“我的投标”→进入“招标答疑提问”→通过项目编号或名称找到所需的项目→在下述的答疑时间内点击“答疑提问”进入到提问区域→无记名或匿名提出问题。</w:t>
            </w:r>
            <w:bookmarkEnd w:id="7"/>
          </w:p>
          <w:p w14:paraId="65534288">
            <w:pPr>
              <w:autoSpaceDE/>
              <w:autoSpaceDN/>
              <w:adjustRightInd/>
              <w:snapToGrid w:val="0"/>
              <w:jc w:val="both"/>
              <w:outlineLvl w:val="0"/>
              <w:rPr>
                <w:rFonts w:ascii="宋体" w:hAnsi="宋体" w:cs="宋体"/>
                <w:color w:val="auto"/>
                <w:sz w:val="21"/>
                <w:szCs w:val="21"/>
                <w:highlight w:val="none"/>
                <w:u w:val="single"/>
              </w:rPr>
            </w:pPr>
            <w:bookmarkStart w:id="8" w:name="_Toc11255"/>
            <w:r>
              <w:rPr>
                <w:rFonts w:hint="eastAsia" w:ascii="宋体" w:hAnsi="宋体" w:cs="宋体"/>
                <w:color w:val="auto"/>
                <w:sz w:val="21"/>
                <w:szCs w:val="21"/>
                <w:highlight w:val="none"/>
                <w:u w:val="single"/>
              </w:rPr>
              <w:t>2、投标人应在投标截止时间18日前停止质疑。招标人应在投标截止时间15日前解答投标人对招标文件提出的疑问，形成答疑纪要，并经招标监管机构备案后，方可在广州公共资源交易中心网站项目答疑专区发布。</w:t>
            </w:r>
            <w:bookmarkEnd w:id="8"/>
          </w:p>
          <w:p w14:paraId="18B7109A">
            <w:pPr>
              <w:autoSpaceDE/>
              <w:autoSpaceDN/>
              <w:adjustRightInd/>
              <w:snapToGrid w:val="0"/>
              <w:jc w:val="both"/>
              <w:outlineLvl w:val="0"/>
              <w:rPr>
                <w:rFonts w:ascii="宋体" w:hAnsi="宋体" w:cs="宋体"/>
                <w:color w:val="auto"/>
                <w:sz w:val="21"/>
                <w:szCs w:val="21"/>
                <w:highlight w:val="none"/>
                <w:u w:val="single"/>
              </w:rPr>
            </w:pPr>
            <w:bookmarkStart w:id="9" w:name="_Toc12769"/>
            <w:r>
              <w:rPr>
                <w:rFonts w:hint="eastAsia" w:ascii="宋体" w:hAnsi="宋体" w:cs="宋体"/>
                <w:color w:val="auto"/>
                <w:sz w:val="21"/>
                <w:szCs w:val="21"/>
                <w:highlight w:val="none"/>
                <w:u w:val="single"/>
              </w:rPr>
              <w:t>3、招标答疑纪要一经在广州公共资源交易中心网站发布，视作已发放给所有投标人。</w:t>
            </w:r>
            <w:bookmarkEnd w:id="9"/>
          </w:p>
          <w:p w14:paraId="10342991">
            <w:pPr>
              <w:spacing w:before="156" w:beforeLines="50"/>
              <w:ind w:left="113" w:leftChars="47"/>
              <w:rPr>
                <w:rFonts w:hint="default" w:ascii="宋体" w:hAnsi="宋体" w:eastAsia="宋体" w:cs="宋体"/>
                <w:b/>
                <w:color w:val="auto"/>
                <w:sz w:val="21"/>
                <w:szCs w:val="21"/>
                <w:highlight w:val="none"/>
              </w:rPr>
            </w:pPr>
            <w:r>
              <w:rPr>
                <w:rFonts w:hint="eastAsia" w:ascii="宋体" w:hAnsi="宋体" w:cs="宋体"/>
                <w:color w:val="auto"/>
                <w:kern w:val="2"/>
                <w:sz w:val="21"/>
                <w:szCs w:val="21"/>
                <w:highlight w:val="none"/>
                <w:u w:val="single"/>
              </w:rPr>
              <w:t>4、招标答疑纪要为招标文件的一部分。投标人可在广州公资源交易中心网站浏览、下载招标答疑纪要。</w:t>
            </w:r>
          </w:p>
        </w:tc>
      </w:tr>
      <w:tr w14:paraId="6D76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9F5B364">
            <w:pPr>
              <w:spacing w:before="209" w:line="186" w:lineRule="auto"/>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s="Times New Roman"/>
                <w:color w:val="auto"/>
                <w:spacing w:val="-1"/>
                <w:sz w:val="21"/>
                <w:szCs w:val="21"/>
                <w:highlight w:val="none"/>
              </w:rPr>
              <w:t>2.3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6E40004">
            <w:pPr>
              <w:spacing w:before="170" w:line="220" w:lineRule="auto"/>
              <w:jc w:val="center"/>
              <w:rPr>
                <w:rFonts w:hint="default" w:ascii="宋体" w:hAnsi="宋体" w:eastAsia="宋体"/>
                <w:color w:val="auto"/>
                <w:sz w:val="21"/>
                <w:szCs w:val="24"/>
                <w:highlight w:val="none"/>
              </w:rPr>
            </w:pPr>
            <w:r>
              <w:rPr>
                <w:rFonts w:hint="default" w:ascii="宋体" w:hAnsi="宋体" w:eastAsia="宋体" w:cs="宋体"/>
                <w:color w:val="auto"/>
                <w:spacing w:val="-1"/>
                <w:sz w:val="21"/>
                <w:szCs w:val="21"/>
                <w:highlight w:val="none"/>
              </w:rPr>
              <w:t>招标文件</w:t>
            </w:r>
            <w:r>
              <w:rPr>
                <w:rFonts w:hint="default" w:ascii="宋体" w:hAnsi="宋体" w:eastAsia="宋体" w:cs="宋体"/>
                <w:color w:val="auto"/>
                <w:spacing w:val="-1"/>
                <w:sz w:val="21"/>
                <w:szCs w:val="21"/>
                <w:highlight w:val="none"/>
                <w:lang w:eastAsia="zh-CN"/>
              </w:rPr>
              <w:t>的澄清和</w:t>
            </w:r>
            <w:r>
              <w:rPr>
                <w:rFonts w:hint="default" w:ascii="宋体" w:hAnsi="宋体" w:eastAsia="宋体" w:cs="宋体"/>
                <w:color w:val="auto"/>
                <w:spacing w:val="-1"/>
                <w:sz w:val="21"/>
                <w:szCs w:val="21"/>
                <w:highlight w:val="none"/>
              </w:rPr>
              <w:t>修改</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3A32AE3">
            <w:pPr>
              <w:ind w:left="91" w:leftChars="38"/>
              <w:jc w:val="both"/>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招标文件的修改期限：在投标截止时间</w:t>
            </w:r>
            <w:r>
              <w:rPr>
                <w:rFonts w:hint="default" w:ascii="宋体" w:hAnsi="宋体" w:eastAsia="宋体"/>
                <w:color w:val="auto"/>
                <w:sz w:val="21"/>
                <w:szCs w:val="24"/>
                <w:highlight w:val="none"/>
                <w:u w:val="single"/>
              </w:rPr>
              <w:t xml:space="preserve"> </w:t>
            </w:r>
            <w:r>
              <w:rPr>
                <w:rFonts w:hint="default" w:ascii="宋体" w:hAnsi="宋体" w:eastAsia="宋体"/>
                <w:color w:val="auto"/>
                <w:sz w:val="21"/>
                <w:szCs w:val="24"/>
                <w:highlight w:val="none"/>
                <w:u w:val="single"/>
                <w:lang w:val="en-US" w:eastAsia="zh-CN"/>
              </w:rPr>
              <w:t>15</w:t>
            </w:r>
            <w:r>
              <w:rPr>
                <w:rFonts w:hint="default" w:ascii="宋体" w:hAnsi="宋体" w:eastAsia="宋体"/>
                <w:color w:val="auto"/>
                <w:sz w:val="21"/>
                <w:szCs w:val="24"/>
                <w:highlight w:val="none"/>
                <w:u w:val="single"/>
              </w:rPr>
              <w:t xml:space="preserve"> </w:t>
            </w:r>
            <w:r>
              <w:rPr>
                <w:rFonts w:hint="default" w:ascii="宋体" w:hAnsi="宋体" w:eastAsia="宋体"/>
                <w:color w:val="auto"/>
                <w:sz w:val="21"/>
                <w:szCs w:val="24"/>
                <w:highlight w:val="none"/>
              </w:rPr>
              <w:t>天前</w:t>
            </w:r>
          </w:p>
        </w:tc>
      </w:tr>
      <w:tr w14:paraId="5D2E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8839B2E">
            <w:pPr>
              <w:pStyle w:val="28"/>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3.1.1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034BD16E">
            <w:pPr>
              <w:pStyle w:val="28"/>
              <w:kinsoku w:val="0"/>
              <w:overflowPunct w:val="0"/>
              <w:jc w:val="center"/>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构成投标文件的其他资料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4941D538">
            <w:pPr>
              <w:jc w:val="both"/>
              <w:rPr>
                <w:rFonts w:hint="default" w:ascii="宋体" w:hAnsi="宋体" w:eastAsia="宋体" w:cs="宋体"/>
                <w:b/>
                <w:color w:val="auto"/>
                <w:sz w:val="21"/>
                <w:szCs w:val="21"/>
                <w:highlight w:val="none"/>
              </w:rPr>
            </w:pPr>
            <w:r>
              <w:rPr>
                <w:rFonts w:hint="default" w:ascii="宋体" w:hAnsi="宋体" w:eastAsia="宋体" w:cs="宋体"/>
                <w:color w:val="auto"/>
                <w:spacing w:val="-1"/>
                <w:sz w:val="21"/>
                <w:szCs w:val="21"/>
                <w:highlight w:val="none"/>
                <w:lang w:val="en-US" w:eastAsia="zh-CN"/>
              </w:rPr>
              <w:t>满足本项目评审要求的其他资料。</w:t>
            </w:r>
          </w:p>
        </w:tc>
      </w:tr>
      <w:tr w14:paraId="4D01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530CFC9">
            <w:pPr>
              <w:pStyle w:val="28"/>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3.2.1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DCB09C8">
            <w:pPr>
              <w:pStyle w:val="28"/>
              <w:kinsoku w:val="0"/>
              <w:overflowPunct w:val="0"/>
              <w:jc w:val="center"/>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增值税税金的计算方法</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25C97E0">
            <w:pPr>
              <w:jc w:val="both"/>
              <w:rPr>
                <w:rFonts w:hint="default" w:ascii="宋体" w:hAnsi="宋体" w:eastAsia="宋体" w:cs="宋体"/>
                <w:b w:val="0"/>
                <w:color w:val="auto"/>
                <w:spacing w:val="-1"/>
                <w:sz w:val="21"/>
                <w:szCs w:val="21"/>
                <w:highlight w:val="none"/>
                <w:lang w:val="en-US" w:eastAsia="zh-CN"/>
              </w:rPr>
            </w:pPr>
            <w:r>
              <w:rPr>
                <w:rFonts w:hint="default" w:ascii="宋体" w:hAnsi="宋体" w:eastAsia="宋体" w:cs="宋体"/>
                <w:b w:val="0"/>
                <w:color w:val="auto"/>
                <w:spacing w:val="-1"/>
                <w:sz w:val="21"/>
                <w:szCs w:val="21"/>
                <w:highlight w:val="none"/>
                <w:lang w:val="en-US" w:eastAsia="zh-CN"/>
              </w:rPr>
              <w:t>按国家税务机关的规定执行。</w:t>
            </w:r>
          </w:p>
        </w:tc>
      </w:tr>
      <w:tr w14:paraId="5409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F7BE275">
            <w:pPr>
              <w:pStyle w:val="28"/>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3.2.3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106AC33">
            <w:pPr>
              <w:pStyle w:val="28"/>
              <w:kinsoku w:val="0"/>
              <w:overflowPunct w:val="0"/>
              <w:jc w:val="center"/>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报价方式</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3DD00A8">
            <w:pPr>
              <w:jc w:val="both"/>
              <w:rPr>
                <w:rFonts w:hint="default" w:ascii="宋体" w:hAnsi="宋体" w:eastAsia="宋体" w:cs="宋体"/>
                <w:b w:val="0"/>
                <w:color w:val="auto"/>
                <w:spacing w:val="-1"/>
                <w:sz w:val="21"/>
                <w:szCs w:val="21"/>
                <w:highlight w:val="none"/>
                <w:lang w:val="en-US" w:eastAsia="zh-CN"/>
              </w:rPr>
            </w:pPr>
            <w:r>
              <w:rPr>
                <w:rFonts w:hint="default" w:ascii="宋体" w:hAnsi="宋体" w:eastAsia="宋体" w:cs="宋体"/>
                <w:b w:val="0"/>
                <w:color w:val="auto"/>
                <w:spacing w:val="-1"/>
                <w:sz w:val="21"/>
                <w:szCs w:val="21"/>
                <w:highlight w:val="none"/>
                <w:lang w:val="en-US" w:eastAsia="zh-CN"/>
              </w:rPr>
              <w:t>投标人自行填报投标下浮率，并依据所报下浮率列明投标报价。</w:t>
            </w:r>
          </w:p>
        </w:tc>
      </w:tr>
      <w:tr w14:paraId="455A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56EF7BC">
            <w:pPr>
              <w:pStyle w:val="28"/>
              <w:kinsoku w:val="0"/>
              <w:overflowPunct w:val="0"/>
              <w:jc w:val="center"/>
              <w:rPr>
                <w:rFonts w:hint="eastAsia" w:ascii="Times New Roman" w:hAnsi="Times New Roman" w:eastAsia="Times New Roman"/>
                <w:color w:val="auto"/>
                <w:sz w:val="21"/>
                <w:szCs w:val="24"/>
                <w:highlight w:val="none"/>
              </w:rPr>
            </w:pPr>
          </w:p>
          <w:p w14:paraId="7939F9A4">
            <w:pPr>
              <w:pStyle w:val="28"/>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3.2.4</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E6A69CB">
            <w:pPr>
              <w:pStyle w:val="28"/>
              <w:kinsoku w:val="0"/>
              <w:overflowPunct w:val="0"/>
              <w:jc w:val="center"/>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最高投标限价</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6C1646A">
            <w:pPr>
              <w:pStyle w:val="28"/>
              <w:kinsoku w:val="0"/>
              <w:overflowPunct w:val="0"/>
              <w:jc w:val="both"/>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无</w:t>
            </w:r>
          </w:p>
          <w:p w14:paraId="7ADD6523">
            <w:pPr>
              <w:pStyle w:val="28"/>
              <w:kinsoku w:val="0"/>
              <w:overflowPunct w:val="0"/>
              <w:jc w:val="both"/>
              <w:rPr>
                <w:rFonts w:hint="default" w:ascii="宋体" w:hAnsi="宋体" w:eastAsia="宋体" w:cs="宋体"/>
                <w:b/>
                <w:color w:val="auto"/>
                <w:sz w:val="21"/>
                <w:szCs w:val="21"/>
                <w:highlight w:val="none"/>
              </w:rPr>
            </w:pPr>
            <w:r>
              <w:rPr>
                <w:rFonts w:hint="eastAsia" w:ascii="仿宋" w:hAnsi="仿宋" w:eastAsia="仿宋" w:cs="仿宋"/>
                <w:color w:val="auto"/>
                <w:sz w:val="21"/>
                <w:szCs w:val="24"/>
                <w:highlight w:val="none"/>
              </w:rPr>
              <w:sym w:font="Wingdings 2" w:char="0052"/>
            </w:r>
            <w:r>
              <w:rPr>
                <w:rFonts w:hint="default" w:ascii="宋体" w:hAnsi="宋体" w:eastAsia="宋体"/>
                <w:color w:val="auto"/>
                <w:sz w:val="21"/>
                <w:szCs w:val="24"/>
                <w:highlight w:val="none"/>
              </w:rPr>
              <w:t>有，最高投标限价：</w:t>
            </w:r>
            <w:r>
              <w:rPr>
                <w:rFonts w:hint="eastAsia" w:ascii="仿宋" w:hAnsi="仿宋" w:eastAsia="仿宋" w:cs="仿宋"/>
                <w:color w:val="auto"/>
                <w:sz w:val="21"/>
                <w:szCs w:val="24"/>
                <w:highlight w:val="none"/>
                <w:u w:val="single"/>
                <w:lang w:val="en-US" w:eastAsia="zh-CN"/>
              </w:rPr>
              <w:t>179.87</w:t>
            </w:r>
            <w:r>
              <w:rPr>
                <w:rFonts w:hint="eastAsia" w:ascii="仿宋" w:hAnsi="仿宋" w:eastAsia="仿宋" w:cs="仿宋"/>
                <w:color w:val="auto"/>
                <w:sz w:val="21"/>
                <w:szCs w:val="24"/>
                <w:highlight w:val="none"/>
              </w:rPr>
              <w:t>万元</w:t>
            </w:r>
            <w:r>
              <w:rPr>
                <w:rFonts w:hint="eastAsia" w:ascii="仿宋" w:hAnsi="仿宋" w:eastAsia="仿宋" w:cs="仿宋"/>
                <w:color w:val="auto"/>
                <w:sz w:val="21"/>
                <w:szCs w:val="24"/>
                <w:highlight w:val="none"/>
                <w:lang w:eastAsia="zh-CN"/>
              </w:rPr>
              <w:t>。</w:t>
            </w:r>
          </w:p>
        </w:tc>
      </w:tr>
      <w:tr w14:paraId="5538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DB19D51">
            <w:pPr>
              <w:pStyle w:val="28"/>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3.2.5</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A6BDFE0">
            <w:pPr>
              <w:pStyle w:val="28"/>
              <w:kinsoku w:val="0"/>
              <w:overflowPunct w:val="0"/>
              <w:jc w:val="center"/>
              <w:rPr>
                <w:rFonts w:hint="default" w:ascii="宋体" w:hAnsi="宋体" w:eastAsia="宋体"/>
                <w:color w:val="auto"/>
                <w:sz w:val="21"/>
                <w:szCs w:val="24"/>
                <w:highlight w:val="none"/>
              </w:rPr>
            </w:pPr>
            <w:r>
              <w:rPr>
                <w:rFonts w:hint="default" w:ascii="宋体" w:hAnsi="宋体" w:eastAsia="宋体"/>
                <w:color w:val="auto"/>
                <w:sz w:val="21"/>
                <w:szCs w:val="24"/>
                <w:highlight w:val="none"/>
              </w:rPr>
              <w:t>投标报价的其他要求</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FB37D72">
            <w:pPr>
              <w:pStyle w:val="28"/>
              <w:kinsoku w:val="0"/>
              <w:overflowPunct w:val="0"/>
              <w:jc w:val="both"/>
              <w:rPr>
                <w:rFonts w:hint="eastAsia" w:ascii="宋体" w:hAnsi="宋体" w:eastAsia="宋体"/>
                <w:color w:val="auto"/>
                <w:sz w:val="21"/>
                <w:szCs w:val="24"/>
                <w:highlight w:val="none"/>
                <w:lang w:val="en-US" w:eastAsia="zh-CN"/>
              </w:rPr>
            </w:pPr>
            <w:r>
              <w:rPr>
                <w:rFonts w:hint="eastAsia" w:ascii="宋体" w:hAnsi="宋体" w:eastAsia="宋体"/>
                <w:color w:val="auto"/>
                <w:sz w:val="21"/>
                <w:szCs w:val="24"/>
                <w:highlight w:val="none"/>
                <w:lang w:val="en-US" w:eastAsia="zh-CN"/>
              </w:rPr>
              <w:t>投标报价超过本项目最高投标限价的投标文件将被否决其投标。</w:t>
            </w:r>
          </w:p>
          <w:p w14:paraId="4DD075CA">
            <w:pPr>
              <w:pStyle w:val="28"/>
              <w:kinsoku w:val="0"/>
              <w:overflowPunct w:val="0"/>
              <w:jc w:val="both"/>
              <w:rPr>
                <w:rFonts w:hint="eastAsia" w:ascii="宋体" w:hAnsi="宋体" w:eastAsia="宋体"/>
                <w:color w:val="auto"/>
                <w:sz w:val="21"/>
                <w:szCs w:val="24"/>
                <w:highlight w:val="none"/>
              </w:rPr>
            </w:pPr>
            <w:r>
              <w:rPr>
                <w:rFonts w:hint="eastAsia" w:ascii="宋体" w:hAnsi="宋体" w:eastAsia="宋体"/>
                <w:color w:val="auto"/>
                <w:sz w:val="21"/>
                <w:szCs w:val="24"/>
                <w:highlight w:val="none"/>
                <w:lang w:val="en-US" w:eastAsia="zh-CN"/>
              </w:rPr>
              <w:t>投标人必须详细审阅全部招标文件及招标相关资料,充分考虑职责和义务,全面地理解招标文件对投标报价的要求,并按招标人提出的条件及内容进行报价。</w:t>
            </w:r>
          </w:p>
        </w:tc>
      </w:tr>
      <w:tr w14:paraId="6874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6C37BC4">
            <w:pPr>
              <w:pStyle w:val="28"/>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3.3.1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42912A4A">
            <w:pPr>
              <w:pStyle w:val="28"/>
              <w:kinsoku w:val="0"/>
              <w:overflowPunct w:val="0"/>
              <w:jc w:val="center"/>
              <w:rPr>
                <w:rFonts w:hint="default" w:ascii="宋体" w:hAnsi="宋体" w:eastAsia="宋体"/>
                <w:color w:val="auto"/>
                <w:sz w:val="21"/>
                <w:szCs w:val="24"/>
                <w:highlight w:val="none"/>
              </w:rPr>
            </w:pPr>
            <w:r>
              <w:rPr>
                <w:rFonts w:hint="default" w:ascii="宋体" w:hAnsi="宋体" w:eastAsia="宋体"/>
                <w:color w:val="auto"/>
                <w:sz w:val="21"/>
                <w:szCs w:val="24"/>
                <w:highlight w:val="none"/>
              </w:rPr>
              <w:t>投标有效期</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D52E8E4">
            <w:pPr>
              <w:jc w:val="both"/>
              <w:rPr>
                <w:rFonts w:hint="eastAsia" w:ascii="Times New Roman" w:hAnsi="Times New Roman" w:eastAsia="Times New Roman"/>
                <w:color w:val="auto"/>
                <w:sz w:val="21"/>
                <w:szCs w:val="24"/>
                <w:highlight w:val="none"/>
              </w:rPr>
            </w:pPr>
            <w:r>
              <w:rPr>
                <w:rFonts w:hint="eastAsia"/>
                <w:color w:val="auto"/>
                <w:sz w:val="21"/>
                <w:szCs w:val="24"/>
                <w:highlight w:val="none"/>
                <w:u w:val="single"/>
                <w:lang w:val="en-US" w:eastAsia="zh-CN"/>
              </w:rPr>
              <w:t>90</w:t>
            </w:r>
            <w:r>
              <w:rPr>
                <w:rFonts w:hint="default" w:ascii="宋体" w:hAnsi="Times New Roman" w:eastAsia="宋体"/>
                <w:color w:val="auto"/>
                <w:sz w:val="21"/>
                <w:szCs w:val="24"/>
                <w:highlight w:val="none"/>
              </w:rPr>
              <w:t>日历天（从投标截止之日计起）</w:t>
            </w:r>
          </w:p>
        </w:tc>
      </w:tr>
      <w:tr w14:paraId="20D6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9608598">
            <w:pPr>
              <w:pStyle w:val="28"/>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3.4.1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16AEB1B">
            <w:pPr>
              <w:pStyle w:val="28"/>
              <w:kinsoku w:val="0"/>
              <w:overflowPunct w:val="0"/>
              <w:jc w:val="center"/>
              <w:rPr>
                <w:rFonts w:hint="default" w:ascii="宋体" w:hAnsi="宋体" w:eastAsia="宋体"/>
                <w:color w:val="auto"/>
                <w:sz w:val="21"/>
                <w:szCs w:val="24"/>
                <w:highlight w:val="none"/>
              </w:rPr>
            </w:pPr>
            <w:r>
              <w:rPr>
                <w:rFonts w:hint="default" w:ascii="宋体" w:hAnsi="宋体" w:eastAsia="宋体"/>
                <w:color w:val="auto"/>
                <w:sz w:val="21"/>
                <w:szCs w:val="24"/>
                <w:highlight w:val="none"/>
              </w:rPr>
              <w:t>投标保证金</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16603BD">
            <w:pPr>
              <w:rPr>
                <w:rFonts w:hint="default"/>
                <w:color w:val="auto"/>
                <w:highlight w:val="none"/>
              </w:rPr>
            </w:pPr>
            <w:r>
              <w:rPr>
                <w:rFonts w:hint="default"/>
                <w:color w:val="auto"/>
                <w:highlight w:val="none"/>
              </w:rPr>
              <w:t>是否要求投标人递交投标保证金：</w:t>
            </w:r>
          </w:p>
          <w:p w14:paraId="05018EB5">
            <w:pPr>
              <w:rPr>
                <w:rFonts w:hint="eastAsia"/>
                <w:color w:val="auto"/>
                <w:highlight w:val="none"/>
              </w:rPr>
            </w:pPr>
            <w:r>
              <w:rPr>
                <w:rFonts w:hint="eastAsia"/>
                <w:color w:val="auto"/>
                <w:highlight w:val="none"/>
              </w:rPr>
              <w:sym w:font="Wingdings 2" w:char="0052"/>
            </w:r>
            <w:r>
              <w:rPr>
                <w:rFonts w:hint="default"/>
                <w:color w:val="auto"/>
                <w:highlight w:val="none"/>
              </w:rPr>
              <w:t>不要求</w:t>
            </w:r>
          </w:p>
          <w:p w14:paraId="640C7935">
            <w:pPr>
              <w:rPr>
                <w:rFonts w:hint="eastAsia" w:eastAsia="宋体"/>
                <w:color w:val="auto"/>
                <w:highlight w:val="none"/>
                <w:lang w:val="en-US" w:eastAsia="zh-CN"/>
              </w:rPr>
            </w:pPr>
            <w:r>
              <w:rPr>
                <w:rFonts w:hint="eastAsia"/>
                <w:color w:val="auto"/>
                <w:highlight w:val="none"/>
              </w:rPr>
              <w:sym w:font="Wingdings 2" w:char="00A3"/>
            </w:r>
            <w:r>
              <w:rPr>
                <w:rFonts w:hint="default"/>
                <w:color w:val="auto"/>
                <w:highlight w:val="none"/>
              </w:rPr>
              <w:t xml:space="preserve">要求，投标保证金的形式： </w:t>
            </w:r>
            <w:r>
              <w:rPr>
                <w:rFonts w:hint="eastAsia"/>
                <w:color w:val="auto"/>
                <w:highlight w:val="none"/>
                <w:lang w:val="en-US" w:eastAsia="zh-CN"/>
              </w:rPr>
              <w:t>/</w:t>
            </w:r>
          </w:p>
          <w:p w14:paraId="0A43E59A">
            <w:pPr>
              <w:rPr>
                <w:rFonts w:hint="eastAsia" w:eastAsia="宋体"/>
                <w:color w:val="auto"/>
                <w:sz w:val="21"/>
                <w:szCs w:val="21"/>
                <w:highlight w:val="none"/>
                <w:lang w:val="en-US" w:eastAsia="zh-CN"/>
              </w:rPr>
            </w:pPr>
            <w:r>
              <w:rPr>
                <w:rFonts w:hint="default"/>
                <w:color w:val="auto"/>
                <w:sz w:val="21"/>
                <w:szCs w:val="21"/>
                <w:highlight w:val="none"/>
              </w:rPr>
              <w:t>投标保证金的金额：</w:t>
            </w:r>
            <w:r>
              <w:rPr>
                <w:rFonts w:hint="eastAsia"/>
                <w:color w:val="auto"/>
                <w:sz w:val="21"/>
                <w:szCs w:val="21"/>
                <w:highlight w:val="none"/>
                <w:lang w:val="en-US" w:eastAsia="zh-CN"/>
              </w:rPr>
              <w:t>/</w:t>
            </w:r>
          </w:p>
          <w:p w14:paraId="7BC8BB6E">
            <w:pPr>
              <w:rPr>
                <w:rFonts w:hint="eastAsia"/>
                <w:color w:val="auto"/>
                <w:sz w:val="21"/>
                <w:szCs w:val="21"/>
                <w:highlight w:val="none"/>
                <w:lang w:val="en-US" w:eastAsia="zh-CN"/>
              </w:rPr>
            </w:pPr>
            <w:r>
              <w:rPr>
                <w:rFonts w:hint="eastAsia"/>
                <w:color w:val="auto"/>
                <w:sz w:val="21"/>
                <w:szCs w:val="21"/>
                <w:highlight w:val="none"/>
                <w:lang w:val="en-US" w:eastAsia="zh-CN"/>
              </w:rPr>
              <w:t>注：1、投标保证金不得超过招标项目估算价的2%。投标保证金有效期应当与投标有效期一致。（投标保证金金额根据《中华人民共和国招标投标法实施条例》第二十六条）</w:t>
            </w:r>
          </w:p>
          <w:p w14:paraId="6E122167">
            <w:pPr>
              <w:rPr>
                <w:rFonts w:hint="eastAsia"/>
                <w:color w:val="auto"/>
                <w:sz w:val="21"/>
                <w:szCs w:val="21"/>
                <w:highlight w:val="none"/>
                <w:lang w:val="en-US" w:eastAsia="zh-CN"/>
              </w:rPr>
            </w:pPr>
            <w:r>
              <w:rPr>
                <w:rFonts w:hint="eastAsia"/>
                <w:color w:val="auto"/>
                <w:sz w:val="21"/>
                <w:szCs w:val="21"/>
                <w:highlight w:val="none"/>
                <w:lang w:val="en-US" w:eastAsia="zh-CN"/>
              </w:rPr>
              <w:t>2、</w:t>
            </w:r>
            <w:r>
              <w:rPr>
                <w:rFonts w:hint="eastAsia"/>
                <w:color w:val="auto"/>
                <w:sz w:val="21"/>
                <w:szCs w:val="21"/>
                <w:highlight w:val="none"/>
              </w:rPr>
              <w:t>按照广东省发展改革委等7部门《关于规范招投标领域工程建设保证金收取有关工作的通知》（粤发改法规函〔2022〕1178号）、《广东省发展和改革委员会等部门转发关于完善招标投标交易担保制度进一步降低招标投标交易成本的通知》（粤发改法规函〔2023〕460号）、《广东省政府采购促进中小企业发展实施细则（试行）》（粤财采购〔2022〕10号）、《广州市人民政府办公厅关于印发广州市建设国际一流营商环境标杆城市助力产业高质量发展行动方案的通知》（穗府办函〔2023〕37号）等相关文件要求，规范涉企保证金收取和清退工作，全面推行保函替代现金保证金，免收政府投资项目投标保证金，鼓励政府投资项目以外的招标项目减免投标保证金</w:t>
            </w:r>
            <w:r>
              <w:rPr>
                <w:rFonts w:hint="eastAsia"/>
                <w:color w:val="auto"/>
                <w:sz w:val="21"/>
                <w:szCs w:val="21"/>
                <w:highlight w:val="none"/>
                <w:lang w:val="en-US" w:eastAsia="zh-CN"/>
              </w:rPr>
              <w:t>。</w:t>
            </w:r>
          </w:p>
          <w:p w14:paraId="41FB895D">
            <w:pPr>
              <w:rPr>
                <w:rFonts w:hint="eastAsia" w:ascii="Times New Roman" w:hAnsi="Times New Roman" w:eastAsia="Times New Roman"/>
                <w:color w:val="auto"/>
                <w:sz w:val="21"/>
                <w:szCs w:val="24"/>
                <w:highlight w:val="none"/>
              </w:rPr>
            </w:pPr>
            <w:r>
              <w:rPr>
                <w:rFonts w:hint="eastAsia"/>
                <w:color w:val="auto"/>
                <w:sz w:val="21"/>
                <w:szCs w:val="21"/>
                <w:highlight w:val="none"/>
                <w:lang w:val="en-US" w:eastAsia="zh-CN"/>
              </w:rPr>
              <w:t>3、招标人在免收投标保证金的同时，应约定免交投标保证金的投标人存在3.4.4条款所列情形的后续处理措施，包括但不限于向投标人索赔等情形。</w:t>
            </w:r>
          </w:p>
        </w:tc>
      </w:tr>
      <w:tr w14:paraId="420C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B1D8437">
            <w:pPr>
              <w:pStyle w:val="28"/>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3.5</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CDC5A0F">
            <w:pPr>
              <w:pStyle w:val="28"/>
              <w:kinsoku w:val="0"/>
              <w:overflowPunct w:val="0"/>
              <w:jc w:val="center"/>
              <w:rPr>
                <w:rFonts w:hint="default" w:ascii="宋体" w:hAnsi="宋体" w:eastAsia="宋体"/>
                <w:color w:val="auto"/>
                <w:sz w:val="21"/>
                <w:szCs w:val="24"/>
                <w:highlight w:val="none"/>
              </w:rPr>
            </w:pPr>
            <w:r>
              <w:rPr>
                <w:rFonts w:hint="default" w:ascii="宋体" w:hAnsi="宋体" w:eastAsia="宋体"/>
                <w:color w:val="auto"/>
                <w:sz w:val="21"/>
                <w:szCs w:val="24"/>
                <w:highlight w:val="none"/>
              </w:rPr>
              <w:t>资格审查资料的特殊要求</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286A822">
            <w:pPr>
              <w:pStyle w:val="28"/>
              <w:kinsoku w:val="0"/>
              <w:overflowPunct w:val="0"/>
              <w:jc w:val="both"/>
              <w:rPr>
                <w:rFonts w:hint="default" w:ascii="宋体" w:hAnsi="宋体" w:eastAsia="宋体"/>
                <w:color w:val="auto"/>
                <w:sz w:val="21"/>
                <w:szCs w:val="24"/>
                <w:highlight w:val="none"/>
              </w:rPr>
            </w:pPr>
            <w:r>
              <w:rPr>
                <w:rFonts w:hint="eastAsia" w:ascii="仿宋" w:hAnsi="仿宋" w:eastAsia="仿宋" w:cs="仿宋"/>
                <w:color w:val="auto"/>
                <w:sz w:val="21"/>
                <w:szCs w:val="24"/>
                <w:highlight w:val="none"/>
              </w:rPr>
              <w:sym w:font="Wingdings 2" w:char="0052"/>
            </w:r>
            <w:r>
              <w:rPr>
                <w:rFonts w:hint="default" w:ascii="宋体" w:hAnsi="宋体" w:eastAsia="宋体"/>
                <w:color w:val="auto"/>
                <w:sz w:val="21"/>
                <w:szCs w:val="24"/>
                <w:highlight w:val="none"/>
              </w:rPr>
              <w:t>无</w:t>
            </w:r>
          </w:p>
          <w:p w14:paraId="152538F6">
            <w:pPr>
              <w:pStyle w:val="28"/>
              <w:kinsoku w:val="0"/>
              <w:overflowPunct w:val="0"/>
              <w:jc w:val="both"/>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有，具体要求：</w:t>
            </w:r>
          </w:p>
        </w:tc>
      </w:tr>
      <w:tr w14:paraId="49D7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4995C67">
            <w:pPr>
              <w:pStyle w:val="28"/>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3.5.3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22C86D8">
            <w:pPr>
              <w:pStyle w:val="28"/>
              <w:kinsoku w:val="0"/>
              <w:overflowPunct w:val="0"/>
              <w:jc w:val="center"/>
              <w:rPr>
                <w:rFonts w:hint="default" w:ascii="宋体" w:hAnsi="宋体" w:eastAsia="宋体"/>
                <w:color w:val="auto"/>
                <w:sz w:val="21"/>
                <w:szCs w:val="24"/>
                <w:highlight w:val="none"/>
              </w:rPr>
            </w:pPr>
            <w:r>
              <w:rPr>
                <w:rFonts w:hint="default" w:ascii="宋体" w:hAnsi="宋体" w:eastAsia="宋体"/>
                <w:color w:val="auto"/>
                <w:sz w:val="21"/>
                <w:szCs w:val="24"/>
                <w:highlight w:val="none"/>
              </w:rPr>
              <w:t>近年完成的类似项目情况的时间要求</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183986D">
            <w:pPr>
              <w:pStyle w:val="28"/>
              <w:tabs>
                <w:tab w:val="left" w:pos="799"/>
                <w:tab w:val="left" w:pos="1569"/>
                <w:tab w:val="left" w:pos="2340"/>
              </w:tabs>
              <w:kinsoku w:val="0"/>
              <w:overflowPunct w:val="0"/>
              <w:jc w:val="both"/>
              <w:rPr>
                <w:rFonts w:hint="default" w:ascii="宋体" w:hAnsi="Times New Roman" w:eastAsia="宋体"/>
                <w:color w:val="auto"/>
                <w:sz w:val="21"/>
                <w:szCs w:val="24"/>
                <w:highlight w:val="none"/>
                <w:lang w:eastAsia="zh-CN"/>
              </w:rPr>
            </w:pPr>
            <w:r>
              <w:rPr>
                <w:rFonts w:hint="eastAsia" w:ascii="Times New Roman" w:hAnsi="Times New Roman" w:eastAsia="Times New Roman"/>
                <w:color w:val="auto"/>
                <w:sz w:val="21"/>
                <w:szCs w:val="24"/>
                <w:highlight w:val="none"/>
                <w:u w:val="single"/>
              </w:rPr>
              <w:t xml:space="preserve"> </w:t>
            </w:r>
            <w:r>
              <w:rPr>
                <w:rFonts w:hint="eastAsia" w:eastAsia="宋体"/>
                <w:color w:val="auto"/>
                <w:sz w:val="21"/>
                <w:szCs w:val="24"/>
                <w:highlight w:val="none"/>
                <w:u w:val="single"/>
                <w:lang w:val="en-US" w:eastAsia="zh-CN"/>
              </w:rPr>
              <w:t xml:space="preserve">/ </w:t>
            </w:r>
            <w:r>
              <w:rPr>
                <w:rFonts w:hint="default" w:ascii="宋体" w:hAnsi="宋体" w:eastAsia="宋体"/>
                <w:color w:val="auto"/>
                <w:sz w:val="21"/>
                <w:szCs w:val="24"/>
                <w:highlight w:val="none"/>
              </w:rPr>
              <w:t>年</w:t>
            </w:r>
            <w:r>
              <w:rPr>
                <w:rFonts w:hint="eastAsia" w:ascii="宋体" w:hAnsi="宋体"/>
                <w:color w:val="auto"/>
                <w:sz w:val="21"/>
                <w:szCs w:val="24"/>
                <w:highlight w:val="none"/>
                <w:lang w:val="en-US" w:eastAsia="zh-CN"/>
              </w:rPr>
              <w:t xml:space="preserve"> </w:t>
            </w:r>
            <w:r>
              <w:rPr>
                <w:rFonts w:hint="eastAsia" w:eastAsia="宋体"/>
                <w:color w:val="auto"/>
                <w:sz w:val="21"/>
                <w:szCs w:val="24"/>
                <w:highlight w:val="none"/>
                <w:u w:val="single"/>
                <w:lang w:val="en-US" w:eastAsia="zh-CN"/>
              </w:rPr>
              <w:t xml:space="preserve">/ </w:t>
            </w:r>
            <w:r>
              <w:rPr>
                <w:rFonts w:hint="default" w:ascii="宋体" w:hAnsi="宋体" w:eastAsia="宋体"/>
                <w:color w:val="auto"/>
                <w:sz w:val="21"/>
                <w:szCs w:val="24"/>
                <w:highlight w:val="none"/>
              </w:rPr>
              <w:t>月</w:t>
            </w:r>
            <w:r>
              <w:rPr>
                <w:rFonts w:hint="eastAsia" w:ascii="宋体" w:hAnsi="宋体"/>
                <w:color w:val="auto"/>
                <w:sz w:val="21"/>
                <w:szCs w:val="24"/>
                <w:highlight w:val="none"/>
                <w:lang w:val="en-US" w:eastAsia="zh-CN"/>
              </w:rPr>
              <w:t xml:space="preserve"> </w:t>
            </w:r>
            <w:r>
              <w:rPr>
                <w:rFonts w:hint="eastAsia" w:eastAsia="宋体"/>
                <w:color w:val="auto"/>
                <w:sz w:val="21"/>
                <w:szCs w:val="24"/>
                <w:highlight w:val="none"/>
                <w:u w:val="single"/>
                <w:lang w:val="en-US" w:eastAsia="zh-CN"/>
              </w:rPr>
              <w:t xml:space="preserve">/ </w:t>
            </w:r>
            <w:r>
              <w:rPr>
                <w:rFonts w:hint="default" w:ascii="宋体" w:hAnsi="宋体" w:eastAsia="宋体"/>
                <w:color w:val="auto"/>
                <w:sz w:val="21"/>
                <w:szCs w:val="24"/>
                <w:highlight w:val="none"/>
              </w:rPr>
              <w:t>日至</w:t>
            </w:r>
            <w:r>
              <w:rPr>
                <w:rFonts w:hint="default" w:ascii="宋体" w:hAnsi="宋体" w:eastAsia="宋体"/>
                <w:color w:val="auto"/>
                <w:sz w:val="21"/>
                <w:szCs w:val="24"/>
                <w:highlight w:val="none"/>
                <w:lang w:eastAsia="zh-CN"/>
              </w:rPr>
              <w:t>今</w:t>
            </w:r>
          </w:p>
        </w:tc>
      </w:tr>
      <w:tr w14:paraId="78DB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BF89A77">
            <w:pPr>
              <w:pStyle w:val="28"/>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3.6.1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18B25698">
            <w:pPr>
              <w:pStyle w:val="28"/>
              <w:kinsoku w:val="0"/>
              <w:overflowPunct w:val="0"/>
              <w:jc w:val="center"/>
              <w:rPr>
                <w:rFonts w:hint="default" w:ascii="宋体" w:hAnsi="宋体" w:eastAsia="宋体"/>
                <w:color w:val="auto"/>
                <w:sz w:val="21"/>
                <w:szCs w:val="24"/>
                <w:highlight w:val="none"/>
              </w:rPr>
            </w:pPr>
            <w:r>
              <w:rPr>
                <w:rFonts w:hint="default" w:ascii="宋体" w:hAnsi="宋体" w:eastAsia="宋体"/>
                <w:color w:val="auto"/>
                <w:sz w:val="21"/>
                <w:szCs w:val="24"/>
                <w:highlight w:val="none"/>
              </w:rPr>
              <w:t>是否允许递交备选投标方案</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1B8FB89">
            <w:pPr>
              <w:pStyle w:val="28"/>
              <w:kinsoku w:val="0"/>
              <w:overflowPunct w:val="0"/>
              <w:jc w:val="both"/>
              <w:rPr>
                <w:rFonts w:hint="default" w:ascii="宋体" w:hAnsi="宋体" w:eastAsia="宋体"/>
                <w:color w:val="auto"/>
                <w:sz w:val="21"/>
                <w:szCs w:val="24"/>
                <w:highlight w:val="none"/>
              </w:rPr>
            </w:pPr>
            <w:r>
              <w:rPr>
                <w:rFonts w:hint="eastAsia" w:ascii="仿宋" w:hAnsi="仿宋" w:eastAsia="仿宋" w:cs="仿宋"/>
                <w:color w:val="auto"/>
                <w:sz w:val="21"/>
                <w:szCs w:val="24"/>
                <w:highlight w:val="none"/>
              </w:rPr>
              <w:sym w:font="Wingdings 2" w:char="0052"/>
            </w:r>
            <w:r>
              <w:rPr>
                <w:rFonts w:hint="default" w:ascii="宋体" w:hAnsi="宋体" w:eastAsia="宋体"/>
                <w:color w:val="auto"/>
                <w:sz w:val="21"/>
                <w:szCs w:val="24"/>
                <w:highlight w:val="none"/>
              </w:rPr>
              <w:t>不允许</w:t>
            </w:r>
          </w:p>
          <w:p w14:paraId="40484B3E">
            <w:pPr>
              <w:pStyle w:val="28"/>
              <w:kinsoku w:val="0"/>
              <w:overflowPunct w:val="0"/>
              <w:jc w:val="both"/>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允许</w:t>
            </w:r>
          </w:p>
        </w:tc>
      </w:tr>
      <w:tr w14:paraId="3A29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11E68C3">
            <w:pPr>
              <w:pStyle w:val="28"/>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3.7.3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71E4661">
            <w:pPr>
              <w:pStyle w:val="28"/>
              <w:kinsoku w:val="0"/>
              <w:overflowPunct w:val="0"/>
              <w:jc w:val="center"/>
              <w:rPr>
                <w:rFonts w:hint="default" w:ascii="宋体" w:hAnsi="宋体" w:eastAsia="宋体"/>
                <w:color w:val="auto"/>
                <w:sz w:val="21"/>
                <w:szCs w:val="24"/>
                <w:highlight w:val="none"/>
              </w:rPr>
            </w:pPr>
            <w:r>
              <w:rPr>
                <w:rFonts w:hint="default" w:ascii="宋体" w:hAnsi="宋体" w:eastAsia="宋体"/>
                <w:color w:val="auto"/>
                <w:sz w:val="21"/>
                <w:szCs w:val="24"/>
                <w:highlight w:val="none"/>
              </w:rPr>
              <w:t>投标文件签字或盖章要求</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3858DCC">
            <w:pPr>
              <w:jc w:val="both"/>
              <w:rPr>
                <w:rFonts w:hint="eastAsia" w:ascii="Times New Roman" w:hAnsi="Times New Roman" w:eastAsia="宋体"/>
                <w:color w:val="auto"/>
                <w:sz w:val="21"/>
                <w:szCs w:val="24"/>
                <w:highlight w:val="none"/>
                <w:lang w:val="en-US" w:eastAsia="zh-CN"/>
              </w:rPr>
            </w:pPr>
            <w:r>
              <w:rPr>
                <w:rFonts w:hint="default" w:ascii="宋体" w:hAnsi="宋体" w:eastAsia="宋体"/>
                <w:color w:val="auto"/>
                <w:sz w:val="21"/>
                <w:szCs w:val="24"/>
                <w:highlight w:val="none"/>
              </w:rPr>
              <w:t>投标文件格式规定需个人签字的，应签字或签章后扫描上传</w:t>
            </w:r>
            <w:r>
              <w:rPr>
                <w:rFonts w:hint="eastAsia"/>
                <w:color w:val="auto"/>
                <w:kern w:val="2"/>
                <w:sz w:val="21"/>
                <w:szCs w:val="21"/>
                <w:highlight w:val="none"/>
                <w:lang w:val="en-US" w:eastAsia="zh-CN"/>
              </w:rPr>
              <w:t>（</w:t>
            </w:r>
            <w:r>
              <w:rPr>
                <w:rFonts w:hint="default" w:ascii="Calibri" w:hAnsi="Calibri" w:eastAsia="宋体" w:cs="Times New Roman"/>
                <w:color w:val="auto"/>
                <w:kern w:val="2"/>
                <w:sz w:val="21"/>
                <w:szCs w:val="24"/>
                <w:highlight w:val="none"/>
                <w:lang w:val="en-US" w:eastAsia="zh-CN" w:bidi="ar-SA"/>
              </w:rPr>
              <w:t>可靠的电子签名与手写签名或者盖章具有同等的法律效力</w:t>
            </w:r>
            <w:r>
              <w:rPr>
                <w:rFonts w:hint="eastAsia"/>
                <w:color w:val="auto"/>
                <w:kern w:val="2"/>
                <w:sz w:val="21"/>
                <w:szCs w:val="21"/>
                <w:highlight w:val="none"/>
                <w:lang w:val="en-US" w:eastAsia="zh-CN"/>
              </w:rPr>
              <w:t>）</w:t>
            </w:r>
            <w:r>
              <w:rPr>
                <w:rFonts w:hint="default" w:ascii="宋体" w:hAnsi="宋体" w:eastAsia="宋体"/>
                <w:color w:val="auto"/>
                <w:sz w:val="21"/>
                <w:szCs w:val="24"/>
                <w:highlight w:val="none"/>
              </w:rPr>
              <w:t>。投标文件格式规定盖单位公章的页面必须盖单位公章（公章与电子公章具有相同法律效力）</w:t>
            </w:r>
            <w:r>
              <w:rPr>
                <w:rFonts w:hint="eastAsia" w:ascii="宋体" w:hAnsi="宋体"/>
                <w:color w:val="auto"/>
                <w:sz w:val="21"/>
                <w:szCs w:val="24"/>
                <w:highlight w:val="none"/>
                <w:lang w:eastAsia="zh-CN"/>
              </w:rPr>
              <w:t>。电子招投标操作流程详见广州公共资源交易中心网站发布的最新版操作指引。</w:t>
            </w:r>
          </w:p>
        </w:tc>
      </w:tr>
      <w:tr w14:paraId="3D80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4A3B835">
            <w:pPr>
              <w:pStyle w:val="28"/>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4.2.1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56A52772">
            <w:pPr>
              <w:pStyle w:val="28"/>
              <w:kinsoku w:val="0"/>
              <w:overflowPunct w:val="0"/>
              <w:jc w:val="center"/>
              <w:rPr>
                <w:rFonts w:hint="default" w:ascii="宋体" w:hAnsi="宋体" w:eastAsia="宋体"/>
                <w:color w:val="auto"/>
                <w:sz w:val="21"/>
                <w:szCs w:val="24"/>
                <w:highlight w:val="none"/>
              </w:rPr>
            </w:pPr>
            <w:r>
              <w:rPr>
                <w:rFonts w:hint="default" w:ascii="宋体" w:hAnsi="宋体" w:eastAsia="宋体"/>
                <w:color w:val="auto"/>
                <w:sz w:val="21"/>
                <w:szCs w:val="24"/>
                <w:highlight w:val="none"/>
              </w:rPr>
              <w:t>投标截止时间</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76C775F">
            <w:pPr>
              <w:spacing w:before="62" w:beforeLines="20" w:after="62" w:afterLines="20"/>
              <w:ind w:left="48" w:leftChars="20" w:right="48" w:rightChars="20"/>
              <w:rPr>
                <w:rFonts w:hint="eastAsia" w:ascii="Times New Roman" w:hAnsi="Times New Roman" w:eastAsia="Times New Roman"/>
                <w:color w:val="auto"/>
                <w:sz w:val="21"/>
                <w:szCs w:val="24"/>
                <w:highlight w:val="none"/>
              </w:rPr>
            </w:pPr>
            <w:r>
              <w:rPr>
                <w:rFonts w:hint="eastAsia" w:ascii="宋体"/>
                <w:color w:val="auto"/>
                <w:sz w:val="21"/>
                <w:highlight w:val="none"/>
              </w:rPr>
              <w:t>具体时间以广州公共资源交易中心公布的为准。</w:t>
            </w:r>
          </w:p>
        </w:tc>
      </w:tr>
      <w:tr w14:paraId="5CED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54F7729D">
            <w:pPr>
              <w:pStyle w:val="28"/>
              <w:kinsoku w:val="0"/>
              <w:overflowPunct w:val="0"/>
              <w:jc w:val="center"/>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4.2.2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5A5C4BB">
            <w:pPr>
              <w:pStyle w:val="28"/>
              <w:kinsoku w:val="0"/>
              <w:overflowPunct w:val="0"/>
              <w:jc w:val="center"/>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递交投标文件时间和地点</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3265691E">
            <w:pPr>
              <w:numPr>
                <w:ilvl w:val="0"/>
                <w:numId w:val="1"/>
              </w:numPr>
              <w:autoSpaceDE/>
              <w:autoSpaceDN/>
              <w:adjustRightInd/>
              <w:snapToGrid w:val="0"/>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递交方式：网上递交投标文件</w:t>
            </w:r>
          </w:p>
          <w:p w14:paraId="7A4B7279">
            <w:pPr>
              <w:numPr>
                <w:ilvl w:val="0"/>
                <w:numId w:val="1"/>
              </w:numPr>
              <w:autoSpaceDE/>
              <w:autoSpaceDN/>
              <w:adjustRightInd/>
              <w:snapToGrid w:val="0"/>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文件的递交截止时间：同投标截止时间。</w:t>
            </w:r>
          </w:p>
          <w:p w14:paraId="69FF5188">
            <w:pPr>
              <w:numPr>
                <w:ilvl w:val="0"/>
                <w:numId w:val="1"/>
              </w:numPr>
              <w:autoSpaceDE/>
              <w:autoSpaceDN/>
              <w:adjustRightInd/>
              <w:snapToGrid w:val="0"/>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地点：广州公共资源交易中心网站</w:t>
            </w:r>
          </w:p>
          <w:p w14:paraId="5F0F17DF">
            <w:pPr>
              <w:spacing w:before="48" w:beforeLines="20" w:after="48" w:afterLines="20"/>
              <w:ind w:left="48" w:leftChars="20" w:right="48" w:rightChars="20"/>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上述时间及地点是否有改变，请密切留意招标答疑纪要或广州公共资源交易中心网站日程安排的相关信息。</w:t>
            </w:r>
          </w:p>
          <w:p w14:paraId="42EBEA42">
            <w:pPr>
              <w:spacing w:before="48" w:beforeLines="20" w:after="48" w:afterLines="20"/>
              <w:ind w:left="48" w:leftChars="20" w:right="48" w:rightChars="20"/>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rPr>
              <w:t>4、上述时间及地点是否有改变，请密切留意招标答疑纪要或广州公共资源交易中心网站日程安排的相关信息。</w:t>
            </w:r>
          </w:p>
        </w:tc>
      </w:tr>
      <w:tr w14:paraId="02F1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01AD0E76">
            <w:pPr>
              <w:pStyle w:val="28"/>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5.1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2E1C117">
            <w:pPr>
              <w:pStyle w:val="28"/>
              <w:kinsoku w:val="0"/>
              <w:overflowPunct w:val="0"/>
              <w:jc w:val="center"/>
              <w:rPr>
                <w:rFonts w:hint="default" w:ascii="宋体" w:hAnsi="宋体" w:eastAsia="宋体"/>
                <w:color w:val="auto"/>
                <w:sz w:val="21"/>
                <w:szCs w:val="24"/>
                <w:highlight w:val="none"/>
              </w:rPr>
            </w:pPr>
            <w:r>
              <w:rPr>
                <w:rFonts w:hint="default" w:ascii="宋体" w:hAnsi="宋体" w:eastAsia="宋体"/>
                <w:color w:val="auto"/>
                <w:sz w:val="21"/>
                <w:szCs w:val="24"/>
                <w:highlight w:val="none"/>
              </w:rPr>
              <w:t>开标时间和地点</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168690D">
            <w:pPr>
              <w:spacing w:before="120" w:beforeLines="50"/>
              <w:rPr>
                <w:color w:val="auto"/>
                <w:sz w:val="21"/>
                <w:szCs w:val="21"/>
                <w:highlight w:val="none"/>
              </w:rPr>
            </w:pPr>
            <w:r>
              <w:rPr>
                <w:color w:val="auto"/>
                <w:sz w:val="21"/>
                <w:szCs w:val="21"/>
                <w:highlight w:val="none"/>
              </w:rPr>
              <w:t>1</w:t>
            </w:r>
            <w:r>
              <w:rPr>
                <w:rFonts w:ascii="宋体"/>
                <w:color w:val="auto"/>
                <w:sz w:val="21"/>
                <w:szCs w:val="21"/>
                <w:highlight w:val="none"/>
              </w:rPr>
              <w:t>、开标时间：同投标截止时间</w:t>
            </w:r>
          </w:p>
          <w:p w14:paraId="7301757A">
            <w:pPr>
              <w:spacing w:before="174"/>
              <w:rPr>
                <w:rFonts w:ascii="宋体" w:hAnsi="宋体" w:cs="宋体"/>
                <w:color w:val="auto"/>
                <w:sz w:val="21"/>
                <w:szCs w:val="21"/>
                <w:highlight w:val="none"/>
              </w:rPr>
            </w:pPr>
            <w:r>
              <w:rPr>
                <w:rFonts w:ascii="宋体" w:hAnsi="宋体" w:cs="宋体"/>
                <w:color w:val="auto"/>
                <w:sz w:val="21"/>
                <w:szCs w:val="21"/>
                <w:highlight w:val="none"/>
              </w:rPr>
              <w:t>2、开标地点：</w:t>
            </w:r>
            <w:r>
              <w:rPr>
                <w:rFonts w:hint="eastAsia" w:ascii="宋体" w:hAnsi="宋体" w:cs="宋体"/>
                <w:color w:val="auto"/>
                <w:sz w:val="21"/>
                <w:szCs w:val="21"/>
                <w:highlight w:val="none"/>
              </w:rPr>
              <w:t>广州交易集团有限公司（广州公共资源交易中心）</w:t>
            </w:r>
            <w:r>
              <w:rPr>
                <w:rFonts w:hint="eastAsia" w:ascii="宋体" w:hAnsi="宋体" w:cs="宋体"/>
                <w:color w:val="auto"/>
                <w:sz w:val="21"/>
                <w:szCs w:val="21"/>
                <w:highlight w:val="none"/>
                <w:lang w:eastAsia="zh-CN"/>
              </w:rPr>
              <w:t>增城交易部</w:t>
            </w:r>
            <w:r>
              <w:rPr>
                <w:rFonts w:ascii="宋体" w:hAnsi="宋体" w:cs="宋体"/>
                <w:color w:val="auto"/>
                <w:sz w:val="21"/>
                <w:szCs w:val="21"/>
                <w:highlight w:val="none"/>
              </w:rPr>
              <w:t>开标</w:t>
            </w:r>
            <w:r>
              <w:rPr>
                <w:rFonts w:hint="eastAsia" w:ascii="宋体" w:hAnsi="宋体" w:cs="宋体"/>
                <w:color w:val="auto"/>
                <w:sz w:val="21"/>
                <w:szCs w:val="21"/>
                <w:highlight w:val="none"/>
                <w:u w:val="single"/>
                <w:lang w:val="en-US" w:eastAsia="zh-CN"/>
              </w:rPr>
              <w:t xml:space="preserve">  </w:t>
            </w:r>
            <w:r>
              <w:rPr>
                <w:rFonts w:ascii="宋体" w:hAnsi="宋体" w:cs="宋体"/>
                <w:color w:val="auto"/>
                <w:sz w:val="21"/>
                <w:szCs w:val="21"/>
                <w:highlight w:val="none"/>
              </w:rPr>
              <w:t>室</w:t>
            </w:r>
          </w:p>
          <w:p w14:paraId="0E9C2409">
            <w:pPr>
              <w:spacing w:before="120" w:beforeLines="50" w:line="360" w:lineRule="auto"/>
              <w:contextualSpacing/>
              <w:rPr>
                <w:color w:val="auto"/>
                <w:sz w:val="21"/>
                <w:szCs w:val="18"/>
                <w:highlight w:val="none"/>
              </w:rPr>
            </w:pPr>
            <w:r>
              <w:rPr>
                <w:rFonts w:hint="eastAsia"/>
                <w:color w:val="auto"/>
                <w:sz w:val="21"/>
                <w:szCs w:val="18"/>
                <w:highlight w:val="none"/>
              </w:rPr>
              <w:t>3、递交投标文件备用光盘时间：</w:t>
            </w:r>
            <w:r>
              <w:rPr>
                <w:rFonts w:hint="eastAsia"/>
                <w:color w:val="auto"/>
                <w:sz w:val="21"/>
                <w:szCs w:val="18"/>
                <w:highlight w:val="none"/>
                <w:lang w:val="en-US" w:eastAsia="zh-CN"/>
              </w:rPr>
              <w:t>2025</w:t>
            </w:r>
            <w:r>
              <w:rPr>
                <w:rFonts w:hint="eastAsia"/>
                <w:color w:val="auto"/>
                <w:sz w:val="21"/>
                <w:szCs w:val="18"/>
                <w:highlight w:val="none"/>
              </w:rPr>
              <w:t>年____月____日____时____分至</w:t>
            </w:r>
            <w:r>
              <w:rPr>
                <w:rFonts w:hint="eastAsia"/>
                <w:color w:val="auto"/>
                <w:sz w:val="21"/>
                <w:szCs w:val="18"/>
                <w:highlight w:val="none"/>
                <w:lang w:val="en-US" w:eastAsia="zh-CN"/>
              </w:rPr>
              <w:t>2025</w:t>
            </w:r>
            <w:r>
              <w:rPr>
                <w:rFonts w:hint="eastAsia"/>
                <w:color w:val="auto"/>
                <w:sz w:val="21"/>
                <w:szCs w:val="18"/>
                <w:highlight w:val="none"/>
              </w:rPr>
              <w:t>年____月____日____时____分；递交地点：</w:t>
            </w:r>
            <w:r>
              <w:rPr>
                <w:rFonts w:hint="eastAsia" w:ascii="宋体" w:hAnsi="宋体" w:cs="宋体"/>
                <w:color w:val="auto"/>
                <w:sz w:val="21"/>
                <w:szCs w:val="21"/>
                <w:highlight w:val="none"/>
              </w:rPr>
              <w:t>广州交易集团有限公司（广州公共资源交易中心）</w:t>
            </w:r>
            <w:r>
              <w:rPr>
                <w:rFonts w:hint="eastAsia" w:ascii="宋体" w:hAnsi="宋体" w:cs="宋体"/>
                <w:color w:val="auto"/>
                <w:sz w:val="21"/>
                <w:szCs w:val="21"/>
                <w:highlight w:val="none"/>
                <w:lang w:eastAsia="zh-CN"/>
              </w:rPr>
              <w:t>增城交易部</w:t>
            </w:r>
            <w:r>
              <w:rPr>
                <w:rFonts w:ascii="宋体" w:hAnsi="宋体" w:cs="宋体"/>
                <w:color w:val="auto"/>
                <w:sz w:val="21"/>
                <w:szCs w:val="21"/>
                <w:highlight w:val="none"/>
              </w:rPr>
              <w:t>开标</w:t>
            </w:r>
            <w:r>
              <w:rPr>
                <w:rFonts w:hint="eastAsia" w:ascii="宋体" w:hAnsi="宋体" w:cs="宋体"/>
                <w:color w:val="auto"/>
                <w:sz w:val="21"/>
                <w:szCs w:val="21"/>
                <w:highlight w:val="none"/>
                <w:u w:val="single"/>
                <w:lang w:val="en-US" w:eastAsia="zh-CN"/>
              </w:rPr>
              <w:t xml:space="preserve">  </w:t>
            </w:r>
            <w:r>
              <w:rPr>
                <w:rFonts w:ascii="宋体" w:hAnsi="宋体" w:cs="宋体"/>
                <w:color w:val="auto"/>
                <w:sz w:val="21"/>
                <w:szCs w:val="21"/>
                <w:highlight w:val="none"/>
              </w:rPr>
              <w:t>室</w:t>
            </w:r>
            <w:r>
              <w:rPr>
                <w:rFonts w:hint="eastAsia"/>
                <w:color w:val="auto"/>
                <w:sz w:val="21"/>
                <w:szCs w:val="18"/>
                <w:highlight w:val="none"/>
              </w:rPr>
              <w:t>。(建议安排在投标文件截止时间前 15 分钟至投标文件截止时间）</w:t>
            </w:r>
          </w:p>
          <w:p w14:paraId="2117EEDD">
            <w:pPr>
              <w:spacing w:before="120" w:beforeLines="50"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4、提交投标文件光盘备用</w:t>
            </w:r>
          </w:p>
          <w:p w14:paraId="1E4142D4">
            <w:pPr>
              <w:spacing w:before="120" w:beforeLines="50"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投标人可制作非加密的电子投标文件（PDF 格式）刻入光盘（1份），在投标须知前附表规定的时间、地点</w:t>
            </w:r>
            <w:r>
              <w:rPr>
                <w:rFonts w:hint="eastAsia" w:ascii="宋体" w:hAnsi="宋体" w:cs="宋体"/>
                <w:color w:val="auto"/>
                <w:sz w:val="21"/>
                <w:szCs w:val="21"/>
                <w:highlight w:val="none"/>
                <w:u w:val="single"/>
              </w:rPr>
              <w:t>凭法定代表人证明书原件、法定代表人授权委托证明书原件（非法定代表人办理手续时提供）、本人身份证原件</w:t>
            </w:r>
            <w:r>
              <w:rPr>
                <w:rFonts w:hint="eastAsia" w:ascii="宋体" w:hAnsi="宋体" w:cs="宋体"/>
                <w:color w:val="auto"/>
                <w:sz w:val="21"/>
                <w:szCs w:val="21"/>
                <w:highlight w:val="none"/>
              </w:rPr>
              <w:t>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426A1DE">
            <w:pPr>
              <w:spacing w:before="120" w:beforeLines="50"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5、补救方案</w:t>
            </w:r>
          </w:p>
          <w:p w14:paraId="23904DB4">
            <w:pPr>
              <w:spacing w:before="120" w:beforeLines="50"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（1）投标文件解密失败的补救方案：</w:t>
            </w:r>
          </w:p>
          <w:p w14:paraId="240B22AB">
            <w:pPr>
              <w:spacing w:before="120" w:beforeLines="50"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13240E9">
            <w:pPr>
              <w:spacing w:before="120" w:beforeLines="50"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（2）评标时突发情况的补救方案</w:t>
            </w:r>
          </w:p>
          <w:p w14:paraId="7A888417">
            <w:pPr>
              <w:spacing w:before="120" w:beforeLines="50"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若遇不可抗力发生（指网络瘫痪、服务器损坏、交易系统故障短期无法恢复等因素），由评标委员会开启投标人递交的全部投标文件光盘，并按光盘内容进行评审。</w:t>
            </w:r>
          </w:p>
          <w:p w14:paraId="51D3E8D1">
            <w:pPr>
              <w:spacing w:before="120" w:beforeLines="50"/>
              <w:contextualSpacing/>
              <w:rPr>
                <w:rFonts w:ascii="Calibri" w:hAnsi="Calibri"/>
                <w:color w:val="auto"/>
                <w:kern w:val="2"/>
                <w:sz w:val="21"/>
                <w:szCs w:val="21"/>
                <w:highlight w:val="none"/>
              </w:rPr>
            </w:pPr>
            <w:r>
              <w:rPr>
                <w:rFonts w:hint="eastAsia" w:ascii="宋体" w:hAnsi="宋体" w:cs="宋体"/>
                <w:color w:val="auto"/>
                <w:sz w:val="21"/>
                <w:szCs w:val="21"/>
                <w:highlight w:val="none"/>
              </w:rPr>
              <w:t>（3）除发生上述情况外，开标评标均以投标人通过交易平台网上递交的电子投标文件为准。</w:t>
            </w:r>
          </w:p>
          <w:p w14:paraId="4C9DA077">
            <w:pPr>
              <w:spacing w:before="174"/>
              <w:rPr>
                <w:color w:val="auto"/>
                <w:sz w:val="21"/>
                <w:szCs w:val="21"/>
                <w:highlight w:val="none"/>
              </w:rPr>
            </w:pPr>
            <w:r>
              <w:rPr>
                <w:rFonts w:hint="eastAsia" w:ascii="Calibri" w:hAnsi="Calibri"/>
                <w:color w:val="auto"/>
                <w:kern w:val="2"/>
                <w:sz w:val="21"/>
                <w:szCs w:val="21"/>
                <w:highlight w:val="none"/>
              </w:rPr>
              <w:t>开标时，投标人代表有权参加现场开标或在线开标，也可以自主决定不参加开标</w:t>
            </w:r>
            <w:r>
              <w:rPr>
                <w:rFonts w:hint="eastAsia"/>
                <w:color w:val="auto"/>
                <w:kern w:val="2"/>
                <w:sz w:val="21"/>
                <w:szCs w:val="21"/>
                <w:highlight w:val="none"/>
              </w:rPr>
              <w:t>，</w:t>
            </w:r>
            <w:r>
              <w:rPr>
                <w:rFonts w:hint="eastAsia"/>
                <w:color w:val="auto"/>
                <w:sz w:val="21"/>
                <w:szCs w:val="21"/>
                <w:highlight w:val="none"/>
              </w:rPr>
              <w:t>投标人选择参加在线开标的，具体按照交易平台相关指南进行操作。</w:t>
            </w:r>
          </w:p>
          <w:p w14:paraId="6CD0AF59">
            <w:pPr>
              <w:numPr>
                <w:ilvl w:val="0"/>
                <w:numId w:val="2"/>
              </w:numPr>
              <w:spacing w:before="174"/>
              <w:rPr>
                <w:rFonts w:hint="eastAsia"/>
                <w:color w:val="auto"/>
                <w:sz w:val="21"/>
                <w:szCs w:val="21"/>
                <w:highlight w:val="none"/>
              </w:rPr>
            </w:pPr>
            <w:r>
              <w:rPr>
                <w:rFonts w:hint="eastAsia"/>
                <w:color w:val="auto"/>
                <w:sz w:val="21"/>
                <w:szCs w:val="21"/>
                <w:highlight w:val="none"/>
              </w:rPr>
              <w:t>上述时</w:t>
            </w:r>
            <w:r>
              <w:rPr>
                <w:rFonts w:hint="eastAsia" w:ascii="宋体" w:hAnsi="宋体" w:cs="宋体"/>
                <w:color w:val="auto"/>
                <w:sz w:val="21"/>
                <w:szCs w:val="21"/>
                <w:highlight w:val="none"/>
              </w:rPr>
              <w:t>间</w:t>
            </w:r>
            <w:r>
              <w:rPr>
                <w:rFonts w:hint="eastAsia"/>
                <w:color w:val="auto"/>
                <w:sz w:val="21"/>
                <w:szCs w:val="21"/>
                <w:highlight w:val="none"/>
              </w:rPr>
              <w:t>及地点是否有改变，请密切留意补充公告或招标答疑纪要的相关信息。</w:t>
            </w:r>
          </w:p>
        </w:tc>
      </w:tr>
      <w:tr w14:paraId="3CD7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164BF6EB">
            <w:pPr>
              <w:pStyle w:val="28"/>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6.1.1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70E08B2">
            <w:pPr>
              <w:pStyle w:val="28"/>
              <w:kinsoku w:val="0"/>
              <w:overflowPunct w:val="0"/>
              <w:jc w:val="center"/>
              <w:rPr>
                <w:rFonts w:hint="default" w:ascii="宋体" w:hAnsi="宋体" w:eastAsia="宋体"/>
                <w:color w:val="auto"/>
                <w:sz w:val="21"/>
                <w:szCs w:val="24"/>
                <w:highlight w:val="none"/>
              </w:rPr>
            </w:pPr>
            <w:r>
              <w:rPr>
                <w:rFonts w:hint="default" w:ascii="宋体" w:hAnsi="宋体" w:eastAsia="宋体"/>
                <w:color w:val="auto"/>
                <w:sz w:val="21"/>
                <w:szCs w:val="24"/>
                <w:highlight w:val="none"/>
              </w:rPr>
              <w:t>评标委员会的组建</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7427B0C">
            <w:pPr>
              <w:pStyle w:val="28"/>
              <w:tabs>
                <w:tab w:val="left" w:pos="2729"/>
              </w:tabs>
              <w:kinsoku w:val="0"/>
              <w:overflowPunct w:val="0"/>
              <w:jc w:val="both"/>
              <w:rPr>
                <w:rFonts w:hint="default" w:ascii="宋体" w:hAnsi="宋体" w:eastAsia="宋体"/>
                <w:color w:val="auto"/>
                <w:sz w:val="21"/>
                <w:szCs w:val="24"/>
                <w:highlight w:val="none"/>
              </w:rPr>
            </w:pPr>
            <w:r>
              <w:rPr>
                <w:rFonts w:hint="default" w:ascii="宋体" w:hAnsi="宋体" w:eastAsia="宋体"/>
                <w:color w:val="auto"/>
                <w:spacing w:val="-2"/>
                <w:sz w:val="21"/>
                <w:szCs w:val="24"/>
                <w:highlight w:val="none"/>
              </w:rPr>
              <w:t>评标委员会构成：</w:t>
            </w:r>
            <w:r>
              <w:rPr>
                <w:rFonts w:hint="eastAsia" w:ascii="宋体" w:hAnsi="宋体"/>
                <w:color w:val="auto"/>
                <w:spacing w:val="-2"/>
                <w:sz w:val="21"/>
                <w:szCs w:val="24"/>
                <w:highlight w:val="none"/>
                <w:u w:val="single"/>
                <w:lang w:val="en-US" w:eastAsia="zh-CN"/>
              </w:rPr>
              <w:t xml:space="preserve"> </w:t>
            </w:r>
            <w:r>
              <w:rPr>
                <w:rFonts w:hint="eastAsia" w:eastAsia="宋体"/>
                <w:color w:val="auto"/>
                <w:spacing w:val="-2"/>
                <w:sz w:val="21"/>
                <w:szCs w:val="24"/>
                <w:highlight w:val="none"/>
                <w:u w:val="single"/>
                <w:lang w:val="en-US" w:eastAsia="zh-CN"/>
              </w:rPr>
              <w:t>5</w:t>
            </w:r>
            <w:r>
              <w:rPr>
                <w:rFonts w:hint="eastAsia"/>
                <w:color w:val="auto"/>
                <w:spacing w:val="-2"/>
                <w:sz w:val="21"/>
                <w:szCs w:val="24"/>
                <w:highlight w:val="none"/>
                <w:u w:val="single"/>
                <w:lang w:val="en-US" w:eastAsia="zh-CN"/>
              </w:rPr>
              <w:t xml:space="preserve"> </w:t>
            </w:r>
            <w:r>
              <w:rPr>
                <w:rFonts w:hint="eastAsia" w:eastAsia="宋体"/>
                <w:color w:val="auto"/>
                <w:spacing w:val="-2"/>
                <w:sz w:val="21"/>
                <w:szCs w:val="24"/>
                <w:highlight w:val="none"/>
                <w:u w:val="single"/>
                <w:lang w:val="en-US" w:eastAsia="zh-CN"/>
              </w:rPr>
              <w:t xml:space="preserve"> </w:t>
            </w:r>
            <w:r>
              <w:rPr>
                <w:rFonts w:hint="default" w:ascii="宋体" w:hAnsi="宋体" w:eastAsia="宋体"/>
                <w:color w:val="auto"/>
                <w:sz w:val="21"/>
                <w:szCs w:val="24"/>
                <w:highlight w:val="none"/>
              </w:rPr>
              <w:t>人</w:t>
            </w:r>
          </w:p>
          <w:p w14:paraId="790922B7">
            <w:pPr>
              <w:pStyle w:val="28"/>
              <w:tabs>
                <w:tab w:val="left" w:pos="2309"/>
                <w:tab w:val="left" w:pos="3826"/>
              </w:tabs>
              <w:kinsoku w:val="0"/>
              <w:overflowPunct w:val="0"/>
              <w:spacing w:line="440" w:lineRule="atLeast"/>
              <w:jc w:val="both"/>
              <w:rPr>
                <w:rFonts w:hint="eastAsia" w:ascii="Times New Roman" w:hAnsi="Times New Roman" w:eastAsia="Times New Roman"/>
                <w:color w:val="auto"/>
                <w:sz w:val="21"/>
                <w:szCs w:val="24"/>
                <w:highlight w:val="none"/>
              </w:rPr>
            </w:pPr>
            <w:r>
              <w:rPr>
                <w:rFonts w:hint="default" w:ascii="宋体" w:hAnsi="宋体" w:eastAsia="宋体"/>
                <w:color w:val="auto"/>
                <w:spacing w:val="-103"/>
                <w:sz w:val="21"/>
                <w:szCs w:val="24"/>
                <w:highlight w:val="none"/>
              </w:rPr>
              <w:t xml:space="preserve"> </w:t>
            </w:r>
            <w:r>
              <w:rPr>
                <w:rFonts w:hint="default" w:ascii="宋体" w:hAnsi="宋体" w:eastAsia="宋体"/>
                <w:color w:val="auto"/>
                <w:sz w:val="21"/>
                <w:szCs w:val="24"/>
                <w:highlight w:val="none"/>
              </w:rPr>
              <w:t>评标专家确定方式：</w:t>
            </w:r>
            <w:r>
              <w:rPr>
                <w:rFonts w:hint="default" w:ascii="宋体" w:hAnsi="宋体"/>
                <w:color w:val="auto"/>
                <w:sz w:val="21"/>
                <w:szCs w:val="24"/>
                <w:highlight w:val="none"/>
                <w:u w:val="single"/>
                <w:lang w:eastAsia="zh-CN"/>
              </w:rPr>
              <w:t>由</w:t>
            </w:r>
            <w:r>
              <w:rPr>
                <w:rFonts w:hint="default" w:ascii="宋体" w:hAnsi="宋体"/>
                <w:color w:val="auto"/>
                <w:sz w:val="21"/>
                <w:szCs w:val="24"/>
                <w:highlight w:val="none"/>
                <w:u w:val="single"/>
              </w:rPr>
              <w:t>招标人依法组建</w:t>
            </w:r>
            <w:r>
              <w:rPr>
                <w:rFonts w:hint="default" w:ascii="宋体" w:hAnsi="宋体"/>
                <w:color w:val="auto"/>
                <w:sz w:val="21"/>
                <w:szCs w:val="24"/>
                <w:highlight w:val="none"/>
                <w:u w:val="single"/>
                <w:lang w:eastAsia="zh-CN"/>
              </w:rPr>
              <w:t>，</w:t>
            </w:r>
            <w:r>
              <w:rPr>
                <w:rFonts w:hint="default" w:ascii="宋体" w:hAnsi="宋体" w:eastAsia="宋体"/>
                <w:color w:val="auto"/>
                <w:sz w:val="21"/>
                <w:szCs w:val="24"/>
                <w:highlight w:val="none"/>
                <w:u w:val="single"/>
              </w:rPr>
              <w:t>从广东省综合评标专家库中随机抽取。</w:t>
            </w:r>
          </w:p>
        </w:tc>
      </w:tr>
      <w:tr w14:paraId="6532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677FE6A">
            <w:pPr>
              <w:pStyle w:val="28"/>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6.3.2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FE7C2CC">
            <w:pPr>
              <w:pStyle w:val="28"/>
              <w:kinsoku w:val="0"/>
              <w:overflowPunct w:val="0"/>
              <w:jc w:val="center"/>
              <w:rPr>
                <w:rFonts w:hint="default" w:ascii="宋体" w:hAnsi="宋体" w:eastAsia="宋体"/>
                <w:color w:val="auto"/>
                <w:sz w:val="21"/>
                <w:szCs w:val="24"/>
                <w:highlight w:val="none"/>
              </w:rPr>
            </w:pPr>
            <w:r>
              <w:rPr>
                <w:rFonts w:hint="default" w:ascii="宋体" w:hAnsi="宋体" w:eastAsia="宋体"/>
                <w:color w:val="auto"/>
                <w:sz w:val="21"/>
                <w:szCs w:val="24"/>
                <w:highlight w:val="none"/>
              </w:rPr>
              <w:t>评标委员会推荐中标候选人的人数</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93EB566">
            <w:pPr>
              <w:ind w:firstLine="210" w:firstLineChars="100"/>
              <w:jc w:val="both"/>
              <w:rPr>
                <w:rFonts w:hint="default" w:ascii="Times New Roman" w:hAnsi="Times New Roman" w:eastAsia="Times New Roman"/>
                <w:color w:val="auto"/>
                <w:sz w:val="21"/>
                <w:szCs w:val="24"/>
                <w:highlight w:val="none"/>
                <w:lang w:val="en-US" w:eastAsia="zh-CN"/>
              </w:rPr>
            </w:pPr>
            <w:r>
              <w:rPr>
                <w:rFonts w:hint="eastAsia" w:eastAsia="Times New Roman"/>
                <w:color w:val="auto"/>
                <w:sz w:val="21"/>
                <w:szCs w:val="24"/>
                <w:highlight w:val="none"/>
                <w:lang w:val="en-US" w:eastAsia="zh-CN"/>
              </w:rPr>
              <w:t>3人</w:t>
            </w:r>
          </w:p>
        </w:tc>
      </w:tr>
      <w:tr w14:paraId="40DC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A042282">
            <w:pPr>
              <w:pStyle w:val="28"/>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7.1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6BC4A1C6">
            <w:pPr>
              <w:pStyle w:val="28"/>
              <w:kinsoku w:val="0"/>
              <w:overflowPunct w:val="0"/>
              <w:jc w:val="center"/>
              <w:rPr>
                <w:rFonts w:hint="default" w:ascii="宋体" w:hAnsi="宋体" w:eastAsia="宋体"/>
                <w:color w:val="auto"/>
                <w:sz w:val="21"/>
                <w:szCs w:val="24"/>
                <w:highlight w:val="none"/>
              </w:rPr>
            </w:pPr>
            <w:r>
              <w:rPr>
                <w:rFonts w:hint="default" w:ascii="宋体" w:hAnsi="宋体" w:eastAsia="宋体"/>
                <w:color w:val="auto"/>
                <w:sz w:val="21"/>
                <w:szCs w:val="24"/>
                <w:highlight w:val="none"/>
              </w:rPr>
              <w:t>中标候选人公示媒介及期限</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734FB1C4">
            <w:pPr>
              <w:rPr>
                <w:rFonts w:hint="default"/>
                <w:color w:val="auto"/>
                <w:sz w:val="21"/>
                <w:szCs w:val="21"/>
                <w:highlight w:val="none"/>
              </w:rPr>
            </w:pPr>
            <w:r>
              <w:rPr>
                <w:rFonts w:hint="default"/>
                <w:color w:val="auto"/>
                <w:sz w:val="21"/>
                <w:szCs w:val="21"/>
                <w:highlight w:val="none"/>
              </w:rPr>
              <w:t>公示媒介：广州交易集团有限公司（广州公共资源交易中心）网和广东省招标投标监管网和中国招标投标公共服务平台和广州市增城区人民政府门户网站的“首页&gt;公开&gt;公共资源配置领域&gt;工程建设项目招投标”栏目发布</w:t>
            </w:r>
          </w:p>
          <w:p w14:paraId="77BA059F">
            <w:pPr>
              <w:rPr>
                <w:rFonts w:hint="eastAsia" w:ascii="Times New Roman" w:hAnsi="Times New Roman" w:eastAsia="Times New Roman"/>
                <w:color w:val="auto"/>
                <w:sz w:val="21"/>
                <w:szCs w:val="24"/>
                <w:highlight w:val="none"/>
              </w:rPr>
            </w:pPr>
            <w:r>
              <w:rPr>
                <w:rFonts w:hint="default"/>
                <w:color w:val="auto"/>
                <w:sz w:val="21"/>
                <w:szCs w:val="21"/>
                <w:highlight w:val="none"/>
              </w:rPr>
              <w:t>公示期限：</w:t>
            </w:r>
            <w:r>
              <w:rPr>
                <w:rFonts w:hint="default"/>
                <w:color w:val="auto"/>
                <w:sz w:val="21"/>
                <w:szCs w:val="21"/>
                <w:highlight w:val="none"/>
                <w:lang w:eastAsia="zh-CN"/>
              </w:rPr>
              <w:t>不少于</w:t>
            </w:r>
            <w:r>
              <w:rPr>
                <w:rFonts w:hint="default"/>
                <w:color w:val="auto"/>
                <w:sz w:val="21"/>
                <w:szCs w:val="21"/>
                <w:highlight w:val="none"/>
                <w:lang w:val="en-US" w:eastAsia="zh-CN"/>
              </w:rPr>
              <w:t>3</w:t>
            </w:r>
            <w:r>
              <w:rPr>
                <w:rFonts w:hint="default"/>
                <w:color w:val="auto"/>
                <w:sz w:val="21"/>
                <w:szCs w:val="21"/>
                <w:highlight w:val="none"/>
              </w:rPr>
              <w:t>日</w:t>
            </w:r>
            <w:r>
              <w:rPr>
                <w:rFonts w:hint="default"/>
                <w:color w:val="auto"/>
                <w:sz w:val="21"/>
                <w:szCs w:val="21"/>
                <w:highlight w:val="none"/>
                <w:lang w:eastAsia="zh-CN"/>
              </w:rPr>
              <w:t>（</w:t>
            </w:r>
            <w:r>
              <w:rPr>
                <w:rFonts w:hint="default"/>
                <w:color w:val="auto"/>
                <w:sz w:val="21"/>
                <w:szCs w:val="21"/>
                <w:highlight w:val="none"/>
              </w:rPr>
              <w:t>最后一天应为工作日</w:t>
            </w:r>
            <w:r>
              <w:rPr>
                <w:rFonts w:hint="default"/>
                <w:color w:val="auto"/>
                <w:sz w:val="21"/>
                <w:szCs w:val="21"/>
                <w:highlight w:val="none"/>
                <w:lang w:eastAsia="zh-CN"/>
              </w:rPr>
              <w:t>）</w:t>
            </w:r>
          </w:p>
        </w:tc>
      </w:tr>
      <w:tr w14:paraId="6529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8CDE84E">
            <w:pPr>
              <w:pStyle w:val="28"/>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7.4</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E3E9077">
            <w:pPr>
              <w:pStyle w:val="28"/>
              <w:kinsoku w:val="0"/>
              <w:overflowPunct w:val="0"/>
              <w:jc w:val="center"/>
              <w:rPr>
                <w:rFonts w:hint="default" w:ascii="宋体" w:hAnsi="宋体" w:eastAsia="宋体"/>
                <w:color w:val="auto"/>
                <w:sz w:val="21"/>
                <w:szCs w:val="24"/>
                <w:highlight w:val="none"/>
              </w:rPr>
            </w:pPr>
            <w:r>
              <w:rPr>
                <w:rFonts w:hint="default" w:ascii="宋体" w:hAnsi="宋体" w:eastAsia="宋体"/>
                <w:color w:val="auto"/>
                <w:sz w:val="21"/>
                <w:szCs w:val="24"/>
                <w:highlight w:val="none"/>
              </w:rPr>
              <w:t>是否授权评标委员会确定中标人</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61FCE07A">
            <w:pPr>
              <w:pStyle w:val="28"/>
              <w:kinsoku w:val="0"/>
              <w:overflowPunct w:val="0"/>
              <w:jc w:val="both"/>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是</w:t>
            </w:r>
          </w:p>
          <w:p w14:paraId="448D9313">
            <w:pPr>
              <w:pStyle w:val="28"/>
              <w:kinsoku w:val="0"/>
              <w:overflowPunct w:val="0"/>
              <w:jc w:val="both"/>
              <w:rPr>
                <w:rFonts w:hint="eastAsia" w:ascii="Times New Roman" w:hAnsi="Times New Roman" w:eastAsia="Times New Roman"/>
                <w:color w:val="auto"/>
                <w:sz w:val="21"/>
                <w:szCs w:val="24"/>
                <w:highlight w:val="none"/>
              </w:rPr>
            </w:pPr>
            <w:r>
              <w:rPr>
                <w:rFonts w:hint="eastAsia" w:ascii="仿宋" w:hAnsi="仿宋" w:eastAsia="仿宋" w:cs="仿宋"/>
                <w:color w:val="auto"/>
                <w:sz w:val="21"/>
                <w:szCs w:val="24"/>
                <w:highlight w:val="none"/>
              </w:rPr>
              <w:sym w:font="Wingdings 2" w:char="0052"/>
            </w:r>
            <w:r>
              <w:rPr>
                <w:rFonts w:hint="default" w:ascii="宋体" w:hAnsi="宋体" w:eastAsia="宋体"/>
                <w:color w:val="auto"/>
                <w:sz w:val="21"/>
                <w:szCs w:val="24"/>
                <w:highlight w:val="none"/>
              </w:rPr>
              <w:t>否</w:t>
            </w:r>
          </w:p>
        </w:tc>
      </w:tr>
      <w:tr w14:paraId="5FD5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798F3359">
            <w:pPr>
              <w:pStyle w:val="28"/>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7.6.1</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2B0C2143">
            <w:pPr>
              <w:pStyle w:val="28"/>
              <w:kinsoku w:val="0"/>
              <w:overflowPunct w:val="0"/>
              <w:jc w:val="center"/>
              <w:rPr>
                <w:rFonts w:hint="default" w:ascii="宋体" w:hAnsi="宋体" w:eastAsia="宋体"/>
                <w:color w:val="auto"/>
                <w:sz w:val="21"/>
                <w:szCs w:val="24"/>
                <w:highlight w:val="none"/>
              </w:rPr>
            </w:pPr>
            <w:r>
              <w:rPr>
                <w:rFonts w:hint="default" w:ascii="宋体" w:hAnsi="宋体" w:eastAsia="宋体"/>
                <w:color w:val="auto"/>
                <w:sz w:val="21"/>
                <w:szCs w:val="24"/>
                <w:highlight w:val="none"/>
              </w:rPr>
              <w:t>履约保证金</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AA98A9C">
            <w:pPr>
              <w:pStyle w:val="28"/>
              <w:kinsoku w:val="0"/>
              <w:overflowPunct w:val="0"/>
              <w:spacing w:line="360" w:lineRule="auto"/>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是否要求中标人提交履约保证金：</w:t>
            </w:r>
          </w:p>
          <w:p w14:paraId="38C2762E">
            <w:pPr>
              <w:pStyle w:val="28"/>
              <w:kinsoku w:val="0"/>
              <w:overflowPunct w:val="0"/>
              <w:spacing w:line="360" w:lineRule="auto"/>
              <w:jc w:val="both"/>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不要求</w:t>
            </w:r>
          </w:p>
          <w:p w14:paraId="55F9DAEB">
            <w:pPr>
              <w:pStyle w:val="28"/>
              <w:kinsoku w:val="0"/>
              <w:overflowPunct w:val="0"/>
              <w:jc w:val="both"/>
              <w:rPr>
                <w:rFonts w:hint="default" w:ascii="宋体" w:hAnsi="宋体" w:eastAsia="宋体"/>
                <w:color w:val="auto"/>
                <w:sz w:val="21"/>
                <w:szCs w:val="24"/>
                <w:highlight w:val="none"/>
              </w:rPr>
            </w:pPr>
            <w:r>
              <w:rPr>
                <w:rFonts w:hint="eastAsia" w:ascii="仿宋" w:hAnsi="仿宋" w:eastAsia="仿宋" w:cs="仿宋"/>
                <w:color w:val="auto"/>
                <w:sz w:val="21"/>
                <w:szCs w:val="24"/>
                <w:highlight w:val="none"/>
              </w:rPr>
              <w:sym w:font="Wingdings 2" w:char="0052"/>
            </w:r>
            <w:r>
              <w:rPr>
                <w:rFonts w:hint="default" w:ascii="宋体" w:hAnsi="宋体" w:eastAsia="宋体"/>
                <w:color w:val="auto"/>
                <w:sz w:val="21"/>
                <w:szCs w:val="24"/>
                <w:highlight w:val="none"/>
              </w:rPr>
              <w:t>要求，履约保证金的形式：中标人根据自身情况，自主选择提供履约保证金的形式。担保内容、担保范围、担保金额、担保要求等须按合同约定格式。</w:t>
            </w:r>
          </w:p>
          <w:p w14:paraId="4A4482CA">
            <w:pPr>
              <w:pStyle w:val="28"/>
              <w:kinsoku w:val="0"/>
              <w:overflowPunct w:val="0"/>
              <w:jc w:val="both"/>
              <w:rPr>
                <w:rFonts w:hint="eastAsia" w:ascii="Times New Roman" w:hAnsi="Times New Roman" w:eastAsia="Times New Roman"/>
                <w:color w:val="auto"/>
                <w:sz w:val="21"/>
                <w:szCs w:val="24"/>
                <w:highlight w:val="none"/>
              </w:rPr>
            </w:pPr>
            <w:r>
              <w:rPr>
                <w:rFonts w:hint="default" w:ascii="宋体" w:hAnsi="宋体" w:eastAsia="宋体"/>
                <w:color w:val="auto"/>
                <w:sz w:val="21"/>
                <w:szCs w:val="24"/>
                <w:highlight w:val="none"/>
              </w:rPr>
              <w:t>履约保证金的金额：中标价款的10%。。</w:t>
            </w:r>
          </w:p>
        </w:tc>
      </w:tr>
      <w:tr w14:paraId="6B4F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A29B3D5">
            <w:pPr>
              <w:pStyle w:val="28"/>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10</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5D7F8B4">
            <w:pPr>
              <w:pStyle w:val="28"/>
              <w:kinsoku w:val="0"/>
              <w:overflowPunct w:val="0"/>
              <w:jc w:val="center"/>
              <w:rPr>
                <w:rFonts w:hint="default" w:ascii="宋体" w:hAnsi="宋体" w:eastAsia="宋体"/>
                <w:color w:val="auto"/>
                <w:sz w:val="21"/>
                <w:szCs w:val="24"/>
                <w:highlight w:val="none"/>
              </w:rPr>
            </w:pPr>
            <w:r>
              <w:rPr>
                <w:rFonts w:hint="default" w:ascii="宋体" w:hAnsi="宋体" w:eastAsia="宋体"/>
                <w:color w:val="auto"/>
                <w:sz w:val="21"/>
                <w:szCs w:val="24"/>
                <w:highlight w:val="none"/>
              </w:rPr>
              <w:t>需要补充的其他内容</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567BCE9B">
            <w:pPr>
              <w:jc w:val="both"/>
              <w:rPr>
                <w:rFonts w:hint="eastAsia" w:ascii="Times New Roman" w:hAnsi="Times New Roman" w:eastAsia="Times New Roman"/>
                <w:color w:val="auto"/>
                <w:sz w:val="21"/>
                <w:szCs w:val="24"/>
                <w:highlight w:val="none"/>
              </w:rPr>
            </w:pPr>
            <w:r>
              <w:rPr>
                <w:rFonts w:hint="eastAsia" w:ascii="仿宋" w:hAnsi="仿宋" w:eastAsia="仿宋" w:cs="仿宋"/>
                <w:color w:val="auto"/>
                <w:sz w:val="21"/>
                <w:szCs w:val="24"/>
                <w:highlight w:val="none"/>
                <w:lang w:val="en-US" w:eastAsia="zh-CN"/>
              </w:rPr>
              <w:t>/</w:t>
            </w:r>
          </w:p>
        </w:tc>
      </w:tr>
      <w:tr w14:paraId="13CE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39552810">
            <w:pPr>
              <w:pStyle w:val="28"/>
              <w:kinsoku w:val="0"/>
              <w:overflowPunct w:val="0"/>
              <w:jc w:val="center"/>
              <w:rPr>
                <w:rFonts w:hint="eastAsia" w:ascii="Times New Roman" w:hAnsi="Times New Roman" w:eastAsia="Times New Roman"/>
                <w:color w:val="auto"/>
                <w:sz w:val="21"/>
                <w:szCs w:val="24"/>
                <w:highlight w:val="none"/>
              </w:rPr>
            </w:pPr>
            <w:r>
              <w:rPr>
                <w:rFonts w:eastAsia="Times New Roman"/>
                <w:color w:val="auto"/>
                <w:sz w:val="21"/>
                <w:highlight w:val="none"/>
              </w:rPr>
              <w:t>10.2</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128A571">
            <w:pPr>
              <w:pStyle w:val="28"/>
              <w:kinsoku w:val="0"/>
              <w:overflowPunct w:val="0"/>
              <w:jc w:val="center"/>
              <w:rPr>
                <w:rFonts w:hint="default" w:ascii="宋体" w:hAnsi="宋体" w:eastAsia="宋体"/>
                <w:color w:val="auto"/>
                <w:sz w:val="21"/>
                <w:szCs w:val="24"/>
                <w:highlight w:val="none"/>
              </w:rPr>
            </w:pPr>
            <w:r>
              <w:rPr>
                <w:rFonts w:hint="eastAsia" w:eastAsia="Times New Roman"/>
                <w:color w:val="auto"/>
                <w:sz w:val="21"/>
                <w:highlight w:val="none"/>
              </w:rPr>
              <w:t>其他费用</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19AB3CA2">
            <w:pPr>
              <w:jc w:val="both"/>
              <w:rPr>
                <w:rFonts w:hint="eastAsia" w:ascii="仿宋" w:hAnsi="仿宋" w:eastAsia="仿宋" w:cs="仿宋"/>
                <w:color w:val="auto"/>
                <w:sz w:val="21"/>
                <w:szCs w:val="24"/>
                <w:highlight w:val="none"/>
                <w:lang w:val="en-US" w:eastAsia="zh-CN"/>
              </w:rPr>
            </w:pPr>
            <w:r>
              <w:rPr>
                <w:rFonts w:hint="eastAsia" w:eastAsia="Times New Roman"/>
                <w:color w:val="auto"/>
                <w:sz w:val="21"/>
                <w:highlight w:val="none"/>
              </w:rPr>
              <w:t>交易服务费：中标人自行支付公共资源交易服务费，交易中心向中标人开具增值税发票。</w:t>
            </w:r>
          </w:p>
        </w:tc>
      </w:tr>
      <w:tr w14:paraId="0643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242E89C1">
            <w:pPr>
              <w:pStyle w:val="28"/>
              <w:kinsoku w:val="0"/>
              <w:overflowPunct w:val="0"/>
              <w:jc w:val="center"/>
              <w:rPr>
                <w:rFonts w:hint="eastAsia" w:ascii="Times New Roman" w:hAnsi="Times New Roman" w:eastAsia="Times New Roman"/>
                <w:color w:val="auto"/>
                <w:sz w:val="21"/>
                <w:szCs w:val="24"/>
                <w:highlight w:val="none"/>
              </w:rPr>
            </w:pPr>
            <w:r>
              <w:rPr>
                <w:rFonts w:eastAsia="Times New Roman"/>
                <w:color w:val="auto"/>
                <w:sz w:val="21"/>
                <w:highlight w:val="none"/>
              </w:rPr>
              <w:t>10.3</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338905CB">
            <w:pPr>
              <w:pStyle w:val="28"/>
              <w:kinsoku w:val="0"/>
              <w:overflowPunct w:val="0"/>
              <w:jc w:val="center"/>
              <w:rPr>
                <w:rFonts w:hint="default" w:ascii="宋体" w:hAnsi="宋体" w:eastAsia="宋体"/>
                <w:color w:val="auto"/>
                <w:sz w:val="21"/>
                <w:szCs w:val="24"/>
                <w:highlight w:val="none"/>
              </w:rPr>
            </w:pPr>
            <w:r>
              <w:rPr>
                <w:rFonts w:hint="eastAsia" w:eastAsia="Times New Roman"/>
                <w:color w:val="auto"/>
                <w:sz w:val="21"/>
                <w:highlight w:val="none"/>
              </w:rPr>
              <w:t>潜在投标人或利害关系人对本招标公告及招标文件内容异议的，向招标人书面提出。</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62D6A9C">
            <w:pPr>
              <w:snapToGrid w:val="0"/>
              <w:ind w:right="-31" w:rightChars="-13"/>
              <w:rPr>
                <w:rFonts w:hint="eastAsia" w:eastAsia="Times New Roman"/>
                <w:color w:val="auto"/>
                <w:sz w:val="21"/>
                <w:highlight w:val="none"/>
              </w:rPr>
            </w:pPr>
            <w:r>
              <w:rPr>
                <w:rFonts w:eastAsia="Times New Roman"/>
                <w:color w:val="auto"/>
                <w:sz w:val="21"/>
                <w:highlight w:val="none"/>
              </w:rPr>
              <w:t>在投标人或利害关系人对本招标公告及招标文件内容异议的</w:t>
            </w:r>
            <w:r>
              <w:rPr>
                <w:rFonts w:hint="eastAsia" w:eastAsia="宋体"/>
                <w:color w:val="auto"/>
                <w:sz w:val="21"/>
                <w:highlight w:val="none"/>
                <w:lang w:eastAsia="zh-CN"/>
              </w:rPr>
              <w:t>。</w:t>
            </w:r>
            <w:r>
              <w:rPr>
                <w:rFonts w:hint="eastAsia" w:eastAsia="Times New Roman"/>
                <w:color w:val="auto"/>
                <w:sz w:val="21"/>
                <w:highlight w:val="none"/>
              </w:rPr>
              <w:t>可通过线下书面或线上的形式提出异议。</w:t>
            </w:r>
          </w:p>
          <w:p w14:paraId="0489FEDC">
            <w:pPr>
              <w:snapToGrid w:val="0"/>
              <w:ind w:right="-31" w:rightChars="-13"/>
              <w:rPr>
                <w:rFonts w:hint="eastAsia" w:ascii="仿宋" w:hAnsi="仿宋" w:eastAsia="仿宋" w:cs="仿宋"/>
                <w:color w:val="auto"/>
                <w:sz w:val="21"/>
                <w:szCs w:val="24"/>
                <w:highlight w:val="none"/>
                <w:lang w:val="en-US" w:eastAsia="zh-CN"/>
              </w:rPr>
            </w:pPr>
            <w:r>
              <w:rPr>
                <w:rFonts w:hint="eastAsia" w:eastAsia="宋体"/>
                <w:color w:val="auto"/>
                <w:sz w:val="21"/>
                <w:highlight w:val="none"/>
                <w:lang w:eastAsia="zh-CN"/>
              </w:rPr>
              <w:t>注：</w:t>
            </w:r>
            <w:r>
              <w:rPr>
                <w:rFonts w:hint="eastAsia" w:eastAsia="Times New Roman"/>
                <w:color w:val="auto"/>
                <w:sz w:val="21"/>
                <w:highlight w:val="none"/>
              </w:rPr>
              <w:t>在线异议具体操作详见“广州交易集团有限公司（广州公共资源交易中心）门户网站首页-</w:t>
            </w:r>
            <w:r>
              <w:rPr>
                <w:rFonts w:eastAsia="Times New Roman"/>
                <w:color w:val="auto"/>
                <w:sz w:val="21"/>
                <w:highlight w:val="none"/>
              </w:rPr>
              <w:t>&gt;</w:t>
            </w:r>
            <w:r>
              <w:rPr>
                <w:rFonts w:hint="eastAsia" w:eastAsia="Times New Roman"/>
                <w:color w:val="auto"/>
                <w:sz w:val="21"/>
                <w:highlight w:val="none"/>
              </w:rPr>
              <w:t>服务指南过</w:t>
            </w:r>
            <w:r>
              <w:rPr>
                <w:rFonts w:eastAsia="Times New Roman"/>
                <w:color w:val="auto"/>
                <w:sz w:val="21"/>
                <w:highlight w:val="none"/>
              </w:rPr>
              <w:t>&gt;</w:t>
            </w:r>
            <w:r>
              <w:rPr>
                <w:rFonts w:hint="eastAsia" w:eastAsia="Times New Roman"/>
                <w:color w:val="auto"/>
                <w:sz w:val="21"/>
                <w:highlight w:val="none"/>
              </w:rPr>
              <w:t>系统帮助过</w:t>
            </w:r>
            <w:r>
              <w:rPr>
                <w:rFonts w:eastAsia="Times New Roman"/>
                <w:color w:val="auto"/>
                <w:sz w:val="21"/>
                <w:highlight w:val="none"/>
              </w:rPr>
              <w:t>&gt;</w:t>
            </w:r>
            <w:r>
              <w:rPr>
                <w:rFonts w:hint="eastAsia" w:eastAsia="Times New Roman"/>
                <w:color w:val="auto"/>
                <w:sz w:val="21"/>
                <w:highlight w:val="none"/>
              </w:rPr>
              <w:t>操作手册过</w:t>
            </w:r>
            <w:r>
              <w:rPr>
                <w:rFonts w:eastAsia="Times New Roman"/>
                <w:color w:val="auto"/>
                <w:sz w:val="21"/>
                <w:highlight w:val="none"/>
              </w:rPr>
              <w:t>&gt;</w:t>
            </w:r>
            <w:r>
              <w:rPr>
                <w:rFonts w:hint="eastAsia" w:eastAsia="Times New Roman"/>
                <w:color w:val="auto"/>
                <w:sz w:val="21"/>
                <w:highlight w:val="none"/>
              </w:rPr>
              <w:t>发起及受理异议操作指引”</w:t>
            </w:r>
          </w:p>
        </w:tc>
      </w:tr>
      <w:tr w14:paraId="65FC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vAlign w:val="center"/>
          </w:tcPr>
          <w:p w14:paraId="4967C953">
            <w:pPr>
              <w:pStyle w:val="28"/>
              <w:kinsoku w:val="0"/>
              <w:overflowPunct w:val="0"/>
              <w:jc w:val="center"/>
              <w:rPr>
                <w:rFonts w:hint="eastAsia" w:ascii="Times New Roman" w:hAnsi="Times New Roman" w:eastAsia="Times New Roman"/>
                <w:color w:val="auto"/>
                <w:sz w:val="21"/>
                <w:szCs w:val="24"/>
                <w:highlight w:val="none"/>
              </w:rPr>
            </w:pPr>
            <w:r>
              <w:rPr>
                <w:rFonts w:eastAsia="Times New Roman"/>
                <w:color w:val="auto"/>
                <w:sz w:val="21"/>
                <w:highlight w:val="none"/>
              </w:rPr>
              <w:t>10.8</w:t>
            </w:r>
          </w:p>
        </w:tc>
        <w:tc>
          <w:tcPr>
            <w:tcW w:w="2607" w:type="dxa"/>
            <w:tcBorders>
              <w:top w:val="single" w:color="auto" w:sz="4" w:space="0"/>
              <w:left w:val="single" w:color="auto" w:sz="4" w:space="0"/>
              <w:bottom w:val="single" w:color="auto" w:sz="4" w:space="0"/>
              <w:right w:val="single" w:color="auto" w:sz="4" w:space="0"/>
              <w:tl2br w:val="nil"/>
              <w:tr2bl w:val="nil"/>
            </w:tcBorders>
            <w:vAlign w:val="center"/>
          </w:tcPr>
          <w:p w14:paraId="7DE83A9B">
            <w:pPr>
              <w:pStyle w:val="28"/>
              <w:kinsoku w:val="0"/>
              <w:overflowPunct w:val="0"/>
              <w:jc w:val="center"/>
              <w:rPr>
                <w:rFonts w:hint="default" w:ascii="宋体" w:hAnsi="宋体" w:eastAsia="宋体"/>
                <w:color w:val="auto"/>
                <w:sz w:val="21"/>
                <w:szCs w:val="24"/>
                <w:highlight w:val="none"/>
              </w:rPr>
            </w:pPr>
            <w:r>
              <w:rPr>
                <w:rFonts w:hint="eastAsia" w:eastAsia="Times New Roman"/>
                <w:color w:val="auto"/>
                <w:sz w:val="21"/>
                <w:highlight w:val="none"/>
              </w:rPr>
              <w:t>其他</w:t>
            </w:r>
          </w:p>
        </w:tc>
        <w:tc>
          <w:tcPr>
            <w:tcW w:w="5463" w:type="dxa"/>
            <w:tcBorders>
              <w:top w:val="single" w:color="auto" w:sz="4" w:space="0"/>
              <w:left w:val="single" w:color="auto" w:sz="4" w:space="0"/>
              <w:bottom w:val="single" w:color="auto" w:sz="4" w:space="0"/>
              <w:right w:val="single" w:color="auto" w:sz="4" w:space="0"/>
              <w:tl2br w:val="nil"/>
              <w:tr2bl w:val="nil"/>
            </w:tcBorders>
            <w:vAlign w:val="center"/>
          </w:tcPr>
          <w:p w14:paraId="0722CC2A">
            <w:pPr>
              <w:jc w:val="both"/>
              <w:rPr>
                <w:rFonts w:hint="eastAsia" w:ascii="仿宋" w:hAnsi="仿宋" w:eastAsia="仿宋" w:cs="仿宋"/>
                <w:color w:val="auto"/>
                <w:sz w:val="21"/>
                <w:szCs w:val="24"/>
                <w:highlight w:val="none"/>
                <w:lang w:val="en-US" w:eastAsia="zh-CN"/>
              </w:rPr>
            </w:pPr>
            <w:r>
              <w:rPr>
                <w:rFonts w:hint="eastAsia" w:eastAsia="Times New Roman"/>
                <w:color w:val="auto"/>
                <w:sz w:val="21"/>
                <w:highlight w:val="none"/>
              </w:rPr>
              <w:t>在产生中标候选人后，招标人将中标候选人的投标文件商务部分的电子版（报价清单、监理大纲等涉及商业秘密的内容除外）在广州公共资源交易中心网站公开。</w:t>
            </w:r>
          </w:p>
        </w:tc>
      </w:tr>
    </w:tbl>
    <w:p w14:paraId="615F3B51">
      <w:pPr>
        <w:rPr>
          <w:rFonts w:hint="default"/>
          <w:color w:val="auto"/>
          <w:sz w:val="24"/>
          <w:szCs w:val="24"/>
          <w:highlight w:val="none"/>
        </w:rPr>
      </w:pPr>
    </w:p>
    <w:p w14:paraId="48AFB888">
      <w:pPr>
        <w:pStyle w:val="4"/>
        <w:outlineLvl w:val="9"/>
        <w:rPr>
          <w:rFonts w:hint="default" w:cs="宋体"/>
          <w:color w:val="auto"/>
          <w:sz w:val="24"/>
          <w:szCs w:val="24"/>
          <w:highlight w:val="none"/>
        </w:rPr>
        <w:sectPr>
          <w:footerReference r:id="rId5" w:type="default"/>
          <w:pgSz w:w="11905" w:h="16838"/>
          <w:pgMar w:top="1417" w:right="1417" w:bottom="1417" w:left="1417" w:header="992" w:footer="992" w:gutter="0"/>
          <w:lnNumType w:countBy="0" w:distance="360"/>
          <w:cols w:space="720" w:num="1"/>
        </w:sectPr>
      </w:pPr>
    </w:p>
    <w:p w14:paraId="24755C9F">
      <w:pPr>
        <w:pStyle w:val="4"/>
        <w:jc w:val="center"/>
        <w:rPr>
          <w:rFonts w:hint="default"/>
          <w:color w:val="auto"/>
          <w:sz w:val="32"/>
          <w:szCs w:val="24"/>
          <w:highlight w:val="none"/>
        </w:rPr>
      </w:pPr>
      <w:bookmarkStart w:id="10" w:name="_Toc17452664"/>
      <w:bookmarkStart w:id="11" w:name="_Toc17451623"/>
      <w:bookmarkStart w:id="12" w:name="_Toc17454922"/>
      <w:bookmarkStart w:id="13" w:name="_Toc17556876"/>
      <w:bookmarkStart w:id="14" w:name="_Toc17451578"/>
      <w:bookmarkStart w:id="15" w:name="_Toc17451101"/>
      <w:bookmarkStart w:id="16" w:name="_Toc17556931"/>
      <w:bookmarkStart w:id="17" w:name="_Toc17454871"/>
      <w:r>
        <w:rPr>
          <w:rFonts w:hint="default"/>
          <w:color w:val="auto"/>
          <w:sz w:val="32"/>
          <w:szCs w:val="24"/>
          <w:highlight w:val="none"/>
        </w:rPr>
        <w:t>投标须知修改表</w:t>
      </w:r>
      <w:bookmarkEnd w:id="10"/>
      <w:bookmarkEnd w:id="11"/>
      <w:bookmarkEnd w:id="12"/>
      <w:bookmarkEnd w:id="13"/>
      <w:bookmarkEnd w:id="14"/>
      <w:bookmarkEnd w:id="15"/>
      <w:bookmarkEnd w:id="16"/>
      <w:bookmarkEnd w:id="17"/>
    </w:p>
    <w:p w14:paraId="15E2FA38">
      <w:pPr>
        <w:pStyle w:val="19"/>
        <w:spacing w:line="360" w:lineRule="auto"/>
        <w:rPr>
          <w:rFonts w:hint="default" w:ascii="宋体" w:hAnsi="宋体" w:eastAsia="宋体"/>
          <w:b/>
          <w:color w:val="auto"/>
          <w:sz w:val="24"/>
          <w:szCs w:val="24"/>
          <w:highlight w:val="none"/>
          <w:lang w:eastAsia="zh-CN"/>
        </w:rPr>
      </w:pPr>
      <w:r>
        <w:rPr>
          <w:rFonts w:hint="default" w:ascii="宋体" w:hAnsi="宋体" w:eastAsia="宋体"/>
          <w:b/>
          <w:color w:val="auto"/>
          <w:sz w:val="24"/>
          <w:szCs w:val="24"/>
          <w:highlight w:val="none"/>
        </w:rPr>
        <w:t>本投标须知使</w:t>
      </w:r>
      <w:r>
        <w:rPr>
          <w:rFonts w:hint="default" w:ascii="宋体" w:hAnsi="宋体" w:eastAsia="宋体" w:cs="Times New Roman"/>
          <w:b/>
          <w:color w:val="auto"/>
          <w:sz w:val="24"/>
          <w:szCs w:val="24"/>
          <w:highlight w:val="none"/>
        </w:rPr>
        <w:t>用</w:t>
      </w:r>
      <w:r>
        <w:rPr>
          <w:rFonts w:hint="eastAsia" w:ascii="宋体" w:hAnsi="宋体" w:eastAsia="宋体" w:cs="Times New Roman"/>
          <w:b/>
          <w:color w:val="auto"/>
          <w:sz w:val="24"/>
          <w:szCs w:val="24"/>
          <w:highlight w:val="none"/>
          <w:lang w:eastAsia="zh-CN"/>
        </w:rPr>
        <w:t>SWZB2024-05</w:t>
      </w:r>
      <w:r>
        <w:rPr>
          <w:rFonts w:hint="default" w:ascii="宋体" w:hAnsi="宋体" w:eastAsia="宋体" w:cs="Times New Roman"/>
          <w:b/>
          <w:color w:val="auto"/>
          <w:sz w:val="24"/>
          <w:szCs w:val="24"/>
          <w:highlight w:val="none"/>
        </w:rPr>
        <w:t>招标</w:t>
      </w:r>
      <w:r>
        <w:rPr>
          <w:rFonts w:hint="default" w:ascii="宋体" w:hAnsi="宋体" w:eastAsia="宋体"/>
          <w:b/>
          <w:color w:val="auto"/>
          <w:sz w:val="24"/>
          <w:szCs w:val="24"/>
          <w:highlight w:val="none"/>
        </w:rPr>
        <w:t>文件范本的投标须知通用条款，与该通用条款不同之处，均在本表中列明，并以现文为准，原文不再有效。</w:t>
      </w:r>
    </w:p>
    <w:p w14:paraId="4F288745">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  1.4.2           修改类型：删除</w:t>
      </w:r>
    </w:p>
    <w:p w14:paraId="2E10955D">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原文：1.4.2 投标人须知前附表规定接受联合体投标的，联合体除应符合本章第 1.4.1 项和投标人须知前附表的要求外，还应遵守以下规定：</w:t>
      </w:r>
    </w:p>
    <w:p w14:paraId="54C61F65">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（1）联合体各方应按招标文件提供的格式签订联合体协议书，明确联合体主办方和各方权利义务，并承诺就中标项目向招标人承担连带责任；</w:t>
      </w:r>
    </w:p>
    <w:p w14:paraId="13B75211">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（2）由同一专业的单位组成的联合体，按照资质等级较低的单位确定资质等级；</w:t>
      </w:r>
    </w:p>
    <w:p w14:paraId="6D1BB503">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（3）联合体各方不得再以自己名义单独或参加其他联合体在本招标项目中投标，否则各相关投标均无效。</w:t>
      </w:r>
    </w:p>
    <w:p w14:paraId="254CA726">
      <w:pPr>
        <w:spacing w:line="480" w:lineRule="auto"/>
        <w:ind w:firstLine="537" w:firstLineChars="224"/>
        <w:rPr>
          <w:rFonts w:hint="default" w:ascii="宋体" w:hAnsi="宋体" w:eastAsia="宋体"/>
          <w:color w:val="auto"/>
          <w:sz w:val="24"/>
          <w:szCs w:val="24"/>
          <w:highlight w:val="none"/>
        </w:rPr>
      </w:pPr>
      <w:r>
        <w:rPr>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76200</wp:posOffset>
                </wp:positionH>
                <wp:positionV relativeFrom="paragraph">
                  <wp:posOffset>59690</wp:posOffset>
                </wp:positionV>
                <wp:extent cx="5786755" cy="0"/>
                <wp:effectExtent l="0" t="4445" r="0" b="5080"/>
                <wp:wrapNone/>
                <wp:docPr id="22" name="直接连接符 22"/>
                <wp:cNvGraphicFramePr/>
                <a:graphic xmlns:a="http://schemas.openxmlformats.org/drawingml/2006/main">
                  <a:graphicData uri="http://schemas.microsoft.com/office/word/2010/wordprocessingShape">
                    <wps:wsp>
                      <wps:cNvCnPr/>
                      <wps:spPr>
                        <a:xfrm>
                          <a:off x="975995" y="5186045"/>
                          <a:ext cx="5786755" cy="0"/>
                        </a:xfrm>
                        <a:prstGeom prst="line">
                          <a:avLst/>
                        </a:prstGeom>
                        <a:ln w="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pt;margin-top:4.7pt;height:0pt;width:455.65pt;z-index:251669504;mso-width-relative:page;mso-height-relative:page;" filled="f" stroked="t" coordsize="21600,21600" o:gfxdata="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gHqxXUAAAABgEA&#10;AA8AAAAAAAAAAQAgAAAAIgAAAGRycy9kb3ducmV2LnhtbFBLAQIUABQAAAAIAIdO4kAh0OTH5QEA&#10;AKQDAAAOAAAAAAAAAAEAIAAAACMBAABkcnMvZTJvRG9jLnhtbFBLBQYAAAAABgAGAFkBAAB6BQAA&#10;AAA=&#10;">
                <v:fill on="f" focussize="0,0"/>
                <v:stroke weight="0pt" color="#000000 [3213]" joinstyle="round"/>
                <v:imagedata o:title=""/>
                <o:lock v:ext="edit" aspectratio="f"/>
              </v:line>
            </w:pict>
          </mc:Fallback>
        </mc:AlternateContent>
      </w:r>
    </w:p>
    <w:p w14:paraId="69F82DDE">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条款号：1.4.4             修改类型：增加</w:t>
      </w:r>
    </w:p>
    <w:p w14:paraId="6A0867D4">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现文：投标人未被列入“在一定期限内依法取消参加依法必须进行招标的项目的投标资格”，具体名单以递交投标文件截止时间“信用广州”公布的“黑名单”为准。</w:t>
      </w:r>
    </w:p>
    <w:p w14:paraId="1BD2B723">
      <w:pPr>
        <w:spacing w:line="480" w:lineRule="auto"/>
        <w:ind w:firstLine="537" w:firstLineChars="224"/>
        <w:rPr>
          <w:rFonts w:hint="default" w:ascii="宋体" w:hAnsi="宋体" w:eastAsia="宋体"/>
          <w:color w:val="auto"/>
          <w:sz w:val="24"/>
          <w:szCs w:val="24"/>
          <w:highlight w:val="none"/>
        </w:rPr>
      </w:pPr>
      <w:r>
        <w:rPr>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26670</wp:posOffset>
                </wp:positionH>
                <wp:positionV relativeFrom="paragraph">
                  <wp:posOffset>87630</wp:posOffset>
                </wp:positionV>
                <wp:extent cx="5953125" cy="0"/>
                <wp:effectExtent l="0" t="6350" r="0" b="6350"/>
                <wp:wrapNone/>
                <wp:docPr id="18" name="直接连接符 18"/>
                <wp:cNvGraphicFramePr/>
                <a:graphic xmlns:a="http://schemas.openxmlformats.org/drawingml/2006/main">
                  <a:graphicData uri="http://schemas.microsoft.com/office/word/2010/wordprocessingShape">
                    <wps:wsp>
                      <wps:cNvCnPr/>
                      <wps:spPr>
                        <a:xfrm>
                          <a:off x="0" y="0"/>
                          <a:ext cx="59531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pt;margin-top:6.9pt;height:0pt;width:468.75pt;z-index:251668480;mso-width-relative:page;mso-height-relative:page;" filled="f" stroked="t" coordsize="21600,21600" o:gfxdata="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CZ6RdYAAAAHAQAADwAAAAAAAAAB&#10;ACAAAAAiAAAAZHJzL2Rvd25yZXYueG1sUEsBAhQAFAAAAAgAh07iQGLorbrZAQAAnQMAAA4AAAAA&#10;AAAAAQAgAAAAJQEAAGRycy9lMm9Eb2MueG1sUEsFBgAAAAAGAAYAWQEAAHAFAAAAAA==&#10;">
                <v:fill on="f" focussize="0,0"/>
                <v:stroke weight="1pt" color="#000000 [3213]" joinstyle="round"/>
                <v:imagedata o:title=""/>
                <o:lock v:ext="edit" aspectratio="f"/>
              </v:line>
            </w:pict>
          </mc:Fallback>
        </mc:AlternateContent>
      </w:r>
    </w:p>
    <w:p w14:paraId="3E0D66CA">
      <w:pPr>
        <w:spacing w:line="480" w:lineRule="auto"/>
        <w:ind w:firstLine="537" w:firstLineChars="224"/>
        <w:rPr>
          <w:rFonts w:hint="eastAsia" w:ascii="宋体" w:hAnsi="宋体" w:eastAsia="宋体"/>
          <w:color w:val="auto"/>
          <w:sz w:val="24"/>
          <w:szCs w:val="24"/>
          <w:highlight w:val="none"/>
          <w:lang w:val="en-US" w:eastAsia="zh-CN"/>
        </w:rPr>
      </w:pPr>
      <w:r>
        <w:rPr>
          <w:rFonts w:hint="default" w:ascii="宋体" w:hAnsi="宋体" w:eastAsia="宋体"/>
          <w:color w:val="auto"/>
          <w:sz w:val="24"/>
          <w:szCs w:val="24"/>
          <w:highlight w:val="none"/>
        </w:rPr>
        <w:t xml:space="preserve">条款号：  </w:t>
      </w:r>
      <w:r>
        <w:rPr>
          <w:rFonts w:hint="eastAsia" w:ascii="宋体" w:hAnsi="宋体"/>
          <w:color w:val="auto"/>
          <w:sz w:val="24"/>
          <w:szCs w:val="24"/>
          <w:highlight w:val="none"/>
          <w:lang w:val="en-US" w:eastAsia="zh-CN"/>
        </w:rPr>
        <w:t>3.1.1</w:t>
      </w:r>
      <w:r>
        <w:rPr>
          <w:rFonts w:hint="default" w:ascii="宋体" w:hAnsi="宋体" w:eastAsia="宋体"/>
          <w:color w:val="auto"/>
          <w:sz w:val="24"/>
          <w:szCs w:val="24"/>
          <w:highlight w:val="none"/>
        </w:rPr>
        <w:t xml:space="preserve">           修改类型：</w:t>
      </w:r>
      <w:r>
        <w:rPr>
          <w:rFonts w:hint="eastAsia" w:ascii="宋体" w:hAnsi="宋体" w:eastAsia="宋体"/>
          <w:color w:val="auto"/>
          <w:sz w:val="24"/>
          <w:szCs w:val="24"/>
          <w:highlight w:val="none"/>
          <w:lang w:eastAsia="zh-CN"/>
        </w:rPr>
        <w:t>修改</w:t>
      </w:r>
    </w:p>
    <w:p w14:paraId="0901D1D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ascii="宋体" w:hAnsi="宋体" w:eastAsia="宋体"/>
          <w:color w:val="auto"/>
          <w:sz w:val="24"/>
          <w:szCs w:val="24"/>
          <w:highlight w:val="none"/>
        </w:rPr>
        <w:t>原文：</w:t>
      </w:r>
      <w:r>
        <w:rPr>
          <w:rFonts w:hint="default" w:cs="Times New Roman"/>
          <w:color w:val="auto"/>
          <w:sz w:val="24"/>
          <w:szCs w:val="24"/>
          <w:highlight w:val="none"/>
        </w:rPr>
        <w:t>3.1.1 投标文件应包括下列内容：</w:t>
      </w:r>
    </w:p>
    <w:p w14:paraId="4E8822C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（1）投标函及投标函附录；</w:t>
      </w:r>
    </w:p>
    <w:p w14:paraId="7D82843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（2）法定代表人身份证明或授权委托书；</w:t>
      </w:r>
    </w:p>
    <w:p w14:paraId="22C6462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（3）联合体协议书；</w:t>
      </w:r>
    </w:p>
    <w:p w14:paraId="10A9FB7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（4）投标保证金；</w:t>
      </w:r>
    </w:p>
    <w:p w14:paraId="614E4E2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（5）监理报酬清单；</w:t>
      </w:r>
    </w:p>
    <w:p w14:paraId="7A2FF7C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（6）资格审查资料；</w:t>
      </w:r>
    </w:p>
    <w:p w14:paraId="4075975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（7）监理大纲；</w:t>
      </w:r>
    </w:p>
    <w:p w14:paraId="57FCAFD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（8）投标人须知前附表规定的其他资料。投标人在评标过程中作出的符合法律法规和招标文件规定的澄清确认，构成投标文件的组成部分。</w:t>
      </w:r>
    </w:p>
    <w:p w14:paraId="3FE42F0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eastAsia" w:ascii="宋体" w:hAnsi="宋体" w:eastAsia="宋体"/>
          <w:color w:val="auto"/>
          <w:sz w:val="24"/>
          <w:szCs w:val="24"/>
          <w:highlight w:val="none"/>
          <w:lang w:eastAsia="zh-CN"/>
        </w:rPr>
        <w:t>现文：</w:t>
      </w:r>
      <w:r>
        <w:rPr>
          <w:rFonts w:hint="default" w:cs="Times New Roman"/>
          <w:color w:val="auto"/>
          <w:sz w:val="24"/>
          <w:szCs w:val="24"/>
          <w:highlight w:val="none"/>
        </w:rPr>
        <w:t>3.1.1 投标文件应包括下列内容：</w:t>
      </w:r>
    </w:p>
    <w:p w14:paraId="5261BFC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（1）投标函及投标函附录；</w:t>
      </w:r>
    </w:p>
    <w:p w14:paraId="71903AE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（2）法定代表人身份证明或授权委托书；</w:t>
      </w:r>
    </w:p>
    <w:p w14:paraId="505EE8E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（3）联合体协议书；</w:t>
      </w:r>
    </w:p>
    <w:p w14:paraId="31694B2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（4）投标保证金；</w:t>
      </w:r>
    </w:p>
    <w:p w14:paraId="5B4D819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（5）监理报酬清单；</w:t>
      </w:r>
    </w:p>
    <w:p w14:paraId="6E2E311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（6）资格审查资料；</w:t>
      </w:r>
    </w:p>
    <w:p w14:paraId="0B8D731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（7）监理大纲；</w:t>
      </w:r>
    </w:p>
    <w:p w14:paraId="16B5178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（8）投标人须知前附表规定的其他资料。投标人在评标过程中作出的符合法律法规和招标文件规定的澄清确认，构成投标文件的组成部分。</w:t>
      </w:r>
    </w:p>
    <w:p w14:paraId="7BF6EC72">
      <w:pPr>
        <w:spacing w:line="240" w:lineRule="auto"/>
        <w:ind w:firstLine="0" w:firstLineChars="0"/>
        <w:rPr>
          <w:rFonts w:hint="default" w:ascii="宋体" w:hAnsi="宋体" w:eastAsia="宋体"/>
          <w:color w:val="auto"/>
          <w:sz w:val="24"/>
          <w:szCs w:val="24"/>
          <w:highlight w:val="none"/>
        </w:rPr>
      </w:pPr>
      <w:r>
        <w:rPr>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103505</wp:posOffset>
                </wp:positionV>
                <wp:extent cx="5953125" cy="0"/>
                <wp:effectExtent l="0" t="6350" r="0" b="6350"/>
                <wp:wrapNone/>
                <wp:docPr id="17" name="直接连接符 17"/>
                <wp:cNvGraphicFramePr/>
                <a:graphic xmlns:a="http://schemas.openxmlformats.org/drawingml/2006/main">
                  <a:graphicData uri="http://schemas.microsoft.com/office/word/2010/wordprocessingShape">
                    <wps:wsp>
                      <wps:cNvCnPr/>
                      <wps:spPr>
                        <a:xfrm>
                          <a:off x="915035" y="4182745"/>
                          <a:ext cx="5953125"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pt;margin-top:8.15pt;height:0pt;width:468.75pt;z-index:251660288;mso-width-relative:page;mso-height-relative:page;" filled="f" stroked="t" coordsize="21600,21600" o:gfxdata="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eCQPNUA&#10;AAAHAQAADwAAAAAAAAABACAAAAAiAAAAZHJzL2Rvd25yZXYueG1sUEsBAhQAFAAAAAgAh07iQKer&#10;5mbpAQAAqAMAAA4AAAAAAAAAAQAgAAAAJAEAAGRycy9lMm9Eb2MueG1sUEsFBgAAAAAGAAYAWQEA&#10;AH8FAAAAAA==&#10;">
                <v:fill on="f" focussize="0,0"/>
                <v:stroke weight="1pt" color="#000000 [3213]" joinstyle="round"/>
                <v:imagedata o:title=""/>
                <o:lock v:ext="edit" aspectratio="f"/>
              </v:line>
            </w:pict>
          </mc:Fallback>
        </mc:AlternateContent>
      </w:r>
    </w:p>
    <w:p w14:paraId="56C0EF27">
      <w:pPr>
        <w:spacing w:line="240" w:lineRule="auto"/>
        <w:ind w:firstLine="0" w:firstLineChars="0"/>
        <w:rPr>
          <w:rFonts w:hint="default" w:ascii="宋体" w:hAnsi="宋体" w:eastAsia="宋体"/>
          <w:color w:val="auto"/>
          <w:sz w:val="24"/>
          <w:szCs w:val="24"/>
          <w:highlight w:val="none"/>
        </w:rPr>
      </w:pPr>
    </w:p>
    <w:p w14:paraId="4F530975">
      <w:pPr>
        <w:spacing w:line="480" w:lineRule="auto"/>
        <w:ind w:firstLine="537" w:firstLineChars="224"/>
        <w:rPr>
          <w:rFonts w:ascii="宋体" w:hAnsi="宋体"/>
          <w:color w:val="auto"/>
          <w:highlight w:val="none"/>
        </w:rPr>
      </w:pPr>
      <w:r>
        <w:rPr>
          <w:rFonts w:ascii="宋体" w:hAnsi="宋体"/>
          <w:color w:val="auto"/>
          <w:highlight w:val="none"/>
        </w:rPr>
        <w:t>条款号：3.</w:t>
      </w:r>
      <w:r>
        <w:rPr>
          <w:rFonts w:hint="eastAsia" w:ascii="宋体" w:hAnsi="宋体"/>
          <w:color w:val="auto"/>
          <w:highlight w:val="none"/>
        </w:rPr>
        <w:t>3.3</w:t>
      </w:r>
      <w:r>
        <w:rPr>
          <w:rFonts w:ascii="宋体" w:hAnsi="宋体"/>
          <w:color w:val="auto"/>
          <w:highlight w:val="none"/>
        </w:rPr>
        <w:t xml:space="preserve">             修改类型：修改</w:t>
      </w:r>
    </w:p>
    <w:p w14:paraId="57D37611">
      <w:pPr>
        <w:spacing w:line="480" w:lineRule="auto"/>
        <w:ind w:firstLine="537" w:firstLineChars="224"/>
        <w:rPr>
          <w:rFonts w:ascii="宋体" w:hAnsi="宋体"/>
          <w:color w:val="auto"/>
          <w:highlight w:val="none"/>
        </w:rPr>
      </w:pPr>
      <w:r>
        <w:rPr>
          <w:rFonts w:hint="eastAsia" w:ascii="宋体" w:hAnsi="宋体"/>
          <w:color w:val="auto"/>
          <w:highlight w:val="none"/>
        </w:rPr>
        <w:t>原文：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0927F6B5">
      <w:pPr>
        <w:pBdr>
          <w:bottom w:val="single" w:color="auto" w:sz="6" w:space="1"/>
        </w:pBdr>
        <w:spacing w:line="480" w:lineRule="auto"/>
        <w:ind w:firstLine="537" w:firstLineChars="224"/>
        <w:rPr>
          <w:rFonts w:ascii="宋体" w:hAnsi="宋体"/>
          <w:color w:val="auto"/>
          <w:highlight w:val="none"/>
        </w:rPr>
      </w:pPr>
      <w:r>
        <w:rPr>
          <w:rFonts w:hint="eastAsia" w:ascii="宋体" w:hAnsi="宋体"/>
          <w:color w:val="auto"/>
          <w:highlight w:val="none"/>
        </w:rPr>
        <w:t>现文：出现特殊情况需要延长投标有效期的，招标人以书面形式通知所有投标人延长投标有效期。投标人应予以书面答复，同意延长的，</w:t>
      </w:r>
      <w:r>
        <w:rPr>
          <w:rFonts w:hint="eastAsia" w:ascii="宋体" w:hAnsi="宋体"/>
          <w:strike/>
          <w:color w:val="auto"/>
          <w:highlight w:val="none"/>
        </w:rPr>
        <w:t>应相应延长其投标保证金的有效期，但</w:t>
      </w:r>
      <w:r>
        <w:rPr>
          <w:rFonts w:hint="eastAsia" w:ascii="宋体" w:hAnsi="宋体"/>
          <w:color w:val="auto"/>
          <w:highlight w:val="none"/>
        </w:rPr>
        <w:t>不得要求或被允许修改其投标文件；投标人拒绝延长的，其投标失效</w:t>
      </w:r>
      <w:r>
        <w:rPr>
          <w:rFonts w:hint="eastAsia" w:ascii="宋体" w:hAnsi="宋体"/>
          <w:strike/>
          <w:color w:val="auto"/>
          <w:highlight w:val="none"/>
        </w:rPr>
        <w:t>，但投标人有权收回其投标保证金及以现金或者支票形式递交的投标保证金的银行同期存款利息</w:t>
      </w:r>
      <w:r>
        <w:rPr>
          <w:rFonts w:hint="eastAsia" w:ascii="宋体" w:hAnsi="宋体"/>
          <w:color w:val="auto"/>
          <w:highlight w:val="none"/>
        </w:rPr>
        <w:t>。</w:t>
      </w:r>
    </w:p>
    <w:p w14:paraId="456472C6">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 xml:space="preserve">条款号：  </w:t>
      </w:r>
      <w:r>
        <w:rPr>
          <w:rFonts w:hint="eastAsia" w:ascii="宋体" w:hAnsi="宋体"/>
          <w:color w:val="auto"/>
          <w:sz w:val="24"/>
          <w:szCs w:val="24"/>
          <w:highlight w:val="none"/>
          <w:lang w:val="en-US" w:eastAsia="zh-CN"/>
        </w:rPr>
        <w:t>3.4</w:t>
      </w:r>
      <w:r>
        <w:rPr>
          <w:rFonts w:hint="default" w:ascii="宋体" w:hAnsi="宋体" w:eastAsia="宋体"/>
          <w:color w:val="auto"/>
          <w:sz w:val="24"/>
          <w:szCs w:val="24"/>
          <w:highlight w:val="none"/>
        </w:rPr>
        <w:t xml:space="preserve">           修改类型：删除</w:t>
      </w:r>
    </w:p>
    <w:p w14:paraId="531F0493">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原文：3.4  投标保证金</w:t>
      </w:r>
    </w:p>
    <w:p w14:paraId="278189C7">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3.4.1 投标人应按投标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14:paraId="6955683F">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3.4.2 开标时投标人没有按要求提交投标保证金的，其投标文件将被否决。</w:t>
      </w:r>
    </w:p>
    <w:p w14:paraId="2F36F150">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3.4.3 中标候选人以外的投标人的投标保证金将尽快退还，最迟不超过中标通知书发出之日起五日内；中标人和其他中标候选人的投标保证金，在书面合同订立之日起五日内予以退还。</w:t>
      </w:r>
    </w:p>
    <w:p w14:paraId="153C3BB5">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3.4.4 有下列情形之一的，投标保证金将不予退还：</w:t>
      </w:r>
    </w:p>
    <w:p w14:paraId="7ED12C2F">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(1) 投标人在规定的投标有效期内撤销其投标文件；</w:t>
      </w:r>
    </w:p>
    <w:p w14:paraId="0AADD0D3">
      <w:pPr>
        <w:pBdr>
          <w:bottom w:val="single" w:color="auto" w:sz="6" w:space="1"/>
        </w:pBdr>
        <w:spacing w:line="480" w:lineRule="auto"/>
        <w:ind w:firstLine="537" w:firstLineChars="224"/>
        <w:rPr>
          <w:rFonts w:hint="default" w:ascii="宋体" w:hAnsi="宋体" w:eastAsia="宋体"/>
          <w:color w:val="auto"/>
          <w:sz w:val="24"/>
          <w:szCs w:val="24"/>
          <w:highlight w:val="none"/>
        </w:rPr>
      </w:pPr>
      <w:r>
        <w:rPr>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-52070</wp:posOffset>
                </wp:positionH>
                <wp:positionV relativeFrom="paragraph">
                  <wp:posOffset>721360</wp:posOffset>
                </wp:positionV>
                <wp:extent cx="5778500" cy="10795"/>
                <wp:effectExtent l="0" t="0" r="0" b="0"/>
                <wp:wrapNone/>
                <wp:docPr id="23" name="直接连接符 23"/>
                <wp:cNvGraphicFramePr/>
                <a:graphic xmlns:a="http://schemas.openxmlformats.org/drawingml/2006/main">
                  <a:graphicData uri="http://schemas.microsoft.com/office/word/2010/wordprocessingShape">
                    <wps:wsp>
                      <wps:cNvCnPr/>
                      <wps:spPr>
                        <a:xfrm flipV="1">
                          <a:off x="847725" y="6759575"/>
                          <a:ext cx="5778500" cy="10795"/>
                        </a:xfrm>
                        <a:prstGeom prst="line">
                          <a:avLst/>
                        </a:prstGeom>
                        <a:ln w="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1pt;margin-top:56.8pt;height:0.85pt;width:455pt;z-index:251670528;mso-width-relative:page;mso-height-relative:page;" filled="f" stroked="t" coordsize="21600,21600" o:gfxdata="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knfuXYAAAACgEAAA8AAAAAAAAAAQAgAAAAIgAAAGRycy9kb3ducmV2LnhtbFBLAQIUABQA&#10;AAAIAIdO4kCxkvmJ8AEAALIDAAAOAAAAAAAAAAEAIAAAACcBAABkcnMvZTJvRG9jLnhtbFBLBQYA&#10;AAAABgAGAFkBAACJBQAAAAA=&#10;">
                <v:fill on="f" focussize="0,0"/>
                <v:stroke weight="0pt" color="#000000 [3213]" joinstyle="round"/>
                <v:imagedata o:title=""/>
                <o:lock v:ext="edit" aspectratio="f"/>
              </v:line>
            </w:pict>
          </mc:Fallback>
        </mc:AlternateContent>
      </w:r>
      <w:r>
        <w:rPr>
          <w:rFonts w:hint="default" w:ascii="宋体" w:hAnsi="宋体" w:eastAsia="宋体"/>
          <w:color w:val="auto"/>
          <w:sz w:val="24"/>
          <w:szCs w:val="24"/>
          <w:highlight w:val="none"/>
        </w:rPr>
        <w:t>(2) 中标人在收到中标通知书后，无正当理由不与招标人订立合同，在签订合同时向招标 人提出附加条件，或者不按照招标文件要求提交履约保证金。</w:t>
      </w:r>
    </w:p>
    <w:p w14:paraId="5C767265">
      <w:pPr>
        <w:pBdr>
          <w:bottom w:val="single" w:color="auto" w:sz="6" w:space="1"/>
        </w:pBdr>
        <w:spacing w:line="480" w:lineRule="auto"/>
        <w:ind w:firstLine="537" w:firstLineChars="224"/>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 xml:space="preserve">条款号：  </w:t>
      </w:r>
      <w:r>
        <w:rPr>
          <w:rFonts w:hint="eastAsia" w:ascii="宋体" w:hAnsi="宋体" w:eastAsia="宋体" w:cs="Times New Roman"/>
          <w:color w:val="auto"/>
          <w:sz w:val="24"/>
          <w:szCs w:val="24"/>
          <w:highlight w:val="none"/>
          <w:lang w:val="en-US" w:eastAsia="zh-CN"/>
        </w:rPr>
        <w:t>3.7.4</w:t>
      </w:r>
      <w:r>
        <w:rPr>
          <w:rFonts w:hint="default" w:ascii="宋体" w:hAnsi="宋体" w:eastAsia="宋体" w:cs="Times New Roman"/>
          <w:color w:val="auto"/>
          <w:sz w:val="24"/>
          <w:szCs w:val="24"/>
          <w:highlight w:val="none"/>
        </w:rPr>
        <w:t xml:space="preserve">           修改类型：删除</w:t>
      </w:r>
    </w:p>
    <w:p w14:paraId="73E395E8">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s="Times New Roman"/>
          <w:color w:val="auto"/>
          <w:sz w:val="24"/>
          <w:szCs w:val="24"/>
          <w:highlight w:val="none"/>
          <w:lang w:eastAsia="zh-CN"/>
        </w:rPr>
        <w:t>原文：</w:t>
      </w:r>
      <w:r>
        <w:rPr>
          <w:rFonts w:hint="default" w:ascii="宋体" w:hAnsi="宋体" w:eastAsia="宋体" w:cs="Times New Roman"/>
          <w:color w:val="auto"/>
          <w:sz w:val="24"/>
          <w:szCs w:val="24"/>
          <w:highlight w:val="none"/>
        </w:rPr>
        <w:t>3.</w:t>
      </w:r>
      <w:r>
        <w:rPr>
          <w:rFonts w:hint="default" w:ascii="宋体" w:hAnsi="宋体" w:eastAsia="宋体" w:cs="Times New Roman"/>
          <w:color w:val="auto"/>
          <w:sz w:val="24"/>
          <w:szCs w:val="24"/>
          <w:highlight w:val="none"/>
          <w:lang w:val="en-US" w:eastAsia="zh-CN"/>
        </w:rPr>
        <w:t>7</w:t>
      </w:r>
      <w:r>
        <w:rPr>
          <w:rFonts w:hint="default" w:ascii="宋体" w:hAnsi="宋体" w:eastAsia="宋体" w:cs="Times New Roman"/>
          <w:color w:val="auto"/>
          <w:sz w:val="24"/>
          <w:szCs w:val="24"/>
          <w:highlight w:val="none"/>
        </w:rPr>
        <w:t>.</w:t>
      </w:r>
      <w:r>
        <w:rPr>
          <w:rFonts w:hint="default" w:ascii="宋体" w:hAnsi="宋体" w:eastAsia="宋体" w:cs="Times New Roman"/>
          <w:color w:val="auto"/>
          <w:sz w:val="24"/>
          <w:szCs w:val="24"/>
          <w:highlight w:val="none"/>
          <w:lang w:val="en-US" w:eastAsia="zh-CN"/>
        </w:rPr>
        <w:t xml:space="preserve">4  </w:t>
      </w:r>
      <w:r>
        <w:rPr>
          <w:rFonts w:hint="default" w:ascii="宋体" w:hAnsi="宋体" w:eastAsia="宋体" w:cs="Times New Roman"/>
          <w:color w:val="auto"/>
          <w:sz w:val="24"/>
          <w:szCs w:val="24"/>
          <w:highlight w:val="none"/>
        </w:rPr>
        <w:t>联合体投标时，</w:t>
      </w:r>
      <w:r>
        <w:rPr>
          <w:rFonts w:hint="default" w:ascii="宋体" w:hAnsi="宋体" w:eastAsia="宋体" w:cs="Times New Roman"/>
          <w:color w:val="auto"/>
          <w:sz w:val="24"/>
          <w:szCs w:val="24"/>
          <w:highlight w:val="none"/>
          <w:lang w:eastAsia="zh-CN"/>
        </w:rPr>
        <w:t>投标人封面及其他内容落款中的“投标人”应填写联合体各方的单位全称【格式为：（主）XXXX公司（成）XXXX公司】。除</w:t>
      </w:r>
      <w:r>
        <w:rPr>
          <w:rFonts w:hint="default" w:ascii="宋体" w:hAnsi="宋体" w:eastAsia="宋体" w:cs="Times New Roman"/>
          <w:color w:val="auto"/>
          <w:sz w:val="24"/>
          <w:szCs w:val="24"/>
          <w:highlight w:val="none"/>
        </w:rPr>
        <w:t>联合体共同投标协议需联合体各方按要求共同盖章签字，其余可由联合体</w:t>
      </w:r>
      <w:r>
        <w:rPr>
          <w:rFonts w:hint="default" w:ascii="宋体" w:hAnsi="宋体" w:eastAsia="宋体" w:cs="Times New Roman"/>
          <w:color w:val="auto"/>
          <w:sz w:val="24"/>
          <w:szCs w:val="24"/>
          <w:highlight w:val="none"/>
          <w:lang w:eastAsia="zh-CN"/>
        </w:rPr>
        <w:t>主办方</w:t>
      </w:r>
      <w:r>
        <w:rPr>
          <w:rFonts w:hint="default" w:ascii="宋体" w:hAnsi="宋体" w:eastAsia="宋体" w:cs="Times New Roman"/>
          <w:color w:val="auto"/>
          <w:sz w:val="24"/>
          <w:szCs w:val="24"/>
          <w:highlight w:val="none"/>
        </w:rPr>
        <w:t>签字、盖章即可，由联合体</w:t>
      </w:r>
      <w:r>
        <w:rPr>
          <w:rFonts w:hint="default" w:ascii="宋体" w:hAnsi="宋体" w:eastAsia="宋体" w:cs="Times New Roman"/>
          <w:color w:val="auto"/>
          <w:sz w:val="24"/>
          <w:szCs w:val="24"/>
          <w:highlight w:val="none"/>
          <w:lang w:eastAsia="zh-CN"/>
        </w:rPr>
        <w:t>主办方</w:t>
      </w:r>
      <w:r>
        <w:rPr>
          <w:rFonts w:hint="default" w:ascii="宋体" w:hAnsi="宋体" w:eastAsia="宋体" w:cs="Times New Roman"/>
          <w:color w:val="auto"/>
          <w:sz w:val="24"/>
          <w:szCs w:val="24"/>
          <w:highlight w:val="none"/>
        </w:rPr>
        <w:t>法人签字的电子投标文件需提供</w:t>
      </w:r>
      <w:r>
        <w:rPr>
          <w:rFonts w:hint="default" w:ascii="宋体" w:hAnsi="宋体" w:eastAsia="宋体" w:cs="Times New Roman"/>
          <w:color w:val="auto"/>
          <w:sz w:val="24"/>
          <w:szCs w:val="24"/>
          <w:highlight w:val="none"/>
          <w:lang w:eastAsia="zh-CN"/>
        </w:rPr>
        <w:t>主办方</w:t>
      </w:r>
      <w:r>
        <w:rPr>
          <w:rFonts w:hint="default" w:ascii="宋体" w:hAnsi="宋体" w:eastAsia="宋体" w:cs="Times New Roman"/>
          <w:color w:val="auto"/>
          <w:sz w:val="24"/>
          <w:szCs w:val="24"/>
          <w:highlight w:val="none"/>
        </w:rPr>
        <w:t>法定代表人证明书，若由联合体</w:t>
      </w:r>
      <w:r>
        <w:rPr>
          <w:rFonts w:hint="default" w:ascii="宋体" w:hAnsi="宋体" w:eastAsia="宋体" w:cs="Times New Roman"/>
          <w:color w:val="auto"/>
          <w:sz w:val="24"/>
          <w:szCs w:val="24"/>
          <w:highlight w:val="none"/>
          <w:lang w:eastAsia="zh-CN"/>
        </w:rPr>
        <w:t>主办方</w:t>
      </w:r>
      <w:r>
        <w:rPr>
          <w:rFonts w:hint="default" w:ascii="宋体" w:hAnsi="宋体" w:eastAsia="宋体" w:cs="Times New Roman"/>
          <w:color w:val="auto"/>
          <w:sz w:val="24"/>
          <w:szCs w:val="24"/>
          <w:highlight w:val="none"/>
        </w:rPr>
        <w:t>法定代表人授权签字的电子投标文件需提供法定代表人证明书及其授权委托书、授权委托人身份证</w:t>
      </w:r>
      <w:r>
        <w:rPr>
          <w:rFonts w:hint="default" w:ascii="宋体" w:hAnsi="宋体" w:eastAsia="宋体" w:cs="Times New Roman"/>
          <w:color w:val="auto"/>
          <w:sz w:val="24"/>
          <w:szCs w:val="24"/>
          <w:highlight w:val="none"/>
          <w:lang w:eastAsia="zh-CN"/>
        </w:rPr>
        <w:t>扫描</w:t>
      </w:r>
      <w:r>
        <w:rPr>
          <w:rFonts w:hint="default" w:ascii="宋体" w:hAnsi="宋体" w:eastAsia="宋体" w:cs="Times New Roman"/>
          <w:color w:val="auto"/>
          <w:sz w:val="24"/>
          <w:szCs w:val="24"/>
          <w:highlight w:val="none"/>
        </w:rPr>
        <w:t>件。</w:t>
      </w:r>
    </w:p>
    <w:p w14:paraId="13D265B9">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color w:val="auto"/>
          <w:sz w:val="24"/>
          <w:szCs w:val="24"/>
          <w:highlight w:val="none"/>
          <w:lang w:val="en-US" w:eastAsia="zh-CN"/>
        </w:rPr>
        <w:t>7.6.1</w:t>
      </w:r>
      <w:r>
        <w:rPr>
          <w:rFonts w:hint="default" w:ascii="宋体" w:hAnsi="宋体" w:eastAsia="宋体"/>
          <w:color w:val="auto"/>
          <w:sz w:val="24"/>
          <w:szCs w:val="24"/>
          <w:highlight w:val="none"/>
        </w:rPr>
        <w:t xml:space="preserve">             修改类型：修改</w:t>
      </w:r>
    </w:p>
    <w:p w14:paraId="108F7469">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主办方的名义提交。</w:t>
      </w:r>
    </w:p>
    <w:p w14:paraId="0EA341BE">
      <w:pPr>
        <w:spacing w:line="480" w:lineRule="auto"/>
        <w:ind w:firstLine="537" w:firstLineChars="224"/>
        <w:rPr>
          <w:rFonts w:hint="default" w:ascii="宋体" w:hAnsi="宋体" w:eastAsia="宋体"/>
          <w:strike/>
          <w:color w:val="auto"/>
          <w:sz w:val="24"/>
          <w:szCs w:val="24"/>
          <w:highlight w:val="none"/>
        </w:rPr>
      </w:pP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1974215</wp:posOffset>
                </wp:positionV>
                <wp:extent cx="5647055" cy="13970"/>
                <wp:effectExtent l="0" t="4445" r="10795" b="10160"/>
                <wp:wrapNone/>
                <wp:docPr id="20" name="直接连接符 20"/>
                <wp:cNvGraphicFramePr/>
                <a:graphic xmlns:a="http://schemas.openxmlformats.org/drawingml/2006/main">
                  <a:graphicData uri="http://schemas.microsoft.com/office/word/2010/wordprocessingShape">
                    <wps:wsp>
                      <wps:cNvCnPr/>
                      <wps:spPr>
                        <a:xfrm flipV="1">
                          <a:off x="894715" y="4455160"/>
                          <a:ext cx="5647055" cy="13970"/>
                        </a:xfrm>
                        <a:prstGeom prst="line">
                          <a:avLst/>
                        </a:prstGeom>
                        <a:ln w="0"/>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4pt;margin-top:155.45pt;height:1.1pt;width:444.65pt;z-index:251662336;mso-width-relative:page;mso-height-relative:page;" filled="f" stroked="t" coordsize="21600,21600" o:gfxdata="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pvR/nYAAAACQEAAA8AAAAAAAAAAQAgAAAAIgAAAGRycy9kb3ducmV2LnhtbFBLAQIUABQAAAAI&#10;AIdO4kAnVKy+7QEAALEDAAAOAAAAAAAAAAEAIAAAACcBAABkcnMvZTJvRG9jLnhtbFBLBQYAAAAA&#10;BgAGAFkBAACGBQAAAAA=&#10;">
                <v:fill on="f" focussize="0,0"/>
                <v:stroke weight="0pt" color="#000000" joinstyle="round"/>
                <v:imagedata o:title=""/>
                <o:lock v:ext="edit" aspectratio="f"/>
              </v:line>
            </w:pict>
          </mc:Fallback>
        </mc:AlternateContent>
      </w:r>
      <w:r>
        <w:rPr>
          <w:rFonts w:hint="default" w:ascii="宋体" w:hAnsi="宋体" w:eastAsia="宋体"/>
          <w:color w:val="auto"/>
          <w:sz w:val="24"/>
          <w:szCs w:val="24"/>
          <w:highlight w:val="none"/>
        </w:rPr>
        <w:t>现文：7.6.1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r>
        <w:rPr>
          <w:rFonts w:hint="default" w:ascii="宋体" w:hAnsi="宋体" w:eastAsia="宋体"/>
          <w:strike/>
          <w:color w:val="auto"/>
          <w:sz w:val="24"/>
          <w:szCs w:val="24"/>
          <w:highlight w:val="none"/>
        </w:rPr>
        <w:t>联合体中标的，其履约保证金以联合体各方或者联合体中主办方的名义提交。</w:t>
      </w:r>
    </w:p>
    <w:p w14:paraId="16822196">
      <w:pPr>
        <w:spacing w:line="480" w:lineRule="auto"/>
        <w:ind w:firstLine="537" w:firstLineChars="224"/>
        <w:rPr>
          <w:rFonts w:hint="default" w:ascii="宋体" w:hAnsi="宋体" w:eastAsia="宋体"/>
          <w:strike/>
          <w:color w:val="auto"/>
          <w:sz w:val="24"/>
          <w:szCs w:val="24"/>
          <w:highlight w:val="none"/>
        </w:rPr>
      </w:pPr>
    </w:p>
    <w:p w14:paraId="7CFC7104">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color w:val="auto"/>
          <w:sz w:val="24"/>
          <w:szCs w:val="24"/>
          <w:highlight w:val="none"/>
          <w:lang w:val="en-US" w:eastAsia="zh-CN"/>
        </w:rPr>
        <w:t>7.6.2</w:t>
      </w:r>
      <w:r>
        <w:rPr>
          <w:rFonts w:hint="default" w:ascii="宋体" w:hAnsi="宋体" w:eastAsia="宋体"/>
          <w:color w:val="auto"/>
          <w:sz w:val="24"/>
          <w:szCs w:val="24"/>
          <w:highlight w:val="none"/>
        </w:rPr>
        <w:t xml:space="preserve">             修改类型：修改</w:t>
      </w:r>
    </w:p>
    <w:p w14:paraId="670CB1ED">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w:t>
      </w:r>
      <w:r>
        <w:rPr>
          <w:rFonts w:hint="eastAsia" w:ascii="宋体" w:hAnsi="宋体"/>
          <w:color w:val="auto"/>
          <w:sz w:val="24"/>
          <w:szCs w:val="24"/>
          <w:highlight w:val="none"/>
          <w:lang w:val="en-US" w:eastAsia="zh-CN"/>
        </w:rPr>
        <w:t xml:space="preserve">7.6.2 </w:t>
      </w:r>
      <w:r>
        <w:rPr>
          <w:rFonts w:hint="default" w:ascii="宋体" w:hAnsi="宋体" w:eastAsia="宋体"/>
          <w:color w:val="auto"/>
          <w:sz w:val="24"/>
          <w:szCs w:val="24"/>
          <w:highlight w:val="none"/>
        </w:rPr>
        <w:t>中标人不能按本章第 7.6.1 项要求提交履约保证金的，视为放弃中标，其投标保证金不予退还，给招标人造成的损失超过投标保证金数额的，中标人还应当对超过部分予以赔偿。</w:t>
      </w:r>
    </w:p>
    <w:p w14:paraId="361DD213">
      <w:pPr>
        <w:pBdr>
          <w:bottom w:val="none" w:color="auto" w:sz="0" w:space="0"/>
        </w:pBdr>
        <w:spacing w:line="480" w:lineRule="auto"/>
        <w:ind w:firstLine="537" w:firstLineChars="224"/>
        <w:rPr>
          <w:rFonts w:hint="default" w:ascii="宋体" w:hAnsi="宋体" w:eastAsia="宋体"/>
          <w:color w:val="auto"/>
          <w:sz w:val="24"/>
          <w:szCs w:val="24"/>
          <w:highlight w:val="none"/>
        </w:rPr>
      </w:pPr>
      <w:r>
        <w:rPr>
          <w:color w:val="auto"/>
          <w:sz w:val="24"/>
          <w:highlight w:val="none"/>
        </w:rPr>
        <mc:AlternateContent>
          <mc:Choice Requires="wps">
            <w:drawing>
              <wp:anchor distT="0" distB="0" distL="114300" distR="114300" simplePos="0" relativeHeight="251671552" behindDoc="0" locked="0" layoutInCell="1" allowOverlap="1">
                <wp:simplePos x="0" y="0"/>
                <wp:positionH relativeFrom="column">
                  <wp:posOffset>-17780</wp:posOffset>
                </wp:positionH>
                <wp:positionV relativeFrom="paragraph">
                  <wp:posOffset>1096010</wp:posOffset>
                </wp:positionV>
                <wp:extent cx="5673090" cy="0"/>
                <wp:effectExtent l="0" t="12700" r="3810" b="15875"/>
                <wp:wrapNone/>
                <wp:docPr id="24" name="直接连接符 24"/>
                <wp:cNvGraphicFramePr/>
                <a:graphic xmlns:a="http://schemas.openxmlformats.org/drawingml/2006/main">
                  <a:graphicData uri="http://schemas.microsoft.com/office/word/2010/wordprocessingShape">
                    <wps:wsp>
                      <wps:cNvCnPr/>
                      <wps:spPr>
                        <a:xfrm>
                          <a:off x="882015" y="8320405"/>
                          <a:ext cx="5673090" cy="0"/>
                        </a:xfrm>
                        <a:prstGeom prst="line">
                          <a:avLst/>
                        </a:prstGeom>
                        <a:ln w="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pt;margin-top:86.3pt;height:0pt;width:446.7pt;z-index:251671552;mso-width-relative:page;mso-height-relative:page;" filled="f" stroked="t" coordsize="21600,21600" o:gfxdata="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E0X9cAAAAK&#10;AQAADwAAAAAAAAABACAAAAAiAAAAZHJzL2Rvd25yZXYueG1sUEsBAhQAFAAAAAgAh07iQFdPOhPk&#10;AQAApAMAAA4AAAAAAAAAAQAgAAAAJgEAAGRycy9lMm9Eb2MueG1sUEsFBgAAAAAGAAYAWQEAAHwF&#10;AAAAAA==&#10;">
                <v:fill on="f" focussize="0,0"/>
                <v:stroke weight="0pt" color="#000000 [3213]" joinstyle="round"/>
                <v:imagedata o:title=""/>
                <o:lock v:ext="edit" aspectratio="f"/>
              </v:line>
            </w:pict>
          </mc:Fallback>
        </mc:AlternateContent>
      </w:r>
      <w:r>
        <w:rPr>
          <w:rFonts w:hint="default" w:ascii="宋体" w:hAnsi="宋体" w:eastAsia="宋体"/>
          <w:color w:val="auto"/>
          <w:sz w:val="24"/>
          <w:szCs w:val="24"/>
          <w:highlight w:val="none"/>
        </w:rPr>
        <w:t>现文：</w:t>
      </w:r>
      <w:r>
        <w:rPr>
          <w:rFonts w:hint="eastAsia" w:ascii="宋体" w:hAnsi="宋体"/>
          <w:color w:val="auto"/>
          <w:sz w:val="24"/>
          <w:szCs w:val="24"/>
          <w:highlight w:val="none"/>
          <w:lang w:val="en-US" w:eastAsia="zh-CN"/>
        </w:rPr>
        <w:t xml:space="preserve">7.6.2 </w:t>
      </w:r>
      <w:r>
        <w:rPr>
          <w:rFonts w:hint="default" w:ascii="宋体" w:hAnsi="宋体" w:eastAsia="宋体"/>
          <w:color w:val="auto"/>
          <w:sz w:val="24"/>
          <w:szCs w:val="24"/>
          <w:highlight w:val="none"/>
        </w:rPr>
        <w:t>中标人不能按本章第 7.6.1 项要求提交履约保证金的，视为放弃中标，</w:t>
      </w:r>
      <w:r>
        <w:rPr>
          <w:rFonts w:hint="default" w:ascii="宋体" w:hAnsi="宋体" w:eastAsia="宋体"/>
          <w:strike/>
          <w:color w:val="auto"/>
          <w:sz w:val="24"/>
          <w:szCs w:val="24"/>
          <w:highlight w:val="none"/>
        </w:rPr>
        <w:t>其投标保证金不予退还，</w:t>
      </w:r>
      <w:r>
        <w:rPr>
          <w:rFonts w:hint="default" w:ascii="宋体" w:hAnsi="宋体" w:eastAsia="宋体"/>
          <w:strike w:val="0"/>
          <w:color w:val="auto"/>
          <w:sz w:val="24"/>
          <w:szCs w:val="24"/>
          <w:highlight w:val="none"/>
        </w:rPr>
        <w:t>给招标人造成的损失</w:t>
      </w:r>
      <w:r>
        <w:rPr>
          <w:rFonts w:hint="default" w:ascii="宋体" w:hAnsi="宋体" w:eastAsia="宋体"/>
          <w:strike/>
          <w:color w:val="auto"/>
          <w:sz w:val="24"/>
          <w:szCs w:val="24"/>
          <w:highlight w:val="none"/>
        </w:rPr>
        <w:t>超过投标保证金数额</w:t>
      </w:r>
      <w:r>
        <w:rPr>
          <w:rFonts w:hint="default" w:ascii="宋体" w:hAnsi="宋体" w:eastAsia="宋体"/>
          <w:strike w:val="0"/>
          <w:color w:val="auto"/>
          <w:sz w:val="24"/>
          <w:szCs w:val="24"/>
          <w:highlight w:val="none"/>
        </w:rPr>
        <w:t>的</w:t>
      </w:r>
      <w:r>
        <w:rPr>
          <w:rFonts w:hint="default" w:ascii="宋体" w:hAnsi="宋体" w:eastAsia="宋体"/>
          <w:strike/>
          <w:color w:val="auto"/>
          <w:sz w:val="24"/>
          <w:szCs w:val="24"/>
          <w:highlight w:val="none"/>
        </w:rPr>
        <w:t>，</w:t>
      </w:r>
      <w:r>
        <w:rPr>
          <w:rFonts w:hint="default" w:ascii="宋体" w:hAnsi="宋体" w:eastAsia="宋体"/>
          <w:color w:val="auto"/>
          <w:sz w:val="24"/>
          <w:szCs w:val="24"/>
          <w:highlight w:val="none"/>
        </w:rPr>
        <w:t>中标人还应当对</w:t>
      </w:r>
      <w:r>
        <w:rPr>
          <w:rFonts w:hint="eastAsia" w:ascii="宋体" w:hAnsi="宋体" w:eastAsia="宋体"/>
          <w:color w:val="auto"/>
          <w:sz w:val="24"/>
          <w:szCs w:val="24"/>
          <w:highlight w:val="none"/>
          <w:lang w:eastAsia="zh-CN"/>
        </w:rPr>
        <w:t>造成损失</w:t>
      </w:r>
      <w:r>
        <w:rPr>
          <w:rFonts w:hint="default" w:ascii="宋体" w:hAnsi="宋体" w:eastAsia="宋体"/>
          <w:color w:val="auto"/>
          <w:sz w:val="24"/>
          <w:szCs w:val="24"/>
          <w:highlight w:val="none"/>
        </w:rPr>
        <w:t>部分予以赔偿。</w:t>
      </w:r>
    </w:p>
    <w:p w14:paraId="5A101569">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color w:val="auto"/>
          <w:sz w:val="24"/>
          <w:szCs w:val="24"/>
          <w:highlight w:val="none"/>
          <w:lang w:val="en-US" w:eastAsia="zh-CN"/>
        </w:rPr>
        <w:t xml:space="preserve">7.7 </w:t>
      </w:r>
      <w:r>
        <w:rPr>
          <w:rFonts w:hint="default" w:ascii="宋体" w:hAnsi="宋体" w:eastAsia="宋体"/>
          <w:color w:val="auto"/>
          <w:sz w:val="24"/>
          <w:szCs w:val="24"/>
          <w:highlight w:val="none"/>
        </w:rPr>
        <w:t xml:space="preserve">            修改类型：修改</w:t>
      </w:r>
    </w:p>
    <w:p w14:paraId="11957C8D">
      <w:pPr>
        <w:pBdr>
          <w:bottom w:val="none" w:color="auto" w:sz="0" w:space="0"/>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原文：7.7 签订合同</w:t>
      </w:r>
    </w:p>
    <w:p w14:paraId="24AA3697">
      <w:pPr>
        <w:pBdr>
          <w:bottom w:val="none" w:color="auto" w:sz="0" w:space="0"/>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7.7.1 招标人和中标人应当在中标通知书发出之日起30日内，根据招标文件和中标人的投标文件订立书面合同，并通过电子交易系统与中标人在线签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55AE1E83">
      <w:pPr>
        <w:pBdr>
          <w:bottom w:val="none" w:color="auto" w:sz="0" w:space="0"/>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00ED1EE3">
      <w:pPr>
        <w:pBdr>
          <w:bottom w:val="none" w:color="auto" w:sz="0" w:space="0"/>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7.7.3 联合体中标的，联合体各方应当共同与招标人签订合同，就中标项目向招标人承担连带责任。</w:t>
      </w:r>
    </w:p>
    <w:p w14:paraId="4975ED2E">
      <w:pPr>
        <w:pBdr>
          <w:bottom w:val="none" w:color="auto" w:sz="0" w:space="0"/>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现文：7.7 签订合同</w:t>
      </w:r>
    </w:p>
    <w:p w14:paraId="2E6F2E91">
      <w:pPr>
        <w:pBdr>
          <w:bottom w:val="none" w:color="auto" w:sz="0" w:space="0"/>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7.7.1 招标人和中标人应当在中标通知书发出之日起30日内，根据招标文件和中标人的投标文件订立书面合同，并通过电子交易系统与中标人在线签订合同。中标人无正当理由拒签合同，在签订合同时向招标人提出附加条件，或者不按照招标文件要求提交履约保证金的，招标人有权取消其中标资格，</w:t>
      </w:r>
      <w:r>
        <w:rPr>
          <w:rFonts w:hint="default" w:ascii="宋体" w:hAnsi="宋体" w:eastAsia="宋体"/>
          <w:strike/>
          <w:color w:val="auto"/>
          <w:sz w:val="24"/>
          <w:szCs w:val="24"/>
          <w:highlight w:val="none"/>
        </w:rPr>
        <w:t>其投标保证金不予退还；</w:t>
      </w:r>
      <w:r>
        <w:rPr>
          <w:rFonts w:hint="default" w:ascii="宋体" w:hAnsi="宋体" w:eastAsia="宋体"/>
          <w:color w:val="auto"/>
          <w:sz w:val="24"/>
          <w:szCs w:val="24"/>
          <w:highlight w:val="none"/>
        </w:rPr>
        <w:t>给招标人造成</w:t>
      </w:r>
      <w:r>
        <w:rPr>
          <w:rFonts w:hint="default" w:ascii="宋体" w:hAnsi="宋体" w:eastAsia="宋体"/>
          <w:strike/>
          <w:color w:val="auto"/>
          <w:sz w:val="24"/>
          <w:szCs w:val="24"/>
          <w:highlight w:val="none"/>
        </w:rPr>
        <w:t>的</w:t>
      </w:r>
      <w:r>
        <w:rPr>
          <w:rFonts w:hint="default" w:ascii="宋体" w:hAnsi="宋体" w:eastAsia="宋体"/>
          <w:color w:val="auto"/>
          <w:sz w:val="24"/>
          <w:szCs w:val="24"/>
          <w:highlight w:val="none"/>
        </w:rPr>
        <w:t>损失</w:t>
      </w:r>
      <w:r>
        <w:rPr>
          <w:rFonts w:hint="default" w:ascii="宋体" w:hAnsi="宋体" w:eastAsia="宋体"/>
          <w:strike/>
          <w:color w:val="auto"/>
          <w:sz w:val="24"/>
          <w:szCs w:val="24"/>
          <w:highlight w:val="none"/>
        </w:rPr>
        <w:t>超过投标保证金数额</w:t>
      </w:r>
      <w:r>
        <w:rPr>
          <w:rFonts w:hint="default" w:ascii="宋体" w:hAnsi="宋体" w:eastAsia="宋体"/>
          <w:color w:val="auto"/>
          <w:sz w:val="24"/>
          <w:szCs w:val="24"/>
          <w:highlight w:val="none"/>
        </w:rPr>
        <w:t>的，中标人还应当对</w:t>
      </w:r>
      <w:r>
        <w:rPr>
          <w:rFonts w:hint="eastAsia" w:ascii="宋体" w:hAnsi="宋体" w:eastAsia="宋体"/>
          <w:color w:val="auto"/>
          <w:sz w:val="24"/>
          <w:szCs w:val="24"/>
          <w:highlight w:val="none"/>
          <w:lang w:eastAsia="zh-CN"/>
        </w:rPr>
        <w:t>造成损失</w:t>
      </w:r>
      <w:r>
        <w:rPr>
          <w:rFonts w:hint="default" w:ascii="宋体" w:hAnsi="宋体" w:eastAsia="宋体"/>
          <w:color w:val="auto"/>
          <w:sz w:val="24"/>
          <w:szCs w:val="24"/>
          <w:highlight w:val="none"/>
        </w:rPr>
        <w:t>部分予以赔偿。</w:t>
      </w:r>
    </w:p>
    <w:p w14:paraId="308BF80E">
      <w:pPr>
        <w:pBdr>
          <w:bottom w:val="none" w:color="auto" w:sz="0" w:space="0"/>
        </w:pBd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7.7.2 发出中标通知书后，招标人无正当理由拒签合同，或者在签订合同时向中标人提出附加条件的，</w:t>
      </w:r>
      <w:r>
        <w:rPr>
          <w:rFonts w:hint="default" w:ascii="宋体" w:hAnsi="宋体" w:eastAsia="宋体"/>
          <w:strike/>
          <w:color w:val="auto"/>
          <w:sz w:val="24"/>
          <w:szCs w:val="24"/>
          <w:highlight w:val="none"/>
        </w:rPr>
        <w:t>招标人向中标人退还投标保证金；</w:t>
      </w:r>
      <w:r>
        <w:rPr>
          <w:rFonts w:hint="default" w:ascii="宋体" w:hAnsi="宋体" w:eastAsia="宋体"/>
          <w:color w:val="auto"/>
          <w:sz w:val="24"/>
          <w:szCs w:val="24"/>
          <w:highlight w:val="none"/>
        </w:rPr>
        <w:t>给中标人造成损失的，还应当赔偿损失。</w:t>
      </w:r>
    </w:p>
    <w:p w14:paraId="3AC4DC1C">
      <w:pPr>
        <w:pBdr>
          <w:bottom w:val="none" w:color="auto" w:sz="0" w:space="0"/>
        </w:pBdr>
        <w:spacing w:line="480" w:lineRule="auto"/>
        <w:ind w:firstLine="537" w:firstLineChars="224"/>
        <w:rPr>
          <w:rFonts w:hint="default" w:ascii="宋体" w:hAnsi="宋体" w:eastAsia="宋体"/>
          <w:strike/>
          <w:color w:val="auto"/>
          <w:sz w:val="24"/>
          <w:szCs w:val="24"/>
          <w:highlight w:val="none"/>
        </w:rPr>
      </w:pPr>
      <w:r>
        <w:rPr>
          <w:rFonts w:hint="default" w:ascii="宋体" w:hAnsi="宋体" w:eastAsia="宋体"/>
          <w:strike/>
          <w:color w:val="auto"/>
          <w:sz w:val="24"/>
          <w:szCs w:val="24"/>
          <w:highlight w:val="none"/>
        </w:rPr>
        <w:t>7.7.3 联合体中标的，联合体各方应当共同与招标人签订合同，就中标项目向招标人承担连带责任。</w:t>
      </w:r>
    </w:p>
    <w:p w14:paraId="5E971F6C">
      <w:pPr>
        <w:pBdr>
          <w:bottom w:val="none" w:color="auto" w:sz="0" w:space="0"/>
        </w:pBdr>
        <w:spacing w:line="480" w:lineRule="auto"/>
        <w:ind w:firstLine="537" w:firstLineChars="224"/>
        <w:rPr>
          <w:rFonts w:hint="default" w:ascii="宋体" w:hAnsi="宋体" w:eastAsia="宋体"/>
          <w:color w:val="auto"/>
          <w:sz w:val="24"/>
          <w:szCs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126365</wp:posOffset>
                </wp:positionV>
                <wp:extent cx="5796280" cy="13335"/>
                <wp:effectExtent l="0" t="4445" r="13970" b="10795"/>
                <wp:wrapNone/>
                <wp:docPr id="21" name="直接连接符 21"/>
                <wp:cNvGraphicFramePr/>
                <a:graphic xmlns:a="http://schemas.openxmlformats.org/drawingml/2006/main">
                  <a:graphicData uri="http://schemas.microsoft.com/office/word/2010/wordprocessingShape">
                    <wps:wsp>
                      <wps:cNvCnPr/>
                      <wps:spPr>
                        <a:xfrm>
                          <a:off x="897890" y="8141335"/>
                          <a:ext cx="5796280" cy="13335"/>
                        </a:xfrm>
                        <a:prstGeom prst="line">
                          <a:avLst/>
                        </a:prstGeom>
                        <a:ln w="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15pt;margin-top:9.95pt;height:1.05pt;width:456.4pt;z-index:251663360;mso-width-relative:page;mso-height-relative:page;" filled="f" stroked="t" coordsize="21600,21600" o:gfxdata="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y142/WAAAA&#10;BwEAAA8AAAAAAAAAAQAgAAAAIgAAAGRycy9kb3ducmV2LnhtbFBLAQIUABQAAAAIAIdO4kDVtAT4&#10;5gEAAKgDAAAOAAAAAAAAAAEAIAAAACUBAABkcnMvZTJvRG9jLnhtbFBLBQYAAAAABgAGAFkBAAB9&#10;BQAAAAA=&#10;">
                <v:fill on="f" focussize="0,0"/>
                <v:stroke weight="0pt" color="#000000 [3213]" joinstyle="round"/>
                <v:imagedata o:title=""/>
                <o:lock v:ext="edit" aspectratio="f"/>
              </v:line>
            </w:pict>
          </mc:Fallback>
        </mc:AlternateContent>
      </w:r>
    </w:p>
    <w:p w14:paraId="5D49A3DE">
      <w:pPr>
        <w:spacing w:line="360" w:lineRule="auto"/>
        <w:rPr>
          <w:rFonts w:hint="default" w:ascii="宋体" w:hAnsi="宋体" w:eastAsia="宋体"/>
          <w:color w:val="auto"/>
          <w:sz w:val="24"/>
          <w:szCs w:val="24"/>
          <w:highlight w:val="none"/>
        </w:rPr>
      </w:pPr>
      <w:r>
        <w:rPr>
          <w:rFonts w:hint="default" w:ascii="宋体" w:hAnsi="宋体" w:eastAsia="宋体"/>
          <w:color w:val="auto"/>
          <w:sz w:val="24"/>
          <w:szCs w:val="24"/>
          <w:highlight w:val="none"/>
        </w:rPr>
        <w:t>注：以上修改，仅限于本范本中有可供选择条款的情形。</w:t>
      </w:r>
    </w:p>
    <w:p w14:paraId="79728564">
      <w:pPr>
        <w:spacing w:line="360" w:lineRule="auto"/>
        <w:rPr>
          <w:rFonts w:hint="default" w:ascii="宋体" w:hAnsi="宋体" w:eastAsia="宋体"/>
          <w:color w:val="auto"/>
          <w:sz w:val="24"/>
          <w:szCs w:val="24"/>
          <w:highlight w:val="none"/>
        </w:rPr>
      </w:pPr>
      <w:r>
        <w:rPr>
          <w:rFonts w:hint="default" w:ascii="宋体" w:hAnsi="宋体" w:eastAsia="宋体"/>
          <w:color w:val="auto"/>
          <w:sz w:val="24"/>
          <w:szCs w:val="24"/>
          <w:highlight w:val="none"/>
        </w:rPr>
        <w:t>（以下无正文）</w:t>
      </w:r>
    </w:p>
    <w:p w14:paraId="1C17B5EF">
      <w:pPr>
        <w:pStyle w:val="4"/>
        <w:outlineLvl w:val="9"/>
        <w:rPr>
          <w:rFonts w:hint="default" w:cs="宋体"/>
          <w:color w:val="auto"/>
          <w:sz w:val="24"/>
          <w:szCs w:val="24"/>
          <w:highlight w:val="none"/>
        </w:rPr>
        <w:sectPr>
          <w:pgSz w:w="11905" w:h="16838"/>
          <w:pgMar w:top="1417" w:right="1417" w:bottom="1417" w:left="1417" w:header="992" w:footer="992" w:gutter="0"/>
          <w:lnNumType w:countBy="0" w:distance="360"/>
          <w:cols w:space="720" w:num="1"/>
        </w:sectPr>
      </w:pPr>
    </w:p>
    <w:p w14:paraId="1A044054">
      <w:pPr>
        <w:pStyle w:val="4"/>
        <w:outlineLvl w:val="1"/>
        <w:rPr>
          <w:rFonts w:hint="default" w:cs="宋体"/>
          <w:b w:val="0"/>
          <w:color w:val="auto"/>
          <w:sz w:val="24"/>
          <w:szCs w:val="24"/>
          <w:highlight w:val="none"/>
        </w:rPr>
      </w:pPr>
      <w:bookmarkStart w:id="18" w:name="_Toc28936"/>
      <w:r>
        <w:rPr>
          <w:rFonts w:hint="default" w:cs="宋体"/>
          <w:color w:val="auto"/>
          <w:sz w:val="24"/>
          <w:szCs w:val="24"/>
          <w:highlight w:val="none"/>
        </w:rPr>
        <w:t>1.总则</w:t>
      </w:r>
      <w:bookmarkEnd w:id="18"/>
    </w:p>
    <w:p w14:paraId="1CA4C31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1.1 招标项目概况</w:t>
      </w:r>
    </w:p>
    <w:p w14:paraId="7832AC7E">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1.1.1 根据《中华人民共和国招标投标法》、《中华人民共和国招标投标法实施条例》等有关法律、法规和规章的规定，本招标项目已具备招标条件，现对监理进行招标。</w:t>
      </w:r>
    </w:p>
    <w:p w14:paraId="10042363">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1.1.2 招标人：见投标人须知前附表。</w:t>
      </w:r>
    </w:p>
    <w:p w14:paraId="0412A299">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1.1.3 招标代理机构：见投标人须知前附表。</w:t>
      </w:r>
    </w:p>
    <w:p w14:paraId="052DB747">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1.1.4 招标项目名称：见投标人须知前附表。</w:t>
      </w:r>
    </w:p>
    <w:p w14:paraId="51D14E1B">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1.1.5 项目建设地点：见投标人须知前附表。</w:t>
      </w:r>
    </w:p>
    <w:p w14:paraId="31F55081">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1.1.6 项目建设规模：见投标人须知前附表。</w:t>
      </w:r>
    </w:p>
    <w:p w14:paraId="6334820D">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1.1.7 工程项目施工预计开工日期和建设周期：见投标人须知前附表。</w:t>
      </w:r>
    </w:p>
    <w:p w14:paraId="46ACF339">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1.1.8 建筑安装工程费/工程概算：见投标人须知前附表。</w:t>
      </w:r>
    </w:p>
    <w:p w14:paraId="13FA707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1.2 招标项目的资金来源和落实情况</w:t>
      </w:r>
    </w:p>
    <w:p w14:paraId="0B89C36C">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1.2.1 资金来源及比例：见投标人须知前附表。</w:t>
      </w:r>
    </w:p>
    <w:p w14:paraId="14E2BC6C">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1.2.2 资金落实情况：见投标人须知前附表。</w:t>
      </w:r>
    </w:p>
    <w:p w14:paraId="2873628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1.3 招标范围、监理服务期限和质量标准</w:t>
      </w:r>
    </w:p>
    <w:p w14:paraId="082B8EF9">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1.3.1 招标范围：见投标人须知前附表。</w:t>
      </w:r>
    </w:p>
    <w:p w14:paraId="77E5A96C">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1.3.2 监理服务期限：见投标人须知前附表。</w:t>
      </w:r>
    </w:p>
    <w:p w14:paraId="269DC37C">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1.3.3 质量标准：见投标人须知前附表。</w:t>
      </w:r>
    </w:p>
    <w:p w14:paraId="1294183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1.4 投标人资格要求</w:t>
      </w:r>
    </w:p>
    <w:p w14:paraId="24F5CEC0">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1.4.1 投标人应具备承担本招标项目资质条件、能力和信誉：</w:t>
      </w:r>
    </w:p>
    <w:p w14:paraId="7CBCD321">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（1）资质要求：见投标人须知前附表；</w:t>
      </w:r>
    </w:p>
    <w:p w14:paraId="1B889BE6">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（2）财务要求：见投标人须知前附表；</w:t>
      </w:r>
    </w:p>
    <w:p w14:paraId="1338C2FF">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（3）业绩要求：见投标人须知前附表；</w:t>
      </w:r>
    </w:p>
    <w:p w14:paraId="4B14C3D0">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（4）信誉要求：见投标人须知前附表；</w:t>
      </w:r>
    </w:p>
    <w:p w14:paraId="1A12315B">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（5）总监理工程师的资格要求：应当具备工程注册监理工程师执业资格，具体要求见投标人须知前附表；</w:t>
      </w:r>
    </w:p>
    <w:p w14:paraId="5B72C00C">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（6）其他主要人员要求：见投标人须知前附表。</w:t>
      </w:r>
    </w:p>
    <w:p w14:paraId="35A46193">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（7）试验检测仪器设备要求：见投标人须知前附表。</w:t>
      </w:r>
    </w:p>
    <w:p w14:paraId="0CB34D61">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（8）其他要求：见投标人须知前附表。需要提交的相关证明材料见本章第 3.5 款的规定。</w:t>
      </w:r>
    </w:p>
    <w:p w14:paraId="7A49B9B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1.4.2 投标人须知前附表规定接受联合体投标的，联合体除应符合本章第 1.4.1 项和投标人须知前附表的要求外，还应遵守以下规定：</w:t>
      </w:r>
    </w:p>
    <w:p w14:paraId="098BA1A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（1）联合体各方应按招标文件提供的格式签订联合体协议书，明确联合体</w:t>
      </w:r>
      <w:r>
        <w:rPr>
          <w:rFonts w:hint="default"/>
          <w:strike/>
          <w:color w:val="auto"/>
          <w:spacing w:val="-2"/>
          <w:sz w:val="24"/>
          <w:szCs w:val="24"/>
          <w:highlight w:val="none"/>
          <w:lang w:eastAsia="zh-CN"/>
        </w:rPr>
        <w:t>主办方</w:t>
      </w:r>
      <w:r>
        <w:rPr>
          <w:rFonts w:hint="default" w:cs="Times New Roman"/>
          <w:strike/>
          <w:color w:val="auto"/>
          <w:sz w:val="24"/>
          <w:szCs w:val="24"/>
          <w:highlight w:val="none"/>
        </w:rPr>
        <w:t>和各方权利义务，并承诺就中标项目向招标人承担连带责任；</w:t>
      </w:r>
    </w:p>
    <w:p w14:paraId="23C50FD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（2）由同一专业的单位组成的联合体，按照资质等级较低的单位确定资质等级；</w:t>
      </w:r>
    </w:p>
    <w:p w14:paraId="2545F66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（3）联合体各方不得再以自己名义单独或参加其他联合体在本招标项目中投标，否则各相关投标均无效。</w:t>
      </w:r>
    </w:p>
    <w:p w14:paraId="3AEC20A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1.4.3 投标人不得存在下列情形之一：</w:t>
      </w:r>
    </w:p>
    <w:p w14:paraId="63978DC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（1）为招标人不具有独立法人资格的附属机构（单位）；</w:t>
      </w:r>
    </w:p>
    <w:p w14:paraId="5506217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（2）与招标人存在利害关系且可能影响招标公正性；</w:t>
      </w:r>
    </w:p>
    <w:p w14:paraId="525B7D6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（3）与本招标项目的其他投标人为同一个单位负责人；</w:t>
      </w:r>
    </w:p>
    <w:p w14:paraId="50FEB9F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（4）与本招标项目的其他投标人存在控股、管理关系；</w:t>
      </w:r>
    </w:p>
    <w:p w14:paraId="57D52E4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（5）为本招标项目的代建人；</w:t>
      </w:r>
    </w:p>
    <w:p w14:paraId="7367EC2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（6）为本招标项目的招标代理机构；</w:t>
      </w:r>
    </w:p>
    <w:p w14:paraId="6B0E698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（7）与本招标项目的代建人或招标代理机构同为一个法定代表人；</w:t>
      </w:r>
    </w:p>
    <w:p w14:paraId="250D915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（8）与本招标项目的代建人或招标代理机构存在控股或参股关系；</w:t>
      </w:r>
    </w:p>
    <w:p w14:paraId="34398F2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（9）与本招标项目的检测机构、建设</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施工</w:t>
      </w:r>
      <w:r>
        <w:rPr>
          <w:rFonts w:hint="default" w:cs="Times New Roman"/>
          <w:color w:val="auto"/>
          <w:sz w:val="24"/>
          <w:szCs w:val="24"/>
          <w:highlight w:val="none"/>
        </w:rPr>
        <w:t>单位以及建筑材料、建筑构配件和设备供应商有隶属关系或者其他利害关系有隶属关系或者其他利害关系；</w:t>
      </w:r>
    </w:p>
    <w:p w14:paraId="4685CB4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（10）被依法暂停或者取消投标资格；</w:t>
      </w:r>
    </w:p>
    <w:p w14:paraId="3D57F93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47CD6B9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0B4CAB4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（13）进入清算程序，或被宣布破产，或其他丧失履约能力的情形；</w:t>
      </w:r>
    </w:p>
    <w:p w14:paraId="0A0AE1B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F08BD6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w:t>
      </w:r>
      <w:r>
        <w:rPr>
          <w:rFonts w:hint="eastAsia" w:cs="Times New Roman"/>
          <w:color w:val="auto"/>
          <w:sz w:val="24"/>
          <w:szCs w:val="24"/>
          <w:highlight w:val="none"/>
          <w:lang w:val="en-US" w:eastAsia="zh-CN"/>
        </w:rPr>
        <w:t>5</w:t>
      </w:r>
      <w:r>
        <w:rPr>
          <w:rFonts w:hint="default" w:cs="Times New Roman"/>
          <w:color w:val="auto"/>
          <w:sz w:val="24"/>
          <w:szCs w:val="24"/>
          <w:highlight w:val="none"/>
        </w:rPr>
        <w:t>）法律法规规定的其他情形。</w:t>
      </w:r>
    </w:p>
    <w:p w14:paraId="27AB422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240" w:firstLineChars="100"/>
        <w:jc w:val="both"/>
        <w:rPr>
          <w:rFonts w:hint="default"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1.4.4 投标人未被列入“在一定期限内依法取消参加依法必须进行招标的项目的投标资格”，具体名单以递交投标文件截止时间“信用广州”公布的“黑名单”为准。</w:t>
      </w:r>
    </w:p>
    <w:p w14:paraId="34399F4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1.5 费用承担</w:t>
      </w:r>
    </w:p>
    <w:p w14:paraId="6095785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投标人准备和参加投标活动发生的费用自理。</w:t>
      </w:r>
    </w:p>
    <w:p w14:paraId="04FD204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1.6 保密</w:t>
      </w:r>
    </w:p>
    <w:p w14:paraId="20C36E0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参与招标投标活动的各方应对招标文件和投标文件中的商业和技术等秘密保密，否则应承 担相应的法律责任。</w:t>
      </w:r>
    </w:p>
    <w:p w14:paraId="25ABA26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1.7 语言文字</w:t>
      </w:r>
    </w:p>
    <w:p w14:paraId="1733323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招标投标文件使用的语言文字为中文。专用术语使用外文的，应附有中文注释。</w:t>
      </w:r>
    </w:p>
    <w:p w14:paraId="348CA76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1.8 计量单位</w:t>
      </w:r>
    </w:p>
    <w:p w14:paraId="6F0216D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所有计量均采用中华人民共和国法定计量单位。</w:t>
      </w:r>
    </w:p>
    <w:p w14:paraId="768A5A6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1.9 踏勘现场</w:t>
      </w:r>
    </w:p>
    <w:p w14:paraId="199155B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14:paraId="0CB3C55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1.9.2 投标人踏勘现场发生的费用自理。</w:t>
      </w:r>
    </w:p>
    <w:p w14:paraId="40A1A7E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1.9.3 除招标人的原因外，投标人自行负责在踏勘现场中所发生的人员伤亡和财产损失。</w:t>
      </w:r>
    </w:p>
    <w:p w14:paraId="0D5D64C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1.9.4 招标人在踏勘现场中介绍的工程场地和相关的周边环境情况，供投标人在编制投标文件时参考，招标人不对投标人据此作出的判断和决策负责。</w:t>
      </w:r>
    </w:p>
    <w:p w14:paraId="760D0A6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1.10 投标预备会</w:t>
      </w:r>
    </w:p>
    <w:p w14:paraId="17F7BF6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default" w:cs="Times New Roman"/>
          <w:color w:val="auto"/>
          <w:sz w:val="24"/>
          <w:szCs w:val="24"/>
          <w:highlight w:val="none"/>
        </w:rPr>
      </w:pPr>
      <w:r>
        <w:rPr>
          <w:rFonts w:hint="default" w:cs="Times New Roman"/>
          <w:color w:val="auto"/>
          <w:sz w:val="24"/>
          <w:szCs w:val="24"/>
          <w:highlight w:val="none"/>
        </w:rPr>
        <w:t>1.10.1 投标人须知前附表规定召开投标预备会的，招标人按投标人须知前附表规定的时间和地点召开投标预备会，澄清投标人提出的问题。</w:t>
      </w:r>
    </w:p>
    <w:p w14:paraId="2D3CF19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default" w:cs="Times New Roman"/>
          <w:color w:val="auto"/>
          <w:sz w:val="24"/>
          <w:szCs w:val="24"/>
          <w:highlight w:val="none"/>
        </w:rPr>
      </w:pPr>
      <w:r>
        <w:rPr>
          <w:rFonts w:hint="default" w:cs="Times New Roman"/>
          <w:color w:val="auto"/>
          <w:sz w:val="24"/>
          <w:szCs w:val="24"/>
          <w:highlight w:val="none"/>
        </w:rPr>
        <w:t>1.10.2 投标人应按投标人须知前附表规定的时间和形式将提出的问题送达招标人</w:t>
      </w:r>
      <w:r>
        <w:rPr>
          <w:rFonts w:hint="default" w:cs="Times New Roman"/>
          <w:color w:val="auto"/>
          <w:sz w:val="24"/>
          <w:szCs w:val="24"/>
          <w:highlight w:val="none"/>
          <w:lang w:eastAsia="zh-CN"/>
        </w:rPr>
        <w:t>，</w:t>
      </w:r>
      <w:r>
        <w:rPr>
          <w:rFonts w:hint="default" w:cs="Times New Roman"/>
          <w:color w:val="auto"/>
          <w:sz w:val="24"/>
          <w:szCs w:val="24"/>
          <w:highlight w:val="none"/>
        </w:rPr>
        <w:t>以便招标人在会议期间澄清。</w:t>
      </w:r>
    </w:p>
    <w:p w14:paraId="678D26F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default" w:cs="Times New Roman"/>
          <w:color w:val="auto"/>
          <w:sz w:val="24"/>
          <w:szCs w:val="24"/>
          <w:highlight w:val="none"/>
        </w:rPr>
      </w:pPr>
      <w:r>
        <w:rPr>
          <w:rFonts w:hint="default" w:cs="Times New Roman"/>
          <w:color w:val="auto"/>
          <w:sz w:val="24"/>
          <w:szCs w:val="24"/>
          <w:highlight w:val="none"/>
        </w:rPr>
        <w:t>1.10.3 投标预备会后，招标人将对投标人所提问题的澄清，以投标人须知前附表规定的形式通知所有</w:t>
      </w:r>
      <w:r>
        <w:rPr>
          <w:rFonts w:hint="default" w:cs="Times New Roman"/>
          <w:color w:val="auto"/>
          <w:sz w:val="24"/>
          <w:szCs w:val="24"/>
          <w:highlight w:val="none"/>
          <w:lang w:eastAsia="zh-CN"/>
        </w:rPr>
        <w:t>潜在</w:t>
      </w:r>
      <w:r>
        <w:rPr>
          <w:rFonts w:hint="default" w:cs="Times New Roman"/>
          <w:color w:val="auto"/>
          <w:sz w:val="24"/>
          <w:szCs w:val="24"/>
          <w:highlight w:val="none"/>
        </w:rPr>
        <w:t>投标人。该澄清内容为招标文件的组成部分。</w:t>
      </w:r>
    </w:p>
    <w:p w14:paraId="6AC8DA1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1.11 分包</w:t>
      </w:r>
    </w:p>
    <w:p w14:paraId="1C5614F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本项目严禁分包。</w:t>
      </w:r>
    </w:p>
    <w:p w14:paraId="4F2EF4B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1.12 响应和偏差</w:t>
      </w:r>
    </w:p>
    <w:p w14:paraId="438BBCD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1.12.1 投标文件应当对招标文件的实质性要求和条件作出满足性或更有利于招标人的响应，否则，投标人的投标将被否决。实质性要求和条件见投标人须知前附表。</w:t>
      </w:r>
    </w:p>
    <w:p w14:paraId="4128320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1.12.2 投标人应根据招标文件的要求提供投标监理大纲等内容以对招标文件作出响应。</w:t>
      </w:r>
    </w:p>
    <w:p w14:paraId="358809F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1.12.3 投标人须知前附表允许投标文件偏离招标文件某些要求的，偏差应当符合招标文件规定的偏差范围和幅度。</w:t>
      </w:r>
    </w:p>
    <w:p w14:paraId="77392B63">
      <w:pPr>
        <w:pStyle w:val="4"/>
        <w:outlineLvl w:val="1"/>
        <w:rPr>
          <w:rFonts w:hint="default" w:cs="宋体"/>
          <w:color w:val="auto"/>
          <w:sz w:val="24"/>
          <w:szCs w:val="24"/>
          <w:highlight w:val="none"/>
        </w:rPr>
      </w:pPr>
      <w:bookmarkStart w:id="19" w:name="_Toc8823"/>
      <w:r>
        <w:rPr>
          <w:rFonts w:hint="default" w:cs="宋体"/>
          <w:color w:val="auto"/>
          <w:sz w:val="24"/>
          <w:szCs w:val="24"/>
          <w:highlight w:val="none"/>
        </w:rPr>
        <w:t>2.招标文件</w:t>
      </w:r>
      <w:bookmarkEnd w:id="19"/>
    </w:p>
    <w:p w14:paraId="0471A94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2.1 招标文件的组成</w:t>
      </w:r>
    </w:p>
    <w:p w14:paraId="5659E9C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本招标文件包括：</w:t>
      </w:r>
    </w:p>
    <w:p w14:paraId="76AA4A2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（1）招标公告；</w:t>
      </w:r>
    </w:p>
    <w:p w14:paraId="790C780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（2）投标人须知；</w:t>
      </w:r>
    </w:p>
    <w:p w14:paraId="148A6B7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（3）评标办法；</w:t>
      </w:r>
    </w:p>
    <w:p w14:paraId="3FF6B23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（4）合同条款及格式；</w:t>
      </w:r>
    </w:p>
    <w:p w14:paraId="357DE58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（5）委托人要求；</w:t>
      </w:r>
    </w:p>
    <w:p w14:paraId="0DE0D30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（6）投标文件格式；</w:t>
      </w:r>
    </w:p>
    <w:p w14:paraId="2A414AA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（7）投标人须知前附表规定的其他资料。</w:t>
      </w:r>
    </w:p>
    <w:p w14:paraId="4BDFAF6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根据本章第1.10款、第2.2款和第2.3款对招标文件所作的澄清、修改，构成招标文件的组成部分。</w:t>
      </w:r>
    </w:p>
    <w:p w14:paraId="42BA83E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2.2  招标文件的</w:t>
      </w:r>
      <w:r>
        <w:rPr>
          <w:rFonts w:hint="default" w:ascii="宋体" w:hAnsi="宋体" w:eastAsia="宋体" w:cs="宋体"/>
          <w:color w:val="auto"/>
          <w:highlight w:val="none"/>
          <w:lang w:eastAsia="zh-CN"/>
        </w:rPr>
        <w:t>答疑</w:t>
      </w:r>
    </w:p>
    <w:p w14:paraId="035DF34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2.2.1  投标人应仔细阅读和检查招标文件的全部内容。如有疑问，应按投标人须知前附表规定的时间和形式将提出的问题送达招标人，要求招标人对招标文件予以澄清。</w:t>
      </w:r>
    </w:p>
    <w:p w14:paraId="2CD19C1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2.2.2</w:t>
      </w:r>
      <w:r>
        <w:rPr>
          <w:rFonts w:hint="eastAsia" w:cs="Times New Roman"/>
          <w:color w:val="auto"/>
          <w:sz w:val="24"/>
          <w:szCs w:val="24"/>
          <w:highlight w:val="none"/>
          <w:lang w:val="en-US" w:eastAsia="zh-CN"/>
        </w:rPr>
        <w:t xml:space="preserve">  </w:t>
      </w:r>
      <w:r>
        <w:rPr>
          <w:rFonts w:hint="default" w:cs="Times New Roman"/>
          <w:color w:val="auto"/>
          <w:sz w:val="24"/>
          <w:szCs w:val="24"/>
          <w:highlight w:val="none"/>
        </w:rPr>
        <w:t>招标答疑采用网上答疑方式进行。投标人若对招标文件有疑问的，</w:t>
      </w:r>
      <w:r>
        <w:rPr>
          <w:rFonts w:hint="default" w:cs="Times New Roman"/>
          <w:color w:val="auto"/>
          <w:sz w:val="24"/>
          <w:szCs w:val="24"/>
          <w:highlight w:val="none"/>
          <w:lang w:eastAsia="zh-CN"/>
        </w:rPr>
        <w:t>通过</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网站提交，</w:t>
      </w:r>
      <w:r>
        <w:rPr>
          <w:rFonts w:hint="default" w:cs="Times New Roman"/>
          <w:color w:val="auto"/>
          <w:sz w:val="24"/>
          <w:szCs w:val="24"/>
          <w:highlight w:val="none"/>
        </w:rPr>
        <w:t>应按照</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网站关于全流程电子化项目的相关指南进行操作</w:t>
      </w:r>
      <w:r>
        <w:rPr>
          <w:rFonts w:hint="default" w:cs="Times New Roman"/>
          <w:color w:val="auto"/>
          <w:sz w:val="24"/>
          <w:szCs w:val="24"/>
          <w:highlight w:val="none"/>
        </w:rPr>
        <w:t>。提</w:t>
      </w:r>
      <w:r>
        <w:rPr>
          <w:rFonts w:hint="default" w:cs="Times New Roman"/>
          <w:color w:val="auto"/>
          <w:sz w:val="24"/>
          <w:szCs w:val="24"/>
          <w:highlight w:val="none"/>
          <w:lang w:eastAsia="zh-CN"/>
        </w:rPr>
        <w:t>问</w:t>
      </w:r>
      <w:r>
        <w:rPr>
          <w:rFonts w:hint="default" w:cs="Times New Roman"/>
          <w:color w:val="auto"/>
          <w:sz w:val="24"/>
          <w:szCs w:val="24"/>
          <w:highlight w:val="none"/>
        </w:rPr>
        <w:t>一律不得署名。</w:t>
      </w:r>
    </w:p>
    <w:p w14:paraId="03529F3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2.2.3  招标答疑会会议纪要将在提交投标文件截止时间 15 日前在</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“项目答疑纪要”专区公开发布。答疑纪要一经在</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发布，视作已发放给所有投标人</w:t>
      </w:r>
      <w:r>
        <w:rPr>
          <w:rFonts w:hint="default" w:cs="Times New Roman"/>
          <w:color w:val="auto"/>
          <w:sz w:val="24"/>
          <w:szCs w:val="24"/>
          <w:highlight w:val="none"/>
          <w:lang w:eastAsia="zh-CN"/>
        </w:rPr>
        <w:t>。</w:t>
      </w:r>
    </w:p>
    <w:p w14:paraId="3DD029D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lang w:val="en-US" w:eastAsia="zh-CN"/>
        </w:rPr>
        <w:t xml:space="preserve">2.2.4  </w:t>
      </w:r>
      <w:r>
        <w:rPr>
          <w:rFonts w:hint="default" w:cs="Times New Roman"/>
          <w:color w:val="auto"/>
          <w:sz w:val="24"/>
          <w:szCs w:val="24"/>
          <w:highlight w:val="none"/>
        </w:rPr>
        <w:t>招标答疑</w:t>
      </w:r>
      <w:r>
        <w:rPr>
          <w:rFonts w:hint="default" w:cs="Times New Roman"/>
          <w:color w:val="auto"/>
          <w:sz w:val="24"/>
          <w:szCs w:val="24"/>
          <w:highlight w:val="none"/>
          <w:lang w:eastAsia="zh-CN"/>
        </w:rPr>
        <w:t>会会议</w:t>
      </w:r>
      <w:r>
        <w:rPr>
          <w:rFonts w:hint="default" w:cs="Times New Roman"/>
          <w:color w:val="auto"/>
          <w:sz w:val="24"/>
          <w:szCs w:val="24"/>
          <w:highlight w:val="none"/>
        </w:rPr>
        <w:t>纪要</w:t>
      </w:r>
      <w:r>
        <w:rPr>
          <w:rFonts w:hint="default" w:cs="Times New Roman"/>
          <w:color w:val="auto"/>
          <w:sz w:val="24"/>
          <w:szCs w:val="24"/>
          <w:highlight w:val="none"/>
          <w:lang w:eastAsia="zh-CN"/>
        </w:rPr>
        <w:t>是</w:t>
      </w:r>
      <w:r>
        <w:rPr>
          <w:rFonts w:hint="default" w:cs="Times New Roman"/>
          <w:color w:val="auto"/>
          <w:sz w:val="24"/>
          <w:szCs w:val="24"/>
          <w:highlight w:val="none"/>
        </w:rPr>
        <w:t>招标文件的</w:t>
      </w:r>
      <w:r>
        <w:rPr>
          <w:rFonts w:hint="default" w:cs="Times New Roman"/>
          <w:color w:val="auto"/>
          <w:sz w:val="24"/>
          <w:szCs w:val="24"/>
          <w:highlight w:val="none"/>
          <w:lang w:eastAsia="zh-CN"/>
        </w:rPr>
        <w:t>组成</w:t>
      </w:r>
      <w:r>
        <w:rPr>
          <w:rFonts w:hint="default" w:cs="Times New Roman"/>
          <w:color w:val="auto"/>
          <w:sz w:val="24"/>
          <w:szCs w:val="24"/>
          <w:highlight w:val="none"/>
        </w:rPr>
        <w:t>部分</w:t>
      </w:r>
      <w:r>
        <w:rPr>
          <w:rFonts w:hint="default" w:cs="Times New Roman"/>
          <w:color w:val="auto"/>
          <w:sz w:val="24"/>
          <w:szCs w:val="24"/>
          <w:highlight w:val="none"/>
          <w:lang w:eastAsia="zh-CN"/>
        </w:rPr>
        <w:t>，对投标人起约束作用</w:t>
      </w:r>
      <w:r>
        <w:rPr>
          <w:rFonts w:hint="default" w:cs="Times New Roman"/>
          <w:color w:val="auto"/>
          <w:sz w:val="24"/>
          <w:szCs w:val="24"/>
          <w:highlight w:val="none"/>
        </w:rPr>
        <w:t>。</w:t>
      </w:r>
    </w:p>
    <w:p w14:paraId="5D52F3D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2.2.</w:t>
      </w:r>
      <w:r>
        <w:rPr>
          <w:rFonts w:hint="default" w:cs="Times New Roman"/>
          <w:color w:val="auto"/>
          <w:sz w:val="24"/>
          <w:szCs w:val="24"/>
          <w:highlight w:val="none"/>
          <w:lang w:val="en-US" w:eastAsia="zh-CN"/>
        </w:rPr>
        <w:t>5</w:t>
      </w:r>
      <w:r>
        <w:rPr>
          <w:rFonts w:hint="default" w:cs="Times New Roman"/>
          <w:color w:val="auto"/>
          <w:sz w:val="24"/>
          <w:szCs w:val="24"/>
          <w:highlight w:val="none"/>
        </w:rPr>
        <w:t xml:space="preserve">  若招标答疑</w:t>
      </w:r>
      <w:r>
        <w:rPr>
          <w:rFonts w:hint="default" w:cs="Times New Roman"/>
          <w:color w:val="auto"/>
          <w:sz w:val="24"/>
          <w:szCs w:val="24"/>
          <w:highlight w:val="none"/>
          <w:lang w:eastAsia="zh-CN"/>
        </w:rPr>
        <w:t>会会议</w:t>
      </w:r>
      <w:r>
        <w:rPr>
          <w:rFonts w:hint="default" w:cs="Times New Roman"/>
          <w:color w:val="auto"/>
          <w:sz w:val="24"/>
          <w:szCs w:val="24"/>
          <w:highlight w:val="none"/>
        </w:rPr>
        <w:t>纪要与招标文件有矛盾时，以</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最后发布的答疑纪要为准</w:t>
      </w:r>
      <w:r>
        <w:rPr>
          <w:rFonts w:hint="default" w:cs="Times New Roman"/>
          <w:color w:val="auto"/>
          <w:sz w:val="24"/>
          <w:szCs w:val="24"/>
          <w:highlight w:val="none"/>
          <w:lang w:eastAsia="zh-CN"/>
        </w:rPr>
        <w:t>。</w:t>
      </w:r>
    </w:p>
    <w:p w14:paraId="4EF2EF5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color w:val="auto"/>
          <w:highlight w:val="none"/>
        </w:rPr>
      </w:pPr>
      <w:r>
        <w:rPr>
          <w:rFonts w:hint="default" w:ascii="宋体" w:hAnsi="宋体" w:eastAsia="宋体" w:cs="宋体"/>
          <w:color w:val="auto"/>
          <w:highlight w:val="none"/>
        </w:rPr>
        <w:t>2.3  招标文件的</w:t>
      </w:r>
      <w:r>
        <w:rPr>
          <w:rFonts w:hint="default" w:ascii="宋体" w:hAnsi="宋体" w:eastAsia="宋体" w:cs="宋体"/>
          <w:color w:val="auto"/>
          <w:highlight w:val="none"/>
          <w:lang w:eastAsia="zh-CN"/>
        </w:rPr>
        <w:t>澄清与</w:t>
      </w:r>
      <w:r>
        <w:rPr>
          <w:rFonts w:hint="default" w:ascii="宋体" w:hAnsi="宋体" w:eastAsia="宋体" w:cs="宋体"/>
          <w:color w:val="auto"/>
          <w:highlight w:val="none"/>
        </w:rPr>
        <w:t>修改</w:t>
      </w:r>
    </w:p>
    <w:p w14:paraId="28A6A13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p>
    <w:p w14:paraId="24609C7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eastAsia="zh-CN"/>
        </w:rPr>
        <w:t xml:space="preserve">2.3.1 </w:t>
      </w:r>
      <w:r>
        <w:rPr>
          <w:rFonts w:hint="default" w:cs="Times New Roman"/>
          <w:color w:val="auto"/>
          <w:sz w:val="24"/>
          <w:szCs w:val="24"/>
          <w:highlight w:val="none"/>
          <w:lang w:val="en-US" w:eastAsia="zh-CN"/>
        </w:rPr>
        <w:t xml:space="preserve"> 招标文件发出后，在提交投标文件截止时间15日前，招标人可对招标文件进行必要的澄清或修改。</w:t>
      </w:r>
    </w:p>
    <w:p w14:paraId="36422F6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 xml:space="preserve">2.3.2  </w:t>
      </w:r>
      <w:r>
        <w:rPr>
          <w:rFonts w:hint="default" w:cs="Times New Roman"/>
          <w:color w:val="auto"/>
          <w:sz w:val="24"/>
          <w:szCs w:val="24"/>
          <w:highlight w:val="none"/>
          <w:lang w:eastAsia="zh-CN"/>
        </w:rPr>
        <w:t>招标文件的澄清或修改将在</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网站“项目答疑纪要”专区公开发布。招标文件的澄清或修改一经在</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网站发布，视作已发放给所有投标人，以</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val="en-US" w:eastAsia="zh-CN"/>
        </w:rPr>
        <w:t>网站发布时间作为送达时间。</w:t>
      </w:r>
    </w:p>
    <w:p w14:paraId="4B56D1B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 xml:space="preserve">2.3.3  </w:t>
      </w:r>
      <w:r>
        <w:rPr>
          <w:rFonts w:hint="default" w:cs="Times New Roman"/>
          <w:color w:val="auto"/>
          <w:sz w:val="24"/>
          <w:szCs w:val="24"/>
          <w:highlight w:val="none"/>
        </w:rPr>
        <w:t>招标</w:t>
      </w:r>
      <w:r>
        <w:rPr>
          <w:rFonts w:hint="default" w:cs="Times New Roman"/>
          <w:color w:val="auto"/>
          <w:sz w:val="24"/>
          <w:szCs w:val="24"/>
          <w:highlight w:val="none"/>
          <w:lang w:eastAsia="zh-CN"/>
        </w:rPr>
        <w:t>文件的澄清或修改是</w:t>
      </w:r>
      <w:r>
        <w:rPr>
          <w:rFonts w:hint="default" w:cs="Times New Roman"/>
          <w:color w:val="auto"/>
          <w:sz w:val="24"/>
          <w:szCs w:val="24"/>
          <w:highlight w:val="none"/>
        </w:rPr>
        <w:t>招标文件的</w:t>
      </w:r>
      <w:r>
        <w:rPr>
          <w:rFonts w:hint="default" w:cs="Times New Roman"/>
          <w:color w:val="auto"/>
          <w:sz w:val="24"/>
          <w:szCs w:val="24"/>
          <w:highlight w:val="none"/>
          <w:lang w:eastAsia="zh-CN"/>
        </w:rPr>
        <w:t>组成</w:t>
      </w:r>
      <w:r>
        <w:rPr>
          <w:rFonts w:hint="default" w:cs="Times New Roman"/>
          <w:color w:val="auto"/>
          <w:sz w:val="24"/>
          <w:szCs w:val="24"/>
          <w:highlight w:val="none"/>
        </w:rPr>
        <w:t>部分</w:t>
      </w:r>
      <w:r>
        <w:rPr>
          <w:rFonts w:hint="default" w:cs="Times New Roman"/>
          <w:color w:val="auto"/>
          <w:sz w:val="24"/>
          <w:szCs w:val="24"/>
          <w:highlight w:val="none"/>
          <w:lang w:eastAsia="zh-CN"/>
        </w:rPr>
        <w:t>，对投标人起约束作用</w:t>
      </w:r>
      <w:r>
        <w:rPr>
          <w:rFonts w:hint="default" w:cs="Times New Roman"/>
          <w:color w:val="auto"/>
          <w:sz w:val="24"/>
          <w:szCs w:val="24"/>
          <w:highlight w:val="none"/>
        </w:rPr>
        <w:t>。</w:t>
      </w:r>
    </w:p>
    <w:p w14:paraId="1EB4619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lang w:eastAsia="zh-CN"/>
        </w:rPr>
        <w:t>2.3.</w:t>
      </w:r>
      <w:r>
        <w:rPr>
          <w:rFonts w:hint="default" w:cs="Times New Roman"/>
          <w:color w:val="auto"/>
          <w:sz w:val="24"/>
          <w:szCs w:val="24"/>
          <w:highlight w:val="none"/>
          <w:lang w:val="en-US" w:eastAsia="zh-CN"/>
        </w:rPr>
        <w:t xml:space="preserve">4 </w:t>
      </w:r>
      <w:r>
        <w:rPr>
          <w:rFonts w:hint="default" w:cs="Times New Roman"/>
          <w:color w:val="auto"/>
          <w:sz w:val="24"/>
          <w:szCs w:val="24"/>
          <w:highlight w:val="none"/>
          <w:lang w:eastAsia="zh-CN"/>
        </w:rPr>
        <w:t xml:space="preserve"> 招标文件的澄清或修</w:t>
      </w:r>
      <w:r>
        <w:rPr>
          <w:rFonts w:hint="default" w:cs="Times New Roman"/>
          <w:color w:val="auto"/>
          <w:sz w:val="24"/>
          <w:szCs w:val="24"/>
          <w:highlight w:val="none"/>
        </w:rPr>
        <w:t>改均以</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发布的内容为准。当招标文件的澄清、修改</w:t>
      </w:r>
      <w:r>
        <w:rPr>
          <w:rFonts w:hint="default" w:cs="Times New Roman"/>
          <w:color w:val="auto"/>
          <w:sz w:val="24"/>
          <w:szCs w:val="24"/>
          <w:highlight w:val="none"/>
          <w:lang w:eastAsia="zh-CN"/>
        </w:rPr>
        <w:t>、补充等</w:t>
      </w:r>
      <w:r>
        <w:rPr>
          <w:rFonts w:hint="default" w:cs="Times New Roman"/>
          <w:color w:val="auto"/>
          <w:sz w:val="24"/>
          <w:szCs w:val="24"/>
          <w:highlight w:val="none"/>
        </w:rPr>
        <w:t>在同一内容的表述不一致时，以</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最后发布的内容为准。</w:t>
      </w:r>
    </w:p>
    <w:p w14:paraId="1C3815E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val="en-US" w:eastAsia="zh-CN"/>
        </w:rPr>
        <w:t xml:space="preserve">2.3.5  </w:t>
      </w:r>
      <w:r>
        <w:rPr>
          <w:rFonts w:hint="default" w:cs="Times New Roman"/>
          <w:color w:val="auto"/>
          <w:sz w:val="24"/>
          <w:szCs w:val="24"/>
          <w:highlight w:val="none"/>
          <w:lang w:eastAsia="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w:t>
      </w:r>
      <w:r>
        <w:rPr>
          <w:rFonts w:hint="default" w:cs="Times New Roman"/>
          <w:color w:val="auto"/>
          <w:spacing w:val="-11"/>
          <w:sz w:val="24"/>
          <w:szCs w:val="24"/>
          <w:highlight w:val="none"/>
          <w:lang w:eastAsia="zh-CN"/>
        </w:rPr>
        <w:t>，即表示投标时间不延长。</w:t>
      </w:r>
    </w:p>
    <w:p w14:paraId="2B55C5E6">
      <w:pPr>
        <w:pStyle w:val="4"/>
        <w:outlineLvl w:val="1"/>
        <w:rPr>
          <w:rFonts w:hint="default" w:cs="宋体"/>
          <w:color w:val="auto"/>
          <w:sz w:val="24"/>
          <w:szCs w:val="24"/>
          <w:highlight w:val="none"/>
        </w:rPr>
      </w:pPr>
      <w:r>
        <w:rPr>
          <w:rFonts w:hint="default" w:cs="宋体"/>
          <w:color w:val="auto"/>
          <w:sz w:val="24"/>
          <w:szCs w:val="24"/>
          <w:highlight w:val="none"/>
        </w:rPr>
        <w:t>3.投标文件</w:t>
      </w:r>
    </w:p>
    <w:p w14:paraId="5BE2BC9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3.1 投标文件的组成</w:t>
      </w:r>
    </w:p>
    <w:p w14:paraId="00DD506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3.1.1 投标文件应包括下列内容：</w:t>
      </w:r>
    </w:p>
    <w:p w14:paraId="41CEDD0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（1）投标函及投标函附录；</w:t>
      </w:r>
    </w:p>
    <w:p w14:paraId="0C48C1D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（2）法定代表人身份证明或授权委托书；</w:t>
      </w:r>
    </w:p>
    <w:p w14:paraId="4510DF1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（3）联合体协议书；</w:t>
      </w:r>
    </w:p>
    <w:p w14:paraId="5BCC1FF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（4）投标保证金；</w:t>
      </w:r>
    </w:p>
    <w:p w14:paraId="43E8617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（5）监理报酬清单；</w:t>
      </w:r>
    </w:p>
    <w:p w14:paraId="31F6B9E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（6）资格审查资料；</w:t>
      </w:r>
    </w:p>
    <w:p w14:paraId="42429EA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（7）监理大纲；</w:t>
      </w:r>
    </w:p>
    <w:p w14:paraId="68FC9E7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（8）投标人须知前附表规定的其他资料。投标人在评标过程中作出的符合法律法规和招标文件规定的澄清确认，构成投标文件的组成部分。</w:t>
      </w:r>
    </w:p>
    <w:p w14:paraId="6FEDD9E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3.1.2 投标人须知前附表规定不接受联合体投标的，或投标人没有组成联合体的，投标文件不包括本章第 3.1.1（3）目所指的联合体协议书。</w:t>
      </w:r>
    </w:p>
    <w:p w14:paraId="3303DD1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3.1.3 投标人须知前附表未要求提交投标保证金的，投标文件不包括本章第 3.1.1（4）目所指的投标保证金。</w:t>
      </w:r>
    </w:p>
    <w:p w14:paraId="596CCAB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3.2 投标报价</w:t>
      </w:r>
    </w:p>
    <w:p w14:paraId="337E10F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14:paraId="3954377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3.2.2 投标人应充分了解该项目的总体情况以及影响投标报价的其他要素。</w:t>
      </w:r>
    </w:p>
    <w:p w14:paraId="720C7D4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3.2.3 本项目的报价方式见投标人须知前附表。投标人在投标截止时间前修改投标函中的投标报价总额，应同时修改投标文件“监理报酬清单”中的相应报价。此修改须符合本章第4.3款的有关要求。</w:t>
      </w:r>
    </w:p>
    <w:p w14:paraId="11DDFCB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3.2.4 招标人设有最高投标限价的，投标人的投标报价不得超过最高投标限价，最高投标限价在投标人须知前附表中载明。</w:t>
      </w:r>
    </w:p>
    <w:p w14:paraId="22E851D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3.2.5 投标报价的其他要求见投标人须知前附表。</w:t>
      </w:r>
    </w:p>
    <w:p w14:paraId="5C26E60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3.3 投标有效期</w:t>
      </w:r>
    </w:p>
    <w:p w14:paraId="5304CE9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3.3.1 除投标人须知前附表另有规定外，投标有效期为 90 天。</w:t>
      </w:r>
    </w:p>
    <w:p w14:paraId="30E4A5B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3.3.2 在投标有效期内，投标人撤销投标文件的，应承担招标文件和法律规定的责任。</w:t>
      </w:r>
    </w:p>
    <w:p w14:paraId="12337A1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3.3.3 出现特殊情况需要延长投标有效期的，招标人以书面形式通知所有投标人延长投标有效期。投标人应予以书面答复，同意延长的，</w:t>
      </w:r>
      <w:r>
        <w:rPr>
          <w:rFonts w:hint="default" w:cs="Times New Roman"/>
          <w:strike/>
          <w:color w:val="auto"/>
          <w:sz w:val="24"/>
          <w:szCs w:val="24"/>
          <w:highlight w:val="none"/>
        </w:rPr>
        <w:t>应相应延长其投标保证金的有效期，但</w:t>
      </w:r>
      <w:r>
        <w:rPr>
          <w:rFonts w:hint="default" w:cs="Times New Roman"/>
          <w:color w:val="auto"/>
          <w:sz w:val="24"/>
          <w:szCs w:val="24"/>
          <w:highlight w:val="none"/>
        </w:rPr>
        <w:t>不得要求 或被允许修改其投标文件；投标人拒绝延长的，其投标失效</w:t>
      </w:r>
      <w:r>
        <w:rPr>
          <w:rFonts w:hint="default" w:cs="Times New Roman"/>
          <w:strike/>
          <w:color w:val="auto"/>
          <w:sz w:val="24"/>
          <w:szCs w:val="24"/>
          <w:highlight w:val="none"/>
        </w:rPr>
        <w:t>，但投标人有权收回其投标保证金及以现金或者支票形式递交的投标保证金的银行同期存款利息</w:t>
      </w:r>
      <w:r>
        <w:rPr>
          <w:rFonts w:hint="default" w:cs="Times New Roman"/>
          <w:color w:val="auto"/>
          <w:sz w:val="24"/>
          <w:szCs w:val="24"/>
          <w:highlight w:val="none"/>
        </w:rPr>
        <w:t>。</w:t>
      </w:r>
    </w:p>
    <w:p w14:paraId="6A0EC52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strike/>
          <w:color w:val="auto"/>
          <w:highlight w:val="none"/>
        </w:rPr>
      </w:pPr>
      <w:r>
        <w:rPr>
          <w:rFonts w:hint="default" w:ascii="宋体" w:hAnsi="宋体" w:eastAsia="宋体" w:cs="宋体"/>
          <w:strike/>
          <w:color w:val="auto"/>
          <w:highlight w:val="none"/>
        </w:rPr>
        <w:t>3.4  投标保证金</w:t>
      </w:r>
    </w:p>
    <w:p w14:paraId="4D796E0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lang w:eastAsia="zh-CN"/>
        </w:rPr>
      </w:pPr>
      <w:r>
        <w:rPr>
          <w:rFonts w:hint="default" w:cs="Times New Roman"/>
          <w:strike/>
          <w:color w:val="auto"/>
          <w:sz w:val="24"/>
          <w:szCs w:val="24"/>
          <w:highlight w:val="none"/>
        </w:rPr>
        <w:t>3.4.1 投标人应按投标须知前附表规定的金额和时间递交投标保证金。招标人应当允许投标人自主选择现金、银行保函、保证保险、专业工程担保公司担保等方式缴纳投标保证金。</w:t>
      </w:r>
      <w:r>
        <w:rPr>
          <w:rFonts w:hint="default" w:cs="Times New Roman"/>
          <w:strike/>
          <w:color w:val="auto"/>
          <w:sz w:val="24"/>
          <w:szCs w:val="24"/>
          <w:highlight w:val="none"/>
          <w:lang w:eastAsia="zh-CN"/>
        </w:rPr>
        <w:t>采用现金或者支票形式提交的，投标保证金须从投标人的银行基本账户转出。</w:t>
      </w:r>
      <w:r>
        <w:rPr>
          <w:rFonts w:hint="default" w:cs="Times New Roman"/>
          <w:strike/>
          <w:color w:val="auto"/>
          <w:sz w:val="24"/>
          <w:szCs w:val="24"/>
          <w:highlight w:val="none"/>
        </w:rPr>
        <w:t>联合体投标的，其投标</w:t>
      </w:r>
      <w:r>
        <w:rPr>
          <w:rFonts w:hint="default" w:cs="Times New Roman"/>
          <w:strike/>
          <w:color w:val="auto"/>
          <w:sz w:val="24"/>
          <w:szCs w:val="24"/>
          <w:highlight w:val="none"/>
          <w:lang w:eastAsia="zh-CN"/>
        </w:rPr>
        <w:t>保证金</w:t>
      </w:r>
      <w:r>
        <w:rPr>
          <w:rFonts w:hint="default" w:cs="Times New Roman"/>
          <w:strike/>
          <w:color w:val="auto"/>
          <w:sz w:val="24"/>
          <w:szCs w:val="24"/>
          <w:highlight w:val="none"/>
        </w:rPr>
        <w:t>可以由</w:t>
      </w:r>
      <w:r>
        <w:rPr>
          <w:rFonts w:hint="default" w:cs="Times New Roman"/>
          <w:strike/>
          <w:color w:val="auto"/>
          <w:sz w:val="24"/>
          <w:szCs w:val="24"/>
          <w:highlight w:val="none"/>
          <w:lang w:eastAsia="zh-CN"/>
        </w:rPr>
        <w:t>主办方</w:t>
      </w:r>
      <w:r>
        <w:rPr>
          <w:rFonts w:hint="default" w:cs="Times New Roman"/>
          <w:strike/>
          <w:color w:val="auto"/>
          <w:sz w:val="24"/>
          <w:szCs w:val="24"/>
          <w:highlight w:val="none"/>
        </w:rPr>
        <w:t>递交，并应符合投标人须知前附表的规定</w:t>
      </w:r>
      <w:r>
        <w:rPr>
          <w:rFonts w:hint="default" w:cs="Times New Roman"/>
          <w:strike/>
          <w:color w:val="auto"/>
          <w:sz w:val="24"/>
          <w:szCs w:val="24"/>
          <w:highlight w:val="none"/>
          <w:lang w:eastAsia="zh-CN"/>
        </w:rPr>
        <w:t>。</w:t>
      </w:r>
    </w:p>
    <w:p w14:paraId="005E1D7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 xml:space="preserve">3.4.2 </w:t>
      </w:r>
      <w:r>
        <w:rPr>
          <w:rFonts w:hint="default" w:cs="Times New Roman"/>
          <w:strike/>
          <w:color w:val="auto"/>
          <w:sz w:val="24"/>
          <w:szCs w:val="24"/>
          <w:highlight w:val="none"/>
          <w:lang w:eastAsia="zh-CN"/>
        </w:rPr>
        <w:t>开标时投标人没有按</w:t>
      </w:r>
      <w:r>
        <w:rPr>
          <w:rFonts w:hint="default" w:cs="Times New Roman"/>
          <w:strike/>
          <w:color w:val="auto"/>
          <w:sz w:val="24"/>
          <w:szCs w:val="24"/>
          <w:highlight w:val="none"/>
        </w:rPr>
        <w:t>要求提交投标保证金的，</w:t>
      </w:r>
      <w:r>
        <w:rPr>
          <w:rFonts w:hint="default" w:cs="Times New Roman"/>
          <w:strike/>
          <w:color w:val="auto"/>
          <w:sz w:val="24"/>
          <w:szCs w:val="24"/>
          <w:highlight w:val="none"/>
          <w:lang w:eastAsia="zh-CN"/>
        </w:rPr>
        <w:t>其投标文件将被否决</w:t>
      </w:r>
      <w:r>
        <w:rPr>
          <w:rFonts w:hint="default" w:cs="Times New Roman"/>
          <w:strike/>
          <w:color w:val="auto"/>
          <w:sz w:val="24"/>
          <w:szCs w:val="24"/>
          <w:highlight w:val="none"/>
        </w:rPr>
        <w:t>。</w:t>
      </w:r>
    </w:p>
    <w:p w14:paraId="7F2A404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3.4.3 中标候选人以外的投标人的投标保证金将尽快退还，最迟不超过中标通知书发出之日起五日内</w:t>
      </w:r>
      <w:r>
        <w:rPr>
          <w:rFonts w:hint="default" w:cs="Times New Roman"/>
          <w:strike/>
          <w:color w:val="auto"/>
          <w:sz w:val="24"/>
          <w:szCs w:val="24"/>
          <w:highlight w:val="none"/>
          <w:lang w:eastAsia="zh-CN"/>
        </w:rPr>
        <w:t>；</w:t>
      </w:r>
      <w:r>
        <w:rPr>
          <w:rFonts w:hint="default" w:cs="Times New Roman"/>
          <w:strike/>
          <w:color w:val="auto"/>
          <w:sz w:val="24"/>
          <w:szCs w:val="24"/>
          <w:highlight w:val="none"/>
        </w:rPr>
        <w:t>中标人和其他中标候选人的投标保证金，在书面合同订立之日起五日内予以退还。</w:t>
      </w:r>
    </w:p>
    <w:p w14:paraId="1D3066A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3.4.4 有下列情形之一的，投标保证金将不予退还：</w:t>
      </w:r>
    </w:p>
    <w:p w14:paraId="7A0F830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w:t>
      </w:r>
      <w:r>
        <w:rPr>
          <w:rFonts w:hint="eastAsia" w:cs="Times New Roman"/>
          <w:strike/>
          <w:color w:val="auto"/>
          <w:sz w:val="24"/>
          <w:szCs w:val="24"/>
          <w:highlight w:val="none"/>
          <w:lang w:val="en-US" w:eastAsia="zh-CN"/>
        </w:rPr>
        <w:t>1</w:t>
      </w:r>
      <w:r>
        <w:rPr>
          <w:rFonts w:hint="default" w:cs="Times New Roman"/>
          <w:strike/>
          <w:color w:val="auto"/>
          <w:sz w:val="24"/>
          <w:szCs w:val="24"/>
          <w:highlight w:val="none"/>
        </w:rPr>
        <w:t>)</w:t>
      </w:r>
      <w:r>
        <w:rPr>
          <w:rFonts w:hint="default" w:cs="Times New Roman"/>
          <w:strike/>
          <w:color w:val="auto"/>
          <w:sz w:val="24"/>
          <w:szCs w:val="24"/>
          <w:highlight w:val="none"/>
          <w:lang w:val="en-US" w:eastAsia="zh-CN"/>
        </w:rPr>
        <w:t xml:space="preserve"> </w:t>
      </w:r>
      <w:r>
        <w:rPr>
          <w:rFonts w:hint="default" w:cs="Times New Roman"/>
          <w:strike/>
          <w:color w:val="auto"/>
          <w:sz w:val="24"/>
          <w:szCs w:val="24"/>
          <w:highlight w:val="none"/>
        </w:rPr>
        <w:t>投标人在规定的投标有效期内撤</w:t>
      </w:r>
      <w:r>
        <w:rPr>
          <w:rFonts w:hint="default" w:cs="Times New Roman"/>
          <w:strike/>
          <w:color w:val="auto"/>
          <w:sz w:val="24"/>
          <w:szCs w:val="24"/>
          <w:highlight w:val="none"/>
          <w:lang w:eastAsia="zh-CN"/>
        </w:rPr>
        <w:t>销</w:t>
      </w:r>
      <w:r>
        <w:rPr>
          <w:rFonts w:hint="default" w:cs="Times New Roman"/>
          <w:strike/>
          <w:color w:val="auto"/>
          <w:sz w:val="24"/>
          <w:szCs w:val="24"/>
          <w:highlight w:val="none"/>
        </w:rPr>
        <w:t>其投标文件；</w:t>
      </w:r>
    </w:p>
    <w:p w14:paraId="56FD883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lang w:eastAsia="zh-CN"/>
        </w:rPr>
      </w:pPr>
      <w:r>
        <w:rPr>
          <w:rFonts w:hint="default" w:cs="Times New Roman"/>
          <w:strike/>
          <w:color w:val="auto"/>
          <w:sz w:val="24"/>
          <w:szCs w:val="24"/>
          <w:highlight w:val="none"/>
        </w:rPr>
        <w:t>(</w:t>
      </w:r>
      <w:r>
        <w:rPr>
          <w:rFonts w:hint="eastAsia" w:cs="Times New Roman"/>
          <w:strike/>
          <w:color w:val="auto"/>
          <w:sz w:val="24"/>
          <w:szCs w:val="24"/>
          <w:highlight w:val="none"/>
          <w:lang w:val="en-US" w:eastAsia="zh-CN"/>
        </w:rPr>
        <w:t>2</w:t>
      </w:r>
      <w:r>
        <w:rPr>
          <w:rFonts w:hint="default" w:cs="Times New Roman"/>
          <w:strike/>
          <w:color w:val="auto"/>
          <w:sz w:val="24"/>
          <w:szCs w:val="24"/>
          <w:highlight w:val="none"/>
        </w:rPr>
        <w:t>)</w:t>
      </w:r>
      <w:r>
        <w:rPr>
          <w:rFonts w:hint="default" w:cs="Times New Roman"/>
          <w:strike/>
          <w:color w:val="auto"/>
          <w:sz w:val="24"/>
          <w:szCs w:val="24"/>
          <w:highlight w:val="none"/>
          <w:lang w:val="en-US" w:eastAsia="zh-CN"/>
        </w:rPr>
        <w:t xml:space="preserve"> </w:t>
      </w:r>
      <w:r>
        <w:rPr>
          <w:rFonts w:hint="default" w:cs="Times New Roman"/>
          <w:strike/>
          <w:color w:val="auto"/>
          <w:sz w:val="24"/>
          <w:szCs w:val="24"/>
          <w:highlight w:val="none"/>
        </w:rPr>
        <w:t>中标人在收到中标通知书后，无正当理由不与招标人订立合同，在签订合同时向招标 人提出附加条件，或者不按照招标文件要求提交履约保证金</w:t>
      </w:r>
      <w:r>
        <w:rPr>
          <w:rFonts w:hint="default" w:cs="Times New Roman"/>
          <w:strike/>
          <w:color w:val="auto"/>
          <w:sz w:val="24"/>
          <w:szCs w:val="24"/>
          <w:highlight w:val="none"/>
          <w:lang w:eastAsia="zh-CN"/>
        </w:rPr>
        <w:t>。</w:t>
      </w:r>
    </w:p>
    <w:p w14:paraId="7BF8836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3.5 资格审查资料</w:t>
      </w:r>
    </w:p>
    <w:p w14:paraId="7D8250A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除投标人须知前附表另有规定外，投标人应按下列规定提供资格审查资料，以证明其满足本章第 1.4 款规定的资质、财务、业绩、信誉等要求。</w:t>
      </w:r>
    </w:p>
    <w:p w14:paraId="6706401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3.5.1 “投标人基本情况表”应附投标人营业执照、投标人监理资质证书副本等材料的</w:t>
      </w:r>
      <w:r>
        <w:rPr>
          <w:rFonts w:hint="default" w:cs="Times New Roman"/>
          <w:color w:val="auto"/>
          <w:sz w:val="24"/>
          <w:szCs w:val="24"/>
          <w:highlight w:val="none"/>
          <w:lang w:eastAsia="zh-CN"/>
        </w:rPr>
        <w:t>扫描件</w:t>
      </w:r>
      <w:r>
        <w:rPr>
          <w:rFonts w:hint="default" w:cs="Times New Roman"/>
          <w:color w:val="auto"/>
          <w:sz w:val="24"/>
          <w:szCs w:val="24"/>
          <w:highlight w:val="none"/>
        </w:rPr>
        <w:t>。</w:t>
      </w:r>
    </w:p>
    <w:p w14:paraId="634E78D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3.5.</w:t>
      </w:r>
      <w:r>
        <w:rPr>
          <w:rFonts w:hint="default" w:cs="Times New Roman"/>
          <w:color w:val="auto"/>
          <w:sz w:val="24"/>
          <w:szCs w:val="24"/>
          <w:highlight w:val="none"/>
          <w:lang w:val="en-US" w:eastAsia="zh-CN"/>
        </w:rPr>
        <w:t>2</w:t>
      </w:r>
      <w:r>
        <w:rPr>
          <w:rFonts w:hint="default" w:cs="Times New Roman"/>
          <w:color w:val="auto"/>
          <w:sz w:val="24"/>
          <w:szCs w:val="24"/>
          <w:highlight w:val="none"/>
        </w:rPr>
        <w:t xml:space="preserve"> “近年完成的类似监理项目情况表”应附中标通知书和（或）合同协议书、委托人出具的证明文件；具体时间要求见投标人须知前附表，每张表格只填写一个项目，并标明序号。</w:t>
      </w:r>
    </w:p>
    <w:p w14:paraId="5724469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eastAsia="宋体" w:cs="Times New Roman"/>
          <w:color w:val="auto"/>
          <w:sz w:val="24"/>
          <w:szCs w:val="24"/>
          <w:highlight w:val="none"/>
          <w:lang w:eastAsia="zh-CN"/>
        </w:rPr>
      </w:pPr>
      <w:r>
        <w:rPr>
          <w:rFonts w:hint="default" w:cs="Times New Roman"/>
          <w:color w:val="auto"/>
          <w:sz w:val="24"/>
          <w:szCs w:val="24"/>
          <w:highlight w:val="none"/>
        </w:rPr>
        <w:t>3.5.</w:t>
      </w:r>
      <w:r>
        <w:rPr>
          <w:rFonts w:hint="default" w:cs="Times New Roman"/>
          <w:color w:val="auto"/>
          <w:sz w:val="24"/>
          <w:szCs w:val="24"/>
          <w:highlight w:val="none"/>
          <w:lang w:val="en-US" w:eastAsia="zh-CN"/>
        </w:rPr>
        <w:t>3</w:t>
      </w:r>
      <w:r>
        <w:rPr>
          <w:rFonts w:hint="default" w:cs="Times New Roman"/>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w:t>
      </w:r>
      <w:r>
        <w:rPr>
          <w:rFonts w:hint="default" w:cs="Times New Roman"/>
          <w:color w:val="auto"/>
          <w:sz w:val="24"/>
          <w:szCs w:val="24"/>
          <w:highlight w:val="none"/>
          <w:lang w:eastAsia="zh-CN"/>
        </w:rPr>
        <w:t>（若有）</w:t>
      </w:r>
      <w:r>
        <w:rPr>
          <w:rFonts w:hint="default" w:cs="Times New Roman"/>
          <w:color w:val="auto"/>
          <w:sz w:val="24"/>
          <w:szCs w:val="24"/>
          <w:highlight w:val="none"/>
        </w:rPr>
        <w:t>；其他主要人员应附身份证、学历证、职称证、有关证书和社保缴费证明</w:t>
      </w:r>
      <w:r>
        <w:rPr>
          <w:rFonts w:hint="default" w:cs="Times New Roman"/>
          <w:color w:val="auto"/>
          <w:sz w:val="24"/>
          <w:szCs w:val="24"/>
          <w:highlight w:val="none"/>
          <w:lang w:eastAsia="zh-CN"/>
        </w:rPr>
        <w:t>（若有）</w:t>
      </w:r>
      <w:r>
        <w:rPr>
          <w:rFonts w:hint="default" w:cs="Times New Roman"/>
          <w:color w:val="auto"/>
          <w:sz w:val="24"/>
          <w:szCs w:val="24"/>
          <w:highlight w:val="none"/>
        </w:rPr>
        <w:t>。</w:t>
      </w:r>
      <w:r>
        <w:rPr>
          <w:rFonts w:hint="eastAsia" w:cs="Times New Roman"/>
          <w:color w:val="auto"/>
          <w:sz w:val="24"/>
          <w:szCs w:val="24"/>
          <w:highlight w:val="none"/>
          <w:lang w:eastAsia="zh-CN"/>
        </w:rPr>
        <w:t>（注：以上人员社保要求：具有离投标截止时间最近</w:t>
      </w:r>
      <w:r>
        <w:rPr>
          <w:rFonts w:hint="eastAsia" w:cs="Times New Roman"/>
          <w:color w:val="auto"/>
          <w:sz w:val="24"/>
          <w:szCs w:val="24"/>
          <w:highlight w:val="none"/>
          <w:lang w:val="en-US" w:eastAsia="zh-CN"/>
        </w:rPr>
        <w:t>1</w:t>
      </w:r>
      <w:r>
        <w:rPr>
          <w:rFonts w:hint="eastAsia" w:cs="Times New Roman"/>
          <w:color w:val="auto"/>
          <w:sz w:val="24"/>
          <w:szCs w:val="24"/>
          <w:highlight w:val="none"/>
          <w:lang w:eastAsia="zh-CN"/>
        </w:rPr>
        <w:t>个月（</w:t>
      </w:r>
      <w:r>
        <w:rPr>
          <w:rFonts w:hint="eastAsia" w:cs="Times New Roman"/>
          <w:color w:val="auto"/>
          <w:sz w:val="24"/>
          <w:szCs w:val="24"/>
          <w:highlight w:val="none"/>
          <w:lang w:val="en-US" w:eastAsia="zh-CN"/>
        </w:rPr>
        <w:t>2025年4月</w:t>
      </w:r>
      <w:r>
        <w:rPr>
          <w:rFonts w:hint="eastAsia" w:cs="Times New Roman"/>
          <w:color w:val="auto"/>
          <w:sz w:val="24"/>
          <w:szCs w:val="24"/>
          <w:highlight w:val="none"/>
          <w:lang w:eastAsia="zh-CN"/>
        </w:rPr>
        <w:t>）在本单位缴纳的社保证明文件。）</w:t>
      </w:r>
    </w:p>
    <w:p w14:paraId="492703D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3.5.</w:t>
      </w:r>
      <w:r>
        <w:rPr>
          <w:rFonts w:hint="default" w:cs="Times New Roman"/>
          <w:color w:val="auto"/>
          <w:sz w:val="24"/>
          <w:szCs w:val="24"/>
          <w:highlight w:val="none"/>
          <w:lang w:val="en-US" w:eastAsia="zh-CN"/>
        </w:rPr>
        <w:t>4</w:t>
      </w:r>
      <w:r>
        <w:rPr>
          <w:rFonts w:hint="default" w:cs="Times New Roman"/>
          <w:color w:val="auto"/>
          <w:sz w:val="24"/>
          <w:szCs w:val="24"/>
          <w:highlight w:val="none"/>
        </w:rPr>
        <w:t xml:space="preserve"> 投标人须知前附表规定接受联合体投标的，本章第3.5.1 项至第3.5.</w:t>
      </w:r>
      <w:r>
        <w:rPr>
          <w:rFonts w:hint="default" w:cs="Times New Roman"/>
          <w:color w:val="auto"/>
          <w:sz w:val="24"/>
          <w:szCs w:val="24"/>
          <w:highlight w:val="none"/>
          <w:lang w:val="en-US" w:eastAsia="zh-CN"/>
        </w:rPr>
        <w:t>3</w:t>
      </w:r>
      <w:r>
        <w:rPr>
          <w:rFonts w:hint="default" w:cs="Times New Roman"/>
          <w:color w:val="auto"/>
          <w:sz w:val="24"/>
          <w:szCs w:val="24"/>
          <w:highlight w:val="none"/>
        </w:rPr>
        <w:t>项规定的表格和资料应包括联合体各方相关情况。</w:t>
      </w:r>
    </w:p>
    <w:p w14:paraId="556DAE7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3.6 备选投标方案</w:t>
      </w:r>
    </w:p>
    <w:p w14:paraId="62BF3A3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3.6.1 除投标人须知前附表规定允许外，投标人不得递交备选投标方案，否则其投标将被否决。</w:t>
      </w:r>
    </w:p>
    <w:p w14:paraId="6CC268B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5F9A657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3.6.3 投标人提供两个或两个以上投标报价，或者在投标文件中提供一个报价，但同时提供两个或两个以上监理方案的，视为提供备选方案。</w:t>
      </w:r>
    </w:p>
    <w:p w14:paraId="04EC3CF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3.7 投标文件的编制</w:t>
      </w:r>
    </w:p>
    <w:p w14:paraId="6284498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3.7.1</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 xml:space="preserve"> 投标文件应按第六章“投标文件格式”进行编写， 如有必要，可以增加附页， 作为投标文件的组成部分。其中，投标函附录在满足招标文件实质性要求的基础上，可以提出比招标文件要求更有利于招标人的承诺。</w:t>
      </w:r>
    </w:p>
    <w:p w14:paraId="1FC95A3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3.7.2  投标文件应当对招标文件有关监理服务期限、投标有效期、委托人要求、招标范围等实质性内容作出响应。</w:t>
      </w:r>
    </w:p>
    <w:p w14:paraId="0A7AF35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w:t>
      </w:r>
      <w:r>
        <w:rPr>
          <w:rFonts w:hint="default" w:cs="Times New Roman"/>
          <w:color w:val="auto"/>
          <w:sz w:val="24"/>
          <w:szCs w:val="24"/>
          <w:highlight w:val="none"/>
          <w:lang w:val="en-US" w:eastAsia="zh-CN"/>
        </w:rPr>
        <w:t>7</w:t>
      </w:r>
      <w:r>
        <w:rPr>
          <w:rFonts w:hint="default" w:cs="Times New Roman"/>
          <w:color w:val="auto"/>
          <w:sz w:val="24"/>
          <w:szCs w:val="24"/>
          <w:highlight w:val="none"/>
        </w:rPr>
        <w:t>.</w:t>
      </w:r>
      <w:r>
        <w:rPr>
          <w:rFonts w:hint="default" w:cs="Times New Roman"/>
          <w:color w:val="auto"/>
          <w:sz w:val="24"/>
          <w:szCs w:val="24"/>
          <w:highlight w:val="none"/>
          <w:lang w:val="en-US" w:eastAsia="zh-CN"/>
        </w:rPr>
        <w:t xml:space="preserve">3  </w:t>
      </w:r>
      <w:r>
        <w:rPr>
          <w:rFonts w:hint="default" w:cs="Times New Roman"/>
          <w:color w:val="auto"/>
          <w:sz w:val="24"/>
          <w:szCs w:val="24"/>
          <w:highlight w:val="none"/>
        </w:rPr>
        <w:t>投标文件全部采用电子文档，投标文件所附证书证件均为原件扫描件</w:t>
      </w:r>
      <w:r>
        <w:rPr>
          <w:rFonts w:hint="default" w:cs="Times New Roman"/>
          <w:color w:val="auto"/>
          <w:sz w:val="24"/>
          <w:szCs w:val="24"/>
          <w:highlight w:val="none"/>
          <w:lang w:eastAsia="zh-CN"/>
        </w:rPr>
        <w:t>或电子证书</w:t>
      </w:r>
      <w:r>
        <w:rPr>
          <w:rFonts w:hint="default" w:cs="Times New Roman"/>
          <w:color w:val="auto"/>
          <w:sz w:val="24"/>
          <w:szCs w:val="24"/>
          <w:highlight w:val="none"/>
        </w:rPr>
        <w:t>，并采用单位数字证书，按招标文件要求在相应位置加盖电子印章。投标文件中需个人签字或盖章的，应加盖个人电子印章或在线下完成后扫描上传</w:t>
      </w:r>
      <w:r>
        <w:rPr>
          <w:rFonts w:hint="eastAsia"/>
          <w:color w:val="auto"/>
          <w:kern w:val="2"/>
          <w:sz w:val="24"/>
          <w:szCs w:val="24"/>
          <w:highlight w:val="none"/>
          <w:lang w:val="en-US" w:eastAsia="zh-CN"/>
        </w:rPr>
        <w:t>（</w:t>
      </w:r>
      <w:r>
        <w:rPr>
          <w:rFonts w:hint="default" w:ascii="Calibri" w:hAnsi="Calibri" w:eastAsia="宋体" w:cs="Times New Roman"/>
          <w:color w:val="auto"/>
          <w:kern w:val="2"/>
          <w:sz w:val="24"/>
          <w:szCs w:val="24"/>
          <w:highlight w:val="none"/>
          <w:lang w:val="en-US" w:eastAsia="zh-CN" w:bidi="ar-SA"/>
        </w:rPr>
        <w:t>可靠的电子签名与手写签名或者盖章具有同等的法律效力</w:t>
      </w:r>
      <w:r>
        <w:rPr>
          <w:rFonts w:hint="eastAsia"/>
          <w:color w:val="auto"/>
          <w:kern w:val="2"/>
          <w:sz w:val="24"/>
          <w:szCs w:val="24"/>
          <w:highlight w:val="none"/>
          <w:lang w:val="en-US" w:eastAsia="zh-CN"/>
        </w:rPr>
        <w:t>）</w:t>
      </w:r>
      <w:r>
        <w:rPr>
          <w:rFonts w:hint="default" w:cs="Times New Roman"/>
          <w:color w:val="auto"/>
          <w:sz w:val="24"/>
          <w:szCs w:val="24"/>
          <w:highlight w:val="none"/>
        </w:rPr>
        <w:t>。按照</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网站关于全流程电子化项目的相关指南进行操作</w:t>
      </w:r>
      <w:r>
        <w:rPr>
          <w:rFonts w:hint="default" w:cs="Times New Roman"/>
          <w:color w:val="auto"/>
          <w:sz w:val="24"/>
          <w:szCs w:val="24"/>
          <w:highlight w:val="none"/>
        </w:rPr>
        <w:t>。</w:t>
      </w:r>
    </w:p>
    <w:p w14:paraId="10390CF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3.</w:t>
      </w:r>
      <w:r>
        <w:rPr>
          <w:rFonts w:hint="default" w:cs="Times New Roman"/>
          <w:strike/>
          <w:color w:val="auto"/>
          <w:sz w:val="24"/>
          <w:szCs w:val="24"/>
          <w:highlight w:val="none"/>
          <w:lang w:val="en-US" w:eastAsia="zh-CN"/>
        </w:rPr>
        <w:t>7</w:t>
      </w:r>
      <w:r>
        <w:rPr>
          <w:rFonts w:hint="default" w:cs="Times New Roman"/>
          <w:strike/>
          <w:color w:val="auto"/>
          <w:sz w:val="24"/>
          <w:szCs w:val="24"/>
          <w:highlight w:val="none"/>
        </w:rPr>
        <w:t>.</w:t>
      </w:r>
      <w:r>
        <w:rPr>
          <w:rFonts w:hint="default" w:cs="Times New Roman"/>
          <w:strike/>
          <w:color w:val="auto"/>
          <w:sz w:val="24"/>
          <w:szCs w:val="24"/>
          <w:highlight w:val="none"/>
          <w:lang w:val="en-US" w:eastAsia="zh-CN"/>
        </w:rPr>
        <w:t xml:space="preserve">4  </w:t>
      </w:r>
      <w:r>
        <w:rPr>
          <w:rFonts w:hint="default" w:cs="Times New Roman"/>
          <w:strike/>
          <w:color w:val="auto"/>
          <w:sz w:val="24"/>
          <w:szCs w:val="24"/>
          <w:highlight w:val="none"/>
        </w:rPr>
        <w:t>联合体投标时，</w:t>
      </w:r>
      <w:r>
        <w:rPr>
          <w:rFonts w:hint="default" w:cs="Times New Roman"/>
          <w:strike/>
          <w:color w:val="auto"/>
          <w:sz w:val="24"/>
          <w:szCs w:val="24"/>
          <w:highlight w:val="none"/>
          <w:lang w:eastAsia="zh-CN"/>
        </w:rPr>
        <w:t>投标人封面及其他内容落款中的“投标人”应填写联合体各方的单位全称【格式为：（主）XXXX公司（成）XXXX公司】。除</w:t>
      </w:r>
      <w:r>
        <w:rPr>
          <w:rFonts w:hint="default" w:cs="Times New Roman"/>
          <w:strike/>
          <w:color w:val="auto"/>
          <w:sz w:val="24"/>
          <w:szCs w:val="24"/>
          <w:highlight w:val="none"/>
        </w:rPr>
        <w:t>联合体共同投标协议需联合体各方按要求共同盖章签字，其余可由联合体</w:t>
      </w:r>
      <w:r>
        <w:rPr>
          <w:rFonts w:hint="default" w:cs="Times New Roman"/>
          <w:strike/>
          <w:color w:val="auto"/>
          <w:sz w:val="24"/>
          <w:szCs w:val="24"/>
          <w:highlight w:val="none"/>
          <w:lang w:eastAsia="zh-CN"/>
        </w:rPr>
        <w:t>主办方</w:t>
      </w:r>
      <w:r>
        <w:rPr>
          <w:rFonts w:hint="default" w:cs="Times New Roman"/>
          <w:strike/>
          <w:color w:val="auto"/>
          <w:sz w:val="24"/>
          <w:szCs w:val="24"/>
          <w:highlight w:val="none"/>
        </w:rPr>
        <w:t>签字、盖章即可，由联合体</w:t>
      </w:r>
      <w:r>
        <w:rPr>
          <w:rFonts w:hint="default" w:cs="Times New Roman"/>
          <w:strike/>
          <w:color w:val="auto"/>
          <w:sz w:val="24"/>
          <w:szCs w:val="24"/>
          <w:highlight w:val="none"/>
          <w:lang w:eastAsia="zh-CN"/>
        </w:rPr>
        <w:t>主办方</w:t>
      </w:r>
      <w:r>
        <w:rPr>
          <w:rFonts w:hint="default" w:cs="Times New Roman"/>
          <w:strike/>
          <w:color w:val="auto"/>
          <w:sz w:val="24"/>
          <w:szCs w:val="24"/>
          <w:highlight w:val="none"/>
        </w:rPr>
        <w:t>法人签字的电子投标文件需提供</w:t>
      </w:r>
      <w:r>
        <w:rPr>
          <w:rFonts w:hint="default" w:cs="Times New Roman"/>
          <w:strike/>
          <w:color w:val="auto"/>
          <w:sz w:val="24"/>
          <w:szCs w:val="24"/>
          <w:highlight w:val="none"/>
          <w:lang w:eastAsia="zh-CN"/>
        </w:rPr>
        <w:t>主办方</w:t>
      </w:r>
      <w:r>
        <w:rPr>
          <w:rFonts w:hint="default" w:cs="Times New Roman"/>
          <w:strike/>
          <w:color w:val="auto"/>
          <w:sz w:val="24"/>
          <w:szCs w:val="24"/>
          <w:highlight w:val="none"/>
        </w:rPr>
        <w:t>法定代表人证明书，若由联合体</w:t>
      </w:r>
      <w:r>
        <w:rPr>
          <w:rFonts w:hint="default" w:cs="Times New Roman"/>
          <w:strike/>
          <w:color w:val="auto"/>
          <w:sz w:val="24"/>
          <w:szCs w:val="24"/>
          <w:highlight w:val="none"/>
          <w:lang w:eastAsia="zh-CN"/>
        </w:rPr>
        <w:t>主办方</w:t>
      </w:r>
      <w:r>
        <w:rPr>
          <w:rFonts w:hint="default" w:cs="Times New Roman"/>
          <w:strike/>
          <w:color w:val="auto"/>
          <w:sz w:val="24"/>
          <w:szCs w:val="24"/>
          <w:highlight w:val="none"/>
        </w:rPr>
        <w:t>法定代表人授权签字的电子投标文件需提供法定代表人证明书及其授权委托书、授权委托人身份证</w:t>
      </w:r>
      <w:r>
        <w:rPr>
          <w:rFonts w:hint="default" w:cs="Times New Roman"/>
          <w:strike/>
          <w:color w:val="auto"/>
          <w:sz w:val="24"/>
          <w:szCs w:val="24"/>
          <w:highlight w:val="none"/>
          <w:lang w:eastAsia="zh-CN"/>
        </w:rPr>
        <w:t>扫描</w:t>
      </w:r>
      <w:r>
        <w:rPr>
          <w:rFonts w:hint="default" w:cs="Times New Roman"/>
          <w:strike/>
          <w:color w:val="auto"/>
          <w:sz w:val="24"/>
          <w:szCs w:val="24"/>
          <w:highlight w:val="none"/>
        </w:rPr>
        <w:t>件。</w:t>
      </w:r>
    </w:p>
    <w:p w14:paraId="2A60092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w:t>
      </w:r>
      <w:r>
        <w:rPr>
          <w:rFonts w:hint="default" w:cs="Times New Roman"/>
          <w:color w:val="auto"/>
          <w:sz w:val="24"/>
          <w:szCs w:val="24"/>
          <w:highlight w:val="none"/>
          <w:lang w:val="en-US" w:eastAsia="zh-CN"/>
        </w:rPr>
        <w:t>7</w:t>
      </w:r>
      <w:r>
        <w:rPr>
          <w:rFonts w:hint="default" w:cs="Times New Roman"/>
          <w:color w:val="auto"/>
          <w:sz w:val="24"/>
          <w:szCs w:val="24"/>
          <w:highlight w:val="none"/>
          <w:lang w:eastAsia="zh-CN"/>
        </w:rPr>
        <w:t>.</w:t>
      </w:r>
      <w:r>
        <w:rPr>
          <w:rFonts w:hint="default" w:cs="Times New Roman"/>
          <w:color w:val="auto"/>
          <w:sz w:val="24"/>
          <w:szCs w:val="24"/>
          <w:highlight w:val="none"/>
          <w:lang w:val="en-US" w:eastAsia="zh-CN"/>
        </w:rPr>
        <w:t xml:space="preserve">5 </w:t>
      </w:r>
      <w:r>
        <w:rPr>
          <w:rFonts w:hint="eastAsia" w:cs="Times New Roman"/>
          <w:color w:val="auto"/>
          <w:sz w:val="24"/>
          <w:szCs w:val="24"/>
          <w:highlight w:val="none"/>
          <w:lang w:val="en-US" w:eastAsia="zh-CN"/>
        </w:rPr>
        <w:t xml:space="preserve"> </w:t>
      </w:r>
      <w:r>
        <w:rPr>
          <w:rFonts w:hint="default" w:cs="Times New Roman"/>
          <w:color w:val="auto"/>
          <w:sz w:val="24"/>
          <w:szCs w:val="24"/>
          <w:highlight w:val="none"/>
          <w:lang w:eastAsia="zh-CN"/>
        </w:rPr>
        <w:t>投标文件应按照</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网站关于全流程电子化项目的相关指南进行编制。如因不按上述编排要求编制而所引起系统无法检索、读取相关信息时，其后果将由投标人自行承担。</w:t>
      </w:r>
    </w:p>
    <w:p w14:paraId="5C71EC88">
      <w:pPr>
        <w:pStyle w:val="4"/>
        <w:outlineLvl w:val="1"/>
        <w:rPr>
          <w:rFonts w:hint="default" w:cs="宋体"/>
          <w:color w:val="auto"/>
          <w:sz w:val="24"/>
          <w:szCs w:val="24"/>
          <w:highlight w:val="none"/>
        </w:rPr>
      </w:pPr>
      <w:r>
        <w:rPr>
          <w:rFonts w:hint="default" w:cs="宋体"/>
          <w:color w:val="auto"/>
          <w:sz w:val="24"/>
          <w:szCs w:val="24"/>
          <w:highlight w:val="none"/>
        </w:rPr>
        <w:t>4.投标</w:t>
      </w:r>
    </w:p>
    <w:p w14:paraId="6D94007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rPr>
        <w:t>4.1  投标文件的</w:t>
      </w:r>
      <w:r>
        <w:rPr>
          <w:rFonts w:hint="default" w:ascii="宋体" w:hAnsi="宋体" w:eastAsia="宋体" w:cs="宋体"/>
          <w:color w:val="auto"/>
          <w:highlight w:val="none"/>
          <w:lang w:val="en-US" w:eastAsia="zh-CN"/>
        </w:rPr>
        <w:t>加密</w:t>
      </w:r>
    </w:p>
    <w:p w14:paraId="08F4531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 xml:space="preserve">4.1.1 </w:t>
      </w:r>
      <w:r>
        <w:rPr>
          <w:rFonts w:hint="eastAsia" w:cs="Times New Roman"/>
          <w:color w:val="auto"/>
          <w:sz w:val="24"/>
          <w:szCs w:val="24"/>
          <w:highlight w:val="none"/>
          <w:lang w:val="en-US" w:eastAsia="zh-CN"/>
        </w:rPr>
        <w:t xml:space="preserve"> </w:t>
      </w:r>
      <w:r>
        <w:rPr>
          <w:rFonts w:hint="default" w:cs="Times New Roman"/>
          <w:color w:val="auto"/>
          <w:sz w:val="24"/>
          <w:szCs w:val="24"/>
          <w:highlight w:val="none"/>
        </w:rPr>
        <w:t>递交的电子投标文件（不含备用光盘）必须进行加密。按照</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关于全流程电子化项目的相关指南进行操作。</w:t>
      </w:r>
    </w:p>
    <w:p w14:paraId="321BDFF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4.1.2  未按要求加密的投标文件，</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网站交易</w:t>
      </w:r>
      <w:r>
        <w:rPr>
          <w:rFonts w:hint="default" w:cs="Times New Roman"/>
          <w:color w:val="auto"/>
          <w:sz w:val="24"/>
          <w:szCs w:val="24"/>
          <w:highlight w:val="none"/>
        </w:rPr>
        <w:t>平台将予以拒收。</w:t>
      </w:r>
    </w:p>
    <w:p w14:paraId="3DD135D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4.2  投标文件的递交</w:t>
      </w:r>
    </w:p>
    <w:p w14:paraId="3040C09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4.2.1</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投标人</w:t>
      </w:r>
      <w:r>
        <w:rPr>
          <w:rFonts w:hint="default" w:cs="Times New Roman"/>
          <w:color w:val="auto"/>
          <w:sz w:val="24"/>
          <w:szCs w:val="24"/>
          <w:highlight w:val="none"/>
          <w:lang w:eastAsia="zh-CN"/>
        </w:rPr>
        <w:t>应在投标人须知前附表规定的投标截止时间前，</w:t>
      </w:r>
      <w:r>
        <w:rPr>
          <w:rFonts w:hint="default" w:cs="Times New Roman"/>
          <w:color w:val="auto"/>
          <w:sz w:val="24"/>
          <w:szCs w:val="24"/>
          <w:highlight w:val="none"/>
        </w:rPr>
        <w:t>通过</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交易平台递交电子投标文件。</w:t>
      </w:r>
    </w:p>
    <w:p w14:paraId="72838F0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4.2.2</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投标人完成电子投标文件上传后，</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交易平台即时向投标人发出递交回执通知。递交时间以递交回执通知载明的传输完成时间为准。</w:t>
      </w:r>
    </w:p>
    <w:p w14:paraId="57A1472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4.2.3</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逾期送达的电子投标文件，</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交易平台将予以拒收。</w:t>
      </w:r>
    </w:p>
    <w:p w14:paraId="7FD6E6B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 xml:space="preserve">4.2.4 </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投标截止前，招标人拒绝接收符合条件的投标文件，投标人可向招标监督机构投诉</w:t>
      </w:r>
      <w:r>
        <w:rPr>
          <w:rFonts w:hint="default" w:cs="Times New Roman"/>
          <w:color w:val="auto"/>
          <w:sz w:val="24"/>
          <w:szCs w:val="24"/>
          <w:highlight w:val="none"/>
          <w:lang w:eastAsia="zh-CN"/>
        </w:rPr>
        <w:t>。</w:t>
      </w:r>
      <w:bookmarkStart w:id="20" w:name="_bookmark83"/>
      <w:bookmarkEnd w:id="20"/>
    </w:p>
    <w:p w14:paraId="092EF5F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4.3  投标文件的修改与撤回</w:t>
      </w:r>
    </w:p>
    <w:p w14:paraId="3CB08A5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4.3.1  在规定的投标截止时间前， 投标人可以修改或撤回已递交的投标文件， 但应以书面形式通知招标人。</w:t>
      </w:r>
    </w:p>
    <w:p w14:paraId="0AF4536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4.3.2  投标人修改或撤回已递交投标文件</w:t>
      </w:r>
      <w:r>
        <w:rPr>
          <w:rFonts w:hint="default" w:cs="Times New Roman"/>
          <w:color w:val="auto"/>
          <w:sz w:val="24"/>
          <w:szCs w:val="24"/>
          <w:highlight w:val="none"/>
          <w:lang w:val="en-US" w:eastAsia="zh-CN"/>
        </w:rPr>
        <w:t>,</w:t>
      </w:r>
      <w:r>
        <w:rPr>
          <w:rFonts w:hint="default" w:cs="Times New Roman"/>
          <w:color w:val="auto"/>
          <w:sz w:val="24"/>
          <w:szCs w:val="24"/>
          <w:highlight w:val="none"/>
          <w:lang w:eastAsia="zh-CN"/>
        </w:rPr>
        <w:t>需在交易平台发出修改或撤回通知，并按要求加盖电子印章</w:t>
      </w:r>
      <w:r>
        <w:rPr>
          <w:rFonts w:hint="default" w:cs="Times New Roman"/>
          <w:color w:val="auto"/>
          <w:sz w:val="24"/>
          <w:szCs w:val="24"/>
          <w:highlight w:val="none"/>
        </w:rPr>
        <w:t>。电子招标投标交易平台收到通知后，即时向投标人发出确认回执通知。</w:t>
      </w:r>
    </w:p>
    <w:p w14:paraId="0D573A9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 xml:space="preserve">4.3.3 </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lang w:eastAsia="zh-CN"/>
        </w:rPr>
        <w:t>修改后再次递交的，按第</w:t>
      </w:r>
      <w:r>
        <w:rPr>
          <w:rFonts w:hint="default" w:cs="Times New Roman"/>
          <w:color w:val="auto"/>
          <w:sz w:val="24"/>
          <w:szCs w:val="24"/>
          <w:highlight w:val="none"/>
          <w:lang w:val="en-US" w:eastAsia="zh-CN"/>
        </w:rPr>
        <w:t>4.2项的规定执行</w:t>
      </w:r>
      <w:r>
        <w:rPr>
          <w:rFonts w:hint="default" w:cs="Times New Roman"/>
          <w:color w:val="auto"/>
          <w:sz w:val="24"/>
          <w:szCs w:val="24"/>
          <w:highlight w:val="none"/>
        </w:rPr>
        <w:t>。</w:t>
      </w:r>
    </w:p>
    <w:p w14:paraId="37A4EA3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4.3.</w:t>
      </w:r>
      <w:r>
        <w:rPr>
          <w:rFonts w:hint="default" w:cs="Times New Roman"/>
          <w:color w:val="auto"/>
          <w:sz w:val="24"/>
          <w:szCs w:val="24"/>
          <w:highlight w:val="none"/>
          <w:lang w:val="en-US" w:eastAsia="zh-CN"/>
        </w:rPr>
        <w:t>4</w:t>
      </w:r>
      <w:r>
        <w:rPr>
          <w:rFonts w:hint="default" w:cs="Times New Roman"/>
          <w:color w:val="auto"/>
          <w:sz w:val="24"/>
          <w:szCs w:val="24"/>
          <w:highlight w:val="none"/>
        </w:rPr>
        <w:t xml:space="preserve"> </w:t>
      </w:r>
      <w:r>
        <w:rPr>
          <w:rFonts w:hint="default" w:cs="Times New Roman"/>
          <w:color w:val="auto"/>
          <w:sz w:val="24"/>
          <w:szCs w:val="24"/>
          <w:highlight w:val="none"/>
          <w:lang w:eastAsia="zh-CN"/>
        </w:rPr>
        <w:t xml:space="preserve"> 在投标截止时间之后，投标人不得补充、修改和更换投标文件。</w:t>
      </w:r>
    </w:p>
    <w:p w14:paraId="47F20847">
      <w:pPr>
        <w:pStyle w:val="4"/>
        <w:outlineLvl w:val="1"/>
        <w:rPr>
          <w:rFonts w:hint="default" w:cs="宋体"/>
          <w:color w:val="auto"/>
          <w:sz w:val="24"/>
          <w:szCs w:val="24"/>
          <w:highlight w:val="none"/>
        </w:rPr>
      </w:pPr>
      <w:r>
        <w:rPr>
          <w:rFonts w:hint="default" w:cs="宋体"/>
          <w:color w:val="auto"/>
          <w:sz w:val="24"/>
          <w:szCs w:val="24"/>
          <w:highlight w:val="none"/>
        </w:rPr>
        <w:t>5.开标</w:t>
      </w:r>
    </w:p>
    <w:p w14:paraId="77AAF46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5.1 开标时间和地点</w:t>
      </w:r>
    </w:p>
    <w:p w14:paraId="3702E59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val="en-US" w:eastAsia="zh-CN"/>
        </w:rPr>
        <w:t xml:space="preserve">5.1.1  </w:t>
      </w:r>
      <w:r>
        <w:rPr>
          <w:rFonts w:hint="default" w:cs="Times New Roman"/>
          <w:color w:val="auto"/>
          <w:sz w:val="24"/>
          <w:szCs w:val="24"/>
          <w:highlight w:val="none"/>
          <w:lang w:eastAsia="zh-CN"/>
        </w:rPr>
        <w:t>招标人按投标须知前附表规定的时间和地点公开开标。截标后，开标开始时间因故推迟的，相关评标信息仍以原定的开标开始时间的信息为准。</w:t>
      </w:r>
    </w:p>
    <w:p w14:paraId="2E84991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val="en-US" w:eastAsia="zh-CN"/>
        </w:rPr>
        <w:t xml:space="preserve">5.1.2  </w:t>
      </w:r>
      <w:r>
        <w:rPr>
          <w:rFonts w:hint="default" w:cs="Times New Roman"/>
          <w:color w:val="auto"/>
          <w:sz w:val="24"/>
          <w:szCs w:val="24"/>
          <w:highlight w:val="none"/>
          <w:lang w:eastAsia="zh-CN"/>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77812C7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5.2 开标程序</w:t>
      </w:r>
    </w:p>
    <w:p w14:paraId="2EFDE6B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5.2.1   在投标截止时间后</w:t>
      </w:r>
      <w:r>
        <w:rPr>
          <w:rFonts w:hint="default" w:cs="Times New Roman"/>
          <w:color w:val="auto"/>
          <w:sz w:val="24"/>
          <w:szCs w:val="24"/>
          <w:highlight w:val="none"/>
          <w:u w:val="single"/>
          <w:lang w:val="en-US" w:eastAsia="zh-CN"/>
        </w:rPr>
        <w:t>半小时</w:t>
      </w:r>
      <w:r>
        <w:rPr>
          <w:rFonts w:hint="default" w:cs="Times New Roman"/>
          <w:color w:val="auto"/>
          <w:sz w:val="24"/>
          <w:szCs w:val="24"/>
          <w:highlight w:val="none"/>
          <w:lang w:val="en-US" w:eastAsia="zh-CN"/>
        </w:rPr>
        <w:t>内，投标人通过递交投标文件的交易平台对已递交的电子投标文件进行解密。投标人完成解密后，再由招标人进行解密。解密完成后，公布招标项目名称、投标人名称、投标保证金的递交情况、投标报价、拟派总监理工程师及其他内容。未在规定时间内解密的投标文件不参与开标、评标。</w:t>
      </w:r>
    </w:p>
    <w:p w14:paraId="5405B53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5.2.2  按开标记录表规定的内容进行唱标。</w:t>
      </w:r>
    </w:p>
    <w:p w14:paraId="2C275E3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5.2.3  投标人代表、招标人代表、监标人、记录人等有关人员在开标记录上签字确认；若有关人员不签字的，不影响开标程序。</w:t>
      </w:r>
    </w:p>
    <w:p w14:paraId="2A4331F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5.2.4  开标结束。</w:t>
      </w:r>
    </w:p>
    <w:p w14:paraId="5B6F848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18037C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5.2.6  开标时，两个（含两个）以上的投标人加密打包投标文件电脑机器特征码一致的，不参与下一程序，并由评标委员会否决其投标。</w:t>
      </w:r>
    </w:p>
    <w:p w14:paraId="36304DC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5.3 开标异议</w:t>
      </w:r>
    </w:p>
    <w:p w14:paraId="4607918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5.3.1  参加现场开标的投标人对开标结果有异议的，应当在开标现场提出，招标人应当当场作出答复，并制作记录。</w:t>
      </w:r>
    </w:p>
    <w:p w14:paraId="181F195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4EA7C4F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5.3.3  投标人未参加开标或在规定的时间内未提出异议的，视为对开标无异议。</w:t>
      </w:r>
    </w:p>
    <w:p w14:paraId="72942B49">
      <w:pPr>
        <w:pStyle w:val="4"/>
        <w:outlineLvl w:val="1"/>
        <w:rPr>
          <w:rFonts w:hint="eastAsia" w:ascii="Microsoft JhengHei" w:hAnsi="Microsoft JhengHei" w:eastAsia="Microsoft JhengHei"/>
          <w:b w:val="0"/>
          <w:color w:val="auto"/>
          <w:sz w:val="30"/>
          <w:szCs w:val="24"/>
          <w:highlight w:val="none"/>
        </w:rPr>
      </w:pPr>
      <w:bookmarkStart w:id="21" w:name="_Toc27326"/>
      <w:r>
        <w:rPr>
          <w:rFonts w:hint="default" w:cs="宋体"/>
          <w:color w:val="auto"/>
          <w:sz w:val="24"/>
          <w:szCs w:val="24"/>
          <w:highlight w:val="none"/>
        </w:rPr>
        <w:t>6.评标</w:t>
      </w:r>
      <w:bookmarkEnd w:id="21"/>
    </w:p>
    <w:p w14:paraId="2C43F77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6.1 评标委员会</w:t>
      </w:r>
    </w:p>
    <w:p w14:paraId="56745AC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 xml:space="preserve">6.1.1 </w:t>
      </w:r>
      <w:r>
        <w:rPr>
          <w:rFonts w:hint="default" w:cs="宋体"/>
          <w:color w:val="auto"/>
          <w:sz w:val="24"/>
          <w:szCs w:val="24"/>
          <w:highlight w:val="none"/>
        </w:rPr>
        <w:t>评标由招标人依法组建的评标委员会负责。评标委员会由有关技术、经济等方面的专家和招标人代表组成，专家</w:t>
      </w:r>
      <w:r>
        <w:rPr>
          <w:rFonts w:hint="default" w:cs="宋体"/>
          <w:color w:val="auto"/>
          <w:sz w:val="24"/>
          <w:szCs w:val="24"/>
          <w:highlight w:val="none"/>
          <w:lang w:eastAsia="zh-CN"/>
        </w:rPr>
        <w:t>从</w:t>
      </w:r>
      <w:r>
        <w:rPr>
          <w:rFonts w:hint="default" w:cs="宋体"/>
          <w:color w:val="auto"/>
          <w:sz w:val="24"/>
          <w:szCs w:val="24"/>
          <w:highlight w:val="none"/>
          <w:u w:val="single"/>
          <w:lang w:eastAsia="zh-CN"/>
        </w:rPr>
        <w:t>广东省综合评标评审</w:t>
      </w:r>
      <w:r>
        <w:rPr>
          <w:rFonts w:hint="default" w:cs="宋体"/>
          <w:color w:val="auto"/>
          <w:sz w:val="24"/>
          <w:szCs w:val="24"/>
          <w:highlight w:val="none"/>
          <w:u w:val="single"/>
        </w:rPr>
        <w:t>专家库</w:t>
      </w:r>
      <w:r>
        <w:rPr>
          <w:rFonts w:hint="default" w:cs="宋体"/>
          <w:color w:val="auto"/>
          <w:sz w:val="24"/>
          <w:szCs w:val="24"/>
          <w:highlight w:val="none"/>
        </w:rPr>
        <w:t>中抽取。评标委员会成员人数以及技术、经济等方面专家的确定方式见投标人须知前附表</w:t>
      </w:r>
      <w:r>
        <w:rPr>
          <w:rFonts w:hint="default" w:cs="Times New Roman"/>
          <w:color w:val="auto"/>
          <w:sz w:val="24"/>
          <w:szCs w:val="24"/>
          <w:highlight w:val="none"/>
        </w:rPr>
        <w:t>。</w:t>
      </w:r>
    </w:p>
    <w:p w14:paraId="5B42FD5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6.1.2 评标委员会成员有下列情形之一的，应当回避：</w:t>
      </w:r>
    </w:p>
    <w:p w14:paraId="7622DDD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（1）投标人或投标人主要负责人的近亲属；</w:t>
      </w:r>
    </w:p>
    <w:p w14:paraId="4628FD1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（2）项目主管部门或者行政监督部门的人员；</w:t>
      </w:r>
    </w:p>
    <w:p w14:paraId="0ED02271">
      <w:pPr>
        <w:spacing w:line="360" w:lineRule="auto"/>
        <w:ind w:firstLine="480" w:firstLineChars="200"/>
        <w:jc w:val="left"/>
        <w:rPr>
          <w:rFonts w:hint="eastAsia"/>
          <w:color w:val="auto"/>
          <w:sz w:val="24"/>
          <w:highlight w:val="none"/>
        </w:rPr>
      </w:pPr>
      <w:r>
        <w:rPr>
          <w:rFonts w:hint="eastAsia"/>
          <w:color w:val="auto"/>
          <w:sz w:val="24"/>
          <w:highlight w:val="none"/>
        </w:rPr>
        <w:t>（3）招标人或投标人的工作人员、退休或离职未满3年的人员；</w:t>
      </w:r>
    </w:p>
    <w:p w14:paraId="58923AB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4</w:t>
      </w:r>
      <w:r>
        <w:rPr>
          <w:rFonts w:hint="default" w:cs="Times New Roman"/>
          <w:color w:val="auto"/>
          <w:sz w:val="24"/>
          <w:szCs w:val="24"/>
          <w:highlight w:val="none"/>
        </w:rPr>
        <w:t>）与投标人有经济利益关系，可能影响对投标公正评审的；</w:t>
      </w:r>
    </w:p>
    <w:p w14:paraId="7047BE6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5</w:t>
      </w:r>
      <w:r>
        <w:rPr>
          <w:rFonts w:hint="default" w:cs="Times New Roman"/>
          <w:color w:val="auto"/>
          <w:sz w:val="24"/>
          <w:szCs w:val="24"/>
          <w:highlight w:val="none"/>
        </w:rPr>
        <w:t>）曾因在招标、评标以及其他与招标投标有关活动中从事违法行为而受过行政处罚或刑事处罚的；</w:t>
      </w:r>
    </w:p>
    <w:p w14:paraId="3014336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6</w:t>
      </w:r>
      <w:r>
        <w:rPr>
          <w:rFonts w:hint="default" w:cs="Times New Roman"/>
          <w:color w:val="auto"/>
          <w:sz w:val="24"/>
          <w:szCs w:val="24"/>
          <w:highlight w:val="none"/>
        </w:rPr>
        <w:t>）与投标人有其他利害关系。</w:t>
      </w:r>
    </w:p>
    <w:p w14:paraId="2B25E48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22C8E35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6.2 评标原则</w:t>
      </w:r>
    </w:p>
    <w:p w14:paraId="4F76D1E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评标活动遵循公平、公正、科学和择优的原则。</w:t>
      </w:r>
    </w:p>
    <w:p w14:paraId="4A36750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6.3 评标</w:t>
      </w:r>
    </w:p>
    <w:p w14:paraId="43C0159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6.3.1 评标委员会按照第三章“评标办法”规定的方法、评审因素、标准和程序对投标文件进 行评审。第三章“评标办法”没有规定的方法、评审因素和标准，不作为评标依据。</w:t>
      </w:r>
    </w:p>
    <w:p w14:paraId="231730D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6.3.2 评标完成后，评标委员会应当向招标人提交书面评标报告和中标候选人名单。评标委员会推荐中标候选人的人数见投标人须知前附表。</w:t>
      </w:r>
    </w:p>
    <w:p w14:paraId="0AED73CD">
      <w:pPr>
        <w:pStyle w:val="4"/>
        <w:outlineLvl w:val="1"/>
        <w:rPr>
          <w:rFonts w:hint="default" w:cs="宋体"/>
          <w:color w:val="auto"/>
          <w:sz w:val="24"/>
          <w:szCs w:val="24"/>
          <w:highlight w:val="none"/>
        </w:rPr>
      </w:pPr>
      <w:bookmarkStart w:id="22" w:name="_Toc26457"/>
      <w:r>
        <w:rPr>
          <w:rFonts w:hint="default" w:cs="宋体"/>
          <w:color w:val="auto"/>
          <w:sz w:val="24"/>
          <w:szCs w:val="24"/>
          <w:highlight w:val="none"/>
        </w:rPr>
        <w:t>7.合同授予</w:t>
      </w:r>
      <w:bookmarkEnd w:id="22"/>
    </w:p>
    <w:p w14:paraId="5B5C637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7.1 中标候选人公示</w:t>
      </w:r>
    </w:p>
    <w:p w14:paraId="0343DB1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招标人在收到评标报告之日起3日内，按照投标人须知前附表规定的公示媒介和期限公示中标候选人，公示期不得少于3天</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最后一天应为工作日</w:t>
      </w:r>
      <w:r>
        <w:rPr>
          <w:rFonts w:hint="default" w:cs="Times New Roman"/>
          <w:color w:val="auto"/>
          <w:sz w:val="24"/>
          <w:szCs w:val="24"/>
          <w:highlight w:val="none"/>
        </w:rPr>
        <w:t>。</w:t>
      </w:r>
    </w:p>
    <w:p w14:paraId="2C4506C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7.2 评标结果异议</w:t>
      </w:r>
    </w:p>
    <w:p w14:paraId="147C92C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投标人或者其他利害关系人对评标结果有异议的，应当在中标候选人公示期间提出。招标人将在收到异议之日起3日内作出答复；作出答复前，将暂停招标投标活动。</w:t>
      </w:r>
    </w:p>
    <w:p w14:paraId="77AE117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7.3 中标候选人履约能力审查</w:t>
      </w:r>
    </w:p>
    <w:p w14:paraId="2321371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65CF111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7.4 定标</w:t>
      </w:r>
    </w:p>
    <w:p w14:paraId="5BFBD0B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按照投标人须知前附表的规定，招标人或招标人授权的评标委员会依法确定中标人。</w:t>
      </w:r>
    </w:p>
    <w:p w14:paraId="24AC1A4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7.5 中标通知</w:t>
      </w:r>
    </w:p>
    <w:p w14:paraId="34FEB94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7.5.1  在法规规定的时间内，招标人以书面形式向中标人发出中标通知书。在</w:t>
      </w:r>
      <w:r>
        <w:rPr>
          <w:rFonts w:hint="eastAsia" w:cs="Times New Roman"/>
          <w:color w:val="auto"/>
          <w:sz w:val="24"/>
          <w:szCs w:val="24"/>
          <w:highlight w:val="none"/>
          <w:lang w:val="en-US" w:eastAsia="zh-CN"/>
        </w:rPr>
        <w:t>广州交易集团有限公司（广州公共资源交易中心）</w:t>
      </w:r>
      <w:r>
        <w:rPr>
          <w:rFonts w:hint="default" w:cs="Times New Roman"/>
          <w:color w:val="auto"/>
          <w:sz w:val="24"/>
          <w:szCs w:val="24"/>
          <w:highlight w:val="none"/>
          <w:lang w:val="en-US" w:eastAsia="zh-CN"/>
        </w:rPr>
        <w:t>网和广东省招标投标监管网发布中标信息，视同将中标结果通知未中标的投标人。</w:t>
      </w:r>
    </w:p>
    <w:p w14:paraId="5469104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7.5.2  中标通知书发出前，中标人应未被纳入失信联合惩戒名单，否则招标人将取消其中标资格。失信联合惩戒名单以“信用广州”网站公布的“</w:t>
      </w:r>
      <w:r>
        <w:rPr>
          <w:rFonts w:hint="eastAsia" w:cs="Times New Roman"/>
          <w:color w:val="auto"/>
          <w:sz w:val="24"/>
          <w:szCs w:val="24"/>
          <w:highlight w:val="none"/>
          <w:lang w:val="en-US" w:eastAsia="zh-CN"/>
        </w:rPr>
        <w:t>黑名单</w:t>
      </w:r>
      <w:r>
        <w:rPr>
          <w:rFonts w:hint="default" w:cs="Times New Roman"/>
          <w:color w:val="auto"/>
          <w:sz w:val="24"/>
          <w:szCs w:val="24"/>
          <w:highlight w:val="none"/>
          <w:lang w:val="en-US" w:eastAsia="zh-CN"/>
        </w:rPr>
        <w:t>”为准。</w:t>
      </w:r>
    </w:p>
    <w:p w14:paraId="72A3A6F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7.6 履约保证金</w:t>
      </w:r>
    </w:p>
    <w:p w14:paraId="60F1115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color w:val="auto"/>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r>
        <w:rPr>
          <w:rFonts w:hint="default" w:cs="Times New Roman"/>
          <w:strike/>
          <w:color w:val="auto"/>
          <w:sz w:val="24"/>
          <w:szCs w:val="24"/>
          <w:highlight w:val="none"/>
        </w:rPr>
        <w:t>联合体中标的，其履约保证金以联合体各方或者联合体中</w:t>
      </w:r>
      <w:r>
        <w:rPr>
          <w:rFonts w:hint="default"/>
          <w:strike/>
          <w:color w:val="auto"/>
          <w:spacing w:val="-2"/>
          <w:sz w:val="24"/>
          <w:szCs w:val="24"/>
          <w:highlight w:val="none"/>
          <w:lang w:eastAsia="zh-CN"/>
        </w:rPr>
        <w:t>主办方</w:t>
      </w:r>
      <w:r>
        <w:rPr>
          <w:rFonts w:hint="default" w:cs="Times New Roman"/>
          <w:strike/>
          <w:color w:val="auto"/>
          <w:sz w:val="24"/>
          <w:szCs w:val="24"/>
          <w:highlight w:val="none"/>
        </w:rPr>
        <w:t>的名义提交。</w:t>
      </w:r>
    </w:p>
    <w:p w14:paraId="2638526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7.6.2 中标人不能按本章第 7.6.1 项要求提交履约保证金的，视为放弃中标，</w:t>
      </w:r>
      <w:r>
        <w:rPr>
          <w:rFonts w:hint="default" w:cs="Times New Roman"/>
          <w:strike/>
          <w:color w:val="auto"/>
          <w:sz w:val="24"/>
          <w:szCs w:val="24"/>
          <w:highlight w:val="none"/>
        </w:rPr>
        <w:t>其投标保证金不予退还，</w:t>
      </w:r>
      <w:r>
        <w:rPr>
          <w:rFonts w:hint="default" w:cs="Times New Roman"/>
          <w:color w:val="auto"/>
          <w:sz w:val="24"/>
          <w:szCs w:val="24"/>
          <w:highlight w:val="none"/>
        </w:rPr>
        <w:t>给招标人造成的损失超过投标保证金数额的，中标人还应当对</w:t>
      </w:r>
      <w:r>
        <w:rPr>
          <w:rFonts w:hint="eastAsia" w:cs="Times New Roman"/>
          <w:color w:val="auto"/>
          <w:sz w:val="24"/>
          <w:szCs w:val="24"/>
          <w:highlight w:val="none"/>
          <w:lang w:eastAsia="zh-CN"/>
        </w:rPr>
        <w:t>造成损失部分</w:t>
      </w:r>
      <w:r>
        <w:rPr>
          <w:rFonts w:hint="default" w:cs="Times New Roman"/>
          <w:color w:val="auto"/>
          <w:sz w:val="24"/>
          <w:szCs w:val="24"/>
          <w:highlight w:val="none"/>
        </w:rPr>
        <w:t>予以赔偿。</w:t>
      </w:r>
    </w:p>
    <w:p w14:paraId="730AAD21">
      <w:pPr>
        <w:pStyle w:val="11"/>
        <w:kinsoku w:val="0"/>
        <w:overflowPunct w:val="0"/>
        <w:spacing w:before="13"/>
        <w:ind w:left="0"/>
        <w:rPr>
          <w:rFonts w:hint="default"/>
          <w:color w:val="auto"/>
          <w:sz w:val="13"/>
          <w:szCs w:val="24"/>
          <w:highlight w:val="none"/>
        </w:rPr>
      </w:pPr>
    </w:p>
    <w:p w14:paraId="5FD9177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7.7 签订合同</w:t>
      </w:r>
    </w:p>
    <w:p w14:paraId="48F2F10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7.7.1 招标人和中标人应当在中标通知书发出之日起30日内，根据招标文件和中标人的投标文件订立书面合同</w:t>
      </w:r>
      <w:r>
        <w:rPr>
          <w:rFonts w:hint="eastAsia"/>
          <w:color w:val="auto"/>
          <w:sz w:val="24"/>
          <w:highlight w:val="none"/>
          <w:lang w:eastAsia="zh-CN"/>
        </w:rPr>
        <w:t>，并通过电子交易系统与中标人在线签订合同</w:t>
      </w:r>
      <w:r>
        <w:rPr>
          <w:rFonts w:hint="default" w:cs="Times New Roman"/>
          <w:color w:val="auto"/>
          <w:sz w:val="24"/>
          <w:szCs w:val="24"/>
          <w:highlight w:val="none"/>
        </w:rPr>
        <w:t>。中标人无正当理由拒签合同，在签订合同时向招标人提出附加条件，或者不按照招标文件要求提交履约保证金的，招标人有权取消其中标资格，</w:t>
      </w:r>
      <w:r>
        <w:rPr>
          <w:rFonts w:hint="default" w:cs="Times New Roman"/>
          <w:strike/>
          <w:color w:val="auto"/>
          <w:sz w:val="24"/>
          <w:szCs w:val="24"/>
          <w:highlight w:val="none"/>
        </w:rPr>
        <w:t>其投标保证金不予退还；</w:t>
      </w:r>
      <w:r>
        <w:rPr>
          <w:rFonts w:hint="default" w:cs="Times New Roman"/>
          <w:color w:val="auto"/>
          <w:sz w:val="24"/>
          <w:szCs w:val="24"/>
          <w:highlight w:val="none"/>
        </w:rPr>
        <w:t>给招标人造成</w:t>
      </w:r>
      <w:r>
        <w:rPr>
          <w:rFonts w:hint="default" w:cs="Times New Roman"/>
          <w:strike/>
          <w:color w:val="auto"/>
          <w:sz w:val="24"/>
          <w:szCs w:val="24"/>
          <w:highlight w:val="none"/>
        </w:rPr>
        <w:t>的</w:t>
      </w:r>
      <w:r>
        <w:rPr>
          <w:rFonts w:hint="default" w:cs="Times New Roman"/>
          <w:color w:val="auto"/>
          <w:sz w:val="24"/>
          <w:szCs w:val="24"/>
          <w:highlight w:val="none"/>
        </w:rPr>
        <w:t>损失</w:t>
      </w:r>
      <w:r>
        <w:rPr>
          <w:rFonts w:hint="default" w:cs="Times New Roman"/>
          <w:strike/>
          <w:color w:val="auto"/>
          <w:sz w:val="24"/>
          <w:szCs w:val="24"/>
          <w:highlight w:val="none"/>
        </w:rPr>
        <w:t>超过投标保证金数额</w:t>
      </w:r>
      <w:r>
        <w:rPr>
          <w:rFonts w:hint="default" w:cs="Times New Roman"/>
          <w:color w:val="auto"/>
          <w:sz w:val="24"/>
          <w:szCs w:val="24"/>
          <w:highlight w:val="none"/>
        </w:rPr>
        <w:t>的，</w:t>
      </w:r>
      <w:r>
        <w:rPr>
          <w:rFonts w:hint="default" w:ascii="宋体" w:hAnsi="宋体" w:eastAsia="宋体"/>
          <w:color w:val="auto"/>
          <w:sz w:val="24"/>
          <w:szCs w:val="24"/>
          <w:highlight w:val="none"/>
        </w:rPr>
        <w:t>中标人还应当对</w:t>
      </w:r>
      <w:r>
        <w:rPr>
          <w:rFonts w:hint="eastAsia" w:ascii="宋体" w:hAnsi="宋体" w:eastAsia="宋体"/>
          <w:color w:val="auto"/>
          <w:sz w:val="24"/>
          <w:szCs w:val="24"/>
          <w:highlight w:val="none"/>
          <w:lang w:eastAsia="zh-CN"/>
        </w:rPr>
        <w:t>造成损失</w:t>
      </w:r>
      <w:r>
        <w:rPr>
          <w:rFonts w:hint="default" w:ascii="宋体" w:hAnsi="宋体" w:eastAsia="宋体"/>
          <w:color w:val="auto"/>
          <w:sz w:val="24"/>
          <w:szCs w:val="24"/>
          <w:highlight w:val="none"/>
        </w:rPr>
        <w:t>部分予以赔偿</w:t>
      </w:r>
      <w:r>
        <w:rPr>
          <w:rFonts w:hint="default" w:cs="Times New Roman"/>
          <w:color w:val="auto"/>
          <w:sz w:val="24"/>
          <w:szCs w:val="24"/>
          <w:highlight w:val="none"/>
        </w:rPr>
        <w:t>。</w:t>
      </w:r>
    </w:p>
    <w:p w14:paraId="7D94C45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7.7.2 发出中标通知书后，招标人无正当理由拒签合同，或者在签订合同时向中标人提出附加条件的，</w:t>
      </w:r>
      <w:r>
        <w:rPr>
          <w:rFonts w:hint="default" w:cs="Times New Roman"/>
          <w:strike/>
          <w:color w:val="auto"/>
          <w:sz w:val="24"/>
          <w:szCs w:val="24"/>
          <w:highlight w:val="none"/>
        </w:rPr>
        <w:t>招标人向中标人退还投标保证金；</w:t>
      </w:r>
      <w:r>
        <w:rPr>
          <w:rFonts w:hint="default" w:cs="Times New Roman"/>
          <w:color w:val="auto"/>
          <w:sz w:val="24"/>
          <w:szCs w:val="24"/>
          <w:highlight w:val="none"/>
        </w:rPr>
        <w:t>给中标人造成损失的，还应当赔偿损失。</w:t>
      </w:r>
    </w:p>
    <w:p w14:paraId="58FB161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7.7.3 联合体中标的，联合体各方应当共同与招标人签订合同，就中标项目向招标人承担连带责任。</w:t>
      </w:r>
    </w:p>
    <w:p w14:paraId="3E095FF3">
      <w:pPr>
        <w:pStyle w:val="4"/>
        <w:outlineLvl w:val="1"/>
        <w:rPr>
          <w:rFonts w:hint="eastAsia" w:ascii="Microsoft JhengHei" w:hAnsi="Microsoft JhengHei" w:eastAsia="Microsoft JhengHei"/>
          <w:b w:val="0"/>
          <w:color w:val="auto"/>
          <w:sz w:val="30"/>
          <w:szCs w:val="24"/>
          <w:highlight w:val="none"/>
        </w:rPr>
      </w:pPr>
      <w:bookmarkStart w:id="23" w:name="_Toc5503"/>
      <w:r>
        <w:rPr>
          <w:rFonts w:hint="default" w:cs="宋体"/>
          <w:color w:val="auto"/>
          <w:sz w:val="24"/>
          <w:szCs w:val="24"/>
          <w:highlight w:val="none"/>
        </w:rPr>
        <w:t>8.纪律和监督</w:t>
      </w:r>
      <w:bookmarkEnd w:id="23"/>
    </w:p>
    <w:p w14:paraId="75D3B5B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8.1 对招标人的纪律要求</w:t>
      </w:r>
    </w:p>
    <w:p w14:paraId="5C80D8B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招标人不得泄露招标投标活动中应当保密的情况和资料，不得与投标人串通损害国家利益、社会公共利益或者他人合法权益。</w:t>
      </w:r>
    </w:p>
    <w:p w14:paraId="7F2D3AF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8.2 对投标人的纪律要求</w:t>
      </w:r>
    </w:p>
    <w:p w14:paraId="0A93417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63D4E0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8.3 对评标委员会成员的纪律要求</w:t>
      </w:r>
    </w:p>
    <w:p w14:paraId="54D75E0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46ED3B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8.4 对与评标活动有关的工作人员的纪律要求</w:t>
      </w:r>
    </w:p>
    <w:p w14:paraId="101776B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3EF5AB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8.5 投诉</w:t>
      </w:r>
    </w:p>
    <w:p w14:paraId="498857E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5F2D858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8.5.2  投标人或者其他利害关系人对招标文件、开标和评标结果提出投诉的，应当按照投标人须知第2.4款、第5.3款和第7.2款的规定先向招标人提出异议。异议答复期间不计算在第8.5.1项规定的期限内。</w:t>
      </w:r>
    </w:p>
    <w:p w14:paraId="471F44CA">
      <w:pPr>
        <w:pStyle w:val="4"/>
        <w:outlineLvl w:val="1"/>
        <w:rPr>
          <w:rFonts w:hint="eastAsia" w:ascii="Microsoft JhengHei" w:hAnsi="Microsoft JhengHei" w:eastAsia="Microsoft JhengHei"/>
          <w:b w:val="0"/>
          <w:color w:val="auto"/>
          <w:sz w:val="19"/>
          <w:szCs w:val="24"/>
          <w:highlight w:val="none"/>
        </w:rPr>
      </w:pPr>
      <w:bookmarkStart w:id="24" w:name="_Toc31836"/>
      <w:r>
        <w:rPr>
          <w:rFonts w:hint="default" w:cs="宋体"/>
          <w:color w:val="auto"/>
          <w:sz w:val="24"/>
          <w:szCs w:val="24"/>
          <w:highlight w:val="none"/>
        </w:rPr>
        <w:t>9.采用电子招标投标</w:t>
      </w:r>
      <w:bookmarkEnd w:id="24"/>
    </w:p>
    <w:p w14:paraId="11828C9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48" w:firstLineChars="200"/>
        <w:jc w:val="both"/>
        <w:rPr>
          <w:rFonts w:hint="default" w:cs="宋体"/>
          <w:color w:val="auto"/>
          <w:sz w:val="24"/>
          <w:szCs w:val="24"/>
          <w:highlight w:val="none"/>
        </w:rPr>
      </w:pPr>
      <w:r>
        <w:rPr>
          <w:rFonts w:hint="eastAsia" w:ascii="Times New Roman" w:hAnsi="Times New Roman" w:eastAsia="Times New Roman" w:cs="Times New Roman"/>
          <w:color w:val="auto"/>
          <w:spacing w:val="-8"/>
          <w:sz w:val="24"/>
          <w:szCs w:val="24"/>
          <w:highlight w:val="none"/>
        </w:rPr>
        <w:t>本招标项目采用电子招标投标方式，</w:t>
      </w:r>
      <w:r>
        <w:rPr>
          <w:rFonts w:hint="eastAsia" w:ascii="Times New Roman" w:hAnsi="Times New Roman" w:eastAsia="Times New Roman" w:cs="Times New Roman"/>
          <w:color w:val="auto"/>
          <w:spacing w:val="-8"/>
          <w:sz w:val="24"/>
          <w:szCs w:val="24"/>
          <w:highlight w:val="none"/>
          <w:lang w:eastAsia="zh-CN"/>
        </w:rPr>
        <w:t>按照</w:t>
      </w:r>
      <w:r>
        <w:rPr>
          <w:rFonts w:hint="eastAsia" w:ascii="Times New Roman" w:hAnsi="Times New Roman" w:eastAsia="宋体" w:cs="Times New Roman"/>
          <w:color w:val="auto"/>
          <w:spacing w:val="-8"/>
          <w:sz w:val="24"/>
          <w:szCs w:val="24"/>
          <w:highlight w:val="none"/>
          <w:lang w:eastAsia="zh-CN"/>
        </w:rPr>
        <w:t>广州交易集团有限公司（广州公共资源交易中心）</w:t>
      </w:r>
      <w:r>
        <w:rPr>
          <w:rFonts w:hint="eastAsia" w:ascii="Times New Roman" w:hAnsi="Times New Roman" w:eastAsia="Times New Roman" w:cs="Times New Roman"/>
          <w:color w:val="auto"/>
          <w:spacing w:val="-8"/>
          <w:sz w:val="24"/>
          <w:szCs w:val="24"/>
          <w:highlight w:val="none"/>
          <w:lang w:eastAsia="zh-CN"/>
        </w:rPr>
        <w:t>网站关于全流程电子化项目的相关指南进行操作</w:t>
      </w:r>
      <w:r>
        <w:rPr>
          <w:rFonts w:hint="default" w:cs="宋体"/>
          <w:color w:val="auto"/>
          <w:sz w:val="24"/>
          <w:szCs w:val="24"/>
          <w:highlight w:val="none"/>
        </w:rPr>
        <w:t>。</w:t>
      </w:r>
    </w:p>
    <w:p w14:paraId="6517497D">
      <w:pPr>
        <w:pStyle w:val="4"/>
        <w:outlineLvl w:val="1"/>
        <w:rPr>
          <w:rFonts w:hint="eastAsia" w:ascii="Microsoft JhengHei" w:hAnsi="Microsoft JhengHei" w:eastAsia="Microsoft JhengHei"/>
          <w:b w:val="0"/>
          <w:color w:val="auto"/>
          <w:sz w:val="19"/>
          <w:szCs w:val="24"/>
          <w:highlight w:val="none"/>
        </w:rPr>
      </w:pPr>
      <w:bookmarkStart w:id="25" w:name="_Toc7238"/>
      <w:r>
        <w:rPr>
          <w:rFonts w:hint="default" w:cs="宋体"/>
          <w:color w:val="auto"/>
          <w:sz w:val="24"/>
          <w:szCs w:val="24"/>
          <w:highlight w:val="none"/>
        </w:rPr>
        <w:t>10.需要补充的其他内容</w:t>
      </w:r>
      <w:bookmarkEnd w:id="25"/>
    </w:p>
    <w:p w14:paraId="2591DC6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宋体"/>
          <w:color w:val="auto"/>
          <w:sz w:val="24"/>
          <w:szCs w:val="24"/>
          <w:highlight w:val="none"/>
        </w:rPr>
      </w:pPr>
      <w:r>
        <w:rPr>
          <w:rFonts w:hint="default" w:cs="宋体"/>
          <w:color w:val="auto"/>
          <w:sz w:val="24"/>
          <w:szCs w:val="24"/>
          <w:highlight w:val="none"/>
        </w:rPr>
        <w:t>需要补充的其他内容：见投标人须知前附表。</w:t>
      </w:r>
    </w:p>
    <w:p w14:paraId="48AD2D75">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sectPr>
          <w:pgSz w:w="11905" w:h="16838"/>
          <w:pgMar w:top="1417" w:right="1417" w:bottom="1417" w:left="1417" w:header="992" w:footer="992" w:gutter="0"/>
          <w:lnNumType w:countBy="0" w:distance="360"/>
          <w:cols w:space="720" w:num="1"/>
        </w:sectPr>
      </w:pPr>
    </w:p>
    <w:p w14:paraId="7BC30088">
      <w:pPr>
        <w:pStyle w:val="5"/>
        <w:outlineLvl w:val="0"/>
        <w:rPr>
          <w:rFonts w:hint="default"/>
          <w:color w:val="auto"/>
          <w:sz w:val="28"/>
          <w:szCs w:val="24"/>
          <w:highlight w:val="none"/>
        </w:rPr>
      </w:pPr>
      <w:bookmarkStart w:id="26" w:name="_Toc7952"/>
      <w:bookmarkStart w:id="27" w:name="_Toc5057"/>
      <w:bookmarkStart w:id="28" w:name="_Toc1460"/>
      <w:r>
        <w:rPr>
          <w:rFonts w:hint="default"/>
          <w:color w:val="auto"/>
          <w:sz w:val="28"/>
          <w:szCs w:val="24"/>
          <w:highlight w:val="none"/>
        </w:rPr>
        <w:t>附件</w:t>
      </w:r>
      <w:r>
        <w:rPr>
          <w:rFonts w:hint="default"/>
          <w:color w:val="auto"/>
          <w:sz w:val="28"/>
          <w:szCs w:val="24"/>
          <w:highlight w:val="none"/>
          <w:lang w:eastAsia="zh-CN"/>
        </w:rPr>
        <w:t>一</w:t>
      </w:r>
      <w:r>
        <w:rPr>
          <w:rFonts w:hint="default"/>
          <w:color w:val="auto"/>
          <w:sz w:val="28"/>
          <w:szCs w:val="24"/>
          <w:highlight w:val="none"/>
        </w:rPr>
        <w:t>：问题澄清通知</w:t>
      </w:r>
      <w:bookmarkEnd w:id="26"/>
      <w:bookmarkEnd w:id="27"/>
      <w:bookmarkEnd w:id="28"/>
    </w:p>
    <w:p w14:paraId="601DAB09">
      <w:pPr>
        <w:pStyle w:val="11"/>
        <w:kinsoku w:val="0"/>
        <w:overflowPunct w:val="0"/>
        <w:ind w:left="0"/>
        <w:rPr>
          <w:rFonts w:hint="default"/>
          <w:color w:val="auto"/>
          <w:sz w:val="20"/>
          <w:szCs w:val="24"/>
          <w:highlight w:val="none"/>
        </w:rPr>
      </w:pPr>
    </w:p>
    <w:p w14:paraId="5F3C9319">
      <w:pPr>
        <w:pStyle w:val="11"/>
        <w:kinsoku w:val="0"/>
        <w:overflowPunct w:val="0"/>
        <w:ind w:left="0"/>
        <w:rPr>
          <w:rFonts w:hint="default"/>
          <w:color w:val="auto"/>
          <w:sz w:val="20"/>
          <w:szCs w:val="24"/>
          <w:highlight w:val="none"/>
        </w:rPr>
      </w:pPr>
    </w:p>
    <w:p w14:paraId="41100580">
      <w:pPr>
        <w:pStyle w:val="11"/>
        <w:kinsoku w:val="0"/>
        <w:overflowPunct w:val="0"/>
        <w:ind w:left="0"/>
        <w:rPr>
          <w:rFonts w:hint="default"/>
          <w:color w:val="auto"/>
          <w:sz w:val="20"/>
          <w:szCs w:val="24"/>
          <w:highlight w:val="none"/>
        </w:rPr>
      </w:pPr>
    </w:p>
    <w:p w14:paraId="3758905A">
      <w:pPr>
        <w:pStyle w:val="11"/>
        <w:kinsoku w:val="0"/>
        <w:overflowPunct w:val="0"/>
        <w:spacing w:before="4"/>
        <w:ind w:left="0"/>
        <w:rPr>
          <w:rFonts w:hint="default"/>
          <w:color w:val="auto"/>
          <w:sz w:val="17"/>
          <w:szCs w:val="24"/>
          <w:highlight w:val="none"/>
        </w:rPr>
      </w:pPr>
    </w:p>
    <w:p w14:paraId="4FCDF716">
      <w:pPr>
        <w:pStyle w:val="11"/>
        <w:kinsoku w:val="0"/>
        <w:overflowPunct w:val="0"/>
        <w:spacing w:before="14"/>
        <w:ind w:left="0" w:right="13"/>
        <w:jc w:val="center"/>
        <w:rPr>
          <w:rFonts w:hint="default"/>
          <w:color w:val="auto"/>
          <w:sz w:val="28"/>
          <w:szCs w:val="24"/>
          <w:highlight w:val="none"/>
        </w:rPr>
      </w:pPr>
      <w:r>
        <w:rPr>
          <w:rFonts w:hint="default"/>
          <w:color w:val="auto"/>
          <w:sz w:val="28"/>
          <w:szCs w:val="24"/>
          <w:highlight w:val="none"/>
        </w:rPr>
        <w:t>问题澄清通知</w:t>
      </w:r>
    </w:p>
    <w:p w14:paraId="103D3C5F">
      <w:pPr>
        <w:pStyle w:val="11"/>
        <w:tabs>
          <w:tab w:val="left" w:pos="2937"/>
        </w:tabs>
        <w:kinsoku w:val="0"/>
        <w:overflowPunct w:val="0"/>
        <w:spacing w:before="157"/>
        <w:ind w:left="0" w:right="20"/>
        <w:jc w:val="center"/>
        <w:rPr>
          <w:rFonts w:hint="default"/>
          <w:color w:val="auto"/>
          <w:sz w:val="21"/>
          <w:szCs w:val="24"/>
          <w:highlight w:val="none"/>
        </w:rPr>
      </w:pPr>
      <w:r>
        <w:rPr>
          <w:rFonts w:hint="default"/>
          <w:color w:val="auto"/>
          <w:spacing w:val="-1"/>
          <w:sz w:val="21"/>
          <w:szCs w:val="24"/>
          <w:highlight w:val="none"/>
        </w:rPr>
        <w:t>（编号：</w:t>
      </w:r>
      <w:r>
        <w:rPr>
          <w:rFonts w:hint="eastAsia" w:ascii="Times New Roman" w:hAnsi="Times New Roman" w:eastAsia="Times New Roman"/>
          <w:color w:val="auto"/>
          <w:spacing w:val="-1"/>
          <w:sz w:val="21"/>
          <w:szCs w:val="24"/>
          <w:highlight w:val="none"/>
          <w:u w:val="single"/>
        </w:rPr>
        <w:tab/>
      </w:r>
      <w:r>
        <w:rPr>
          <w:rFonts w:hint="default"/>
          <w:color w:val="auto"/>
          <w:sz w:val="21"/>
          <w:szCs w:val="24"/>
          <w:highlight w:val="none"/>
        </w:rPr>
        <w:t>）</w:t>
      </w:r>
    </w:p>
    <w:p w14:paraId="358545FC">
      <w:pPr>
        <w:pStyle w:val="11"/>
        <w:kinsoku w:val="0"/>
        <w:overflowPunct w:val="0"/>
        <w:ind w:left="0"/>
        <w:rPr>
          <w:rFonts w:hint="default"/>
          <w:color w:val="auto"/>
          <w:sz w:val="20"/>
          <w:szCs w:val="24"/>
          <w:highlight w:val="none"/>
        </w:rPr>
      </w:pPr>
    </w:p>
    <w:p w14:paraId="4988DD07">
      <w:pPr>
        <w:pStyle w:val="11"/>
        <w:kinsoku w:val="0"/>
        <w:overflowPunct w:val="0"/>
        <w:spacing w:before="5"/>
        <w:ind w:left="0"/>
        <w:rPr>
          <w:rFonts w:hint="default"/>
          <w:color w:val="auto"/>
          <w:sz w:val="23"/>
          <w:szCs w:val="24"/>
          <w:highlight w:val="none"/>
        </w:rPr>
      </w:pPr>
    </w:p>
    <w:p w14:paraId="3F9FC7A7">
      <w:pPr>
        <w:pStyle w:val="11"/>
        <w:tabs>
          <w:tab w:val="left" w:pos="2305"/>
        </w:tabs>
        <w:kinsoku w:val="0"/>
        <w:overflowPunct w:val="0"/>
        <w:spacing w:before="36"/>
        <w:ind w:left="100" w:right="113"/>
        <w:rPr>
          <w:rFonts w:hint="default"/>
          <w:color w:val="auto"/>
          <w:spacing w:val="-15"/>
          <w:sz w:val="21"/>
          <w:szCs w:val="24"/>
          <w:highlight w:val="none"/>
        </w:r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pacing w:val="-15"/>
          <w:sz w:val="21"/>
          <w:szCs w:val="24"/>
          <w:highlight w:val="none"/>
        </w:rPr>
        <w:t>（投标人名称）：</w:t>
      </w:r>
    </w:p>
    <w:p w14:paraId="7001ABD4">
      <w:pPr>
        <w:pStyle w:val="11"/>
        <w:kinsoku w:val="0"/>
        <w:overflowPunct w:val="0"/>
        <w:ind w:left="0"/>
        <w:rPr>
          <w:rFonts w:hint="default"/>
          <w:color w:val="auto"/>
          <w:sz w:val="20"/>
          <w:szCs w:val="24"/>
          <w:highlight w:val="none"/>
        </w:rPr>
      </w:pPr>
    </w:p>
    <w:p w14:paraId="4F23FE0E">
      <w:pPr>
        <w:pStyle w:val="11"/>
        <w:kinsoku w:val="0"/>
        <w:overflowPunct w:val="0"/>
        <w:spacing w:before="8"/>
        <w:ind w:left="0"/>
        <w:rPr>
          <w:rFonts w:hint="default"/>
          <w:color w:val="auto"/>
          <w:sz w:val="23"/>
          <w:szCs w:val="24"/>
          <w:highlight w:val="none"/>
        </w:rPr>
      </w:pPr>
    </w:p>
    <w:p w14:paraId="4FAEBAEB">
      <w:pPr>
        <w:pStyle w:val="11"/>
        <w:kinsoku w:val="0"/>
        <w:overflowPunct w:val="0"/>
        <w:spacing w:before="36" w:line="384" w:lineRule="auto"/>
        <w:ind w:left="100" w:right="113" w:firstLine="422"/>
        <w:rPr>
          <w:rFonts w:hint="default"/>
          <w:color w:val="auto"/>
          <w:sz w:val="21"/>
          <w:szCs w:val="24"/>
          <w:highlight w:val="none"/>
        </w:rPr>
      </w:pPr>
      <w:r>
        <w:rPr>
          <w:rFonts w:hint="default"/>
          <w:color w:val="auto"/>
          <w:spacing w:val="-1"/>
          <w:sz w:val="21"/>
          <w:szCs w:val="24"/>
          <w:highlight w:val="none"/>
        </w:rPr>
        <w:t>评标委员会对你方的投标文件进行了仔细的审查，现需你方对下列问题以书面形式予以澄</w:t>
      </w:r>
      <w:r>
        <w:rPr>
          <w:rFonts w:hint="default"/>
          <w:color w:val="auto"/>
          <w:sz w:val="21"/>
          <w:szCs w:val="24"/>
          <w:highlight w:val="none"/>
        </w:rPr>
        <w:t xml:space="preserve"> 清、说明或补正：</w:t>
      </w:r>
    </w:p>
    <w:p w14:paraId="29AD859F">
      <w:pPr>
        <w:pStyle w:val="11"/>
        <w:kinsoku w:val="0"/>
        <w:overflowPunct w:val="0"/>
        <w:ind w:left="0"/>
        <w:rPr>
          <w:rFonts w:hint="default"/>
          <w:color w:val="auto"/>
          <w:sz w:val="20"/>
          <w:szCs w:val="24"/>
          <w:highlight w:val="none"/>
        </w:rPr>
      </w:pPr>
    </w:p>
    <w:p w14:paraId="53DE1371">
      <w:pPr>
        <w:pStyle w:val="11"/>
        <w:kinsoku w:val="0"/>
        <w:overflowPunct w:val="0"/>
        <w:spacing w:before="6"/>
        <w:ind w:left="0"/>
        <w:rPr>
          <w:rFonts w:hint="default"/>
          <w:color w:val="auto"/>
          <w:sz w:val="20"/>
          <w:szCs w:val="24"/>
          <w:highlight w:val="none"/>
        </w:rPr>
      </w:pPr>
    </w:p>
    <w:p w14:paraId="6420A041">
      <w:pPr>
        <w:pStyle w:val="11"/>
        <w:kinsoku w:val="0"/>
        <w:overflowPunct w:val="0"/>
        <w:ind w:left="522" w:right="113"/>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1.</w:t>
      </w:r>
    </w:p>
    <w:p w14:paraId="50F8FEA0">
      <w:pPr>
        <w:pStyle w:val="11"/>
        <w:kinsoku w:val="0"/>
        <w:overflowPunct w:val="0"/>
        <w:spacing w:before="2"/>
        <w:ind w:left="0"/>
        <w:rPr>
          <w:rFonts w:hint="eastAsia" w:ascii="Times New Roman" w:hAnsi="Times New Roman" w:eastAsia="Times New Roman"/>
          <w:color w:val="auto"/>
          <w:sz w:val="17"/>
          <w:szCs w:val="24"/>
          <w:highlight w:val="none"/>
        </w:rPr>
      </w:pPr>
    </w:p>
    <w:p w14:paraId="5DB5ED6C">
      <w:pPr>
        <w:pStyle w:val="11"/>
        <w:kinsoku w:val="0"/>
        <w:overflowPunct w:val="0"/>
        <w:ind w:left="522" w:right="113"/>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2.</w:t>
      </w:r>
    </w:p>
    <w:p w14:paraId="3D9F3021">
      <w:pPr>
        <w:pStyle w:val="11"/>
        <w:kinsoku w:val="0"/>
        <w:overflowPunct w:val="0"/>
        <w:spacing w:before="5"/>
        <w:ind w:left="0"/>
        <w:rPr>
          <w:rFonts w:hint="eastAsia" w:ascii="Times New Roman" w:hAnsi="Times New Roman" w:eastAsia="Times New Roman"/>
          <w:color w:val="auto"/>
          <w:sz w:val="17"/>
          <w:szCs w:val="24"/>
          <w:highlight w:val="none"/>
        </w:rPr>
      </w:pPr>
    </w:p>
    <w:p w14:paraId="329F6CFA">
      <w:pPr>
        <w:pStyle w:val="11"/>
        <w:kinsoku w:val="0"/>
        <w:overflowPunct w:val="0"/>
        <w:ind w:left="628" w:right="113"/>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w:t>
      </w:r>
    </w:p>
    <w:p w14:paraId="68C9A71D">
      <w:pPr>
        <w:pStyle w:val="11"/>
        <w:kinsoku w:val="0"/>
        <w:overflowPunct w:val="0"/>
        <w:ind w:left="0"/>
        <w:rPr>
          <w:rFonts w:hint="eastAsia" w:ascii="Times New Roman" w:hAnsi="Times New Roman" w:eastAsia="Times New Roman"/>
          <w:color w:val="auto"/>
          <w:sz w:val="20"/>
          <w:szCs w:val="24"/>
          <w:highlight w:val="none"/>
        </w:rPr>
      </w:pPr>
    </w:p>
    <w:p w14:paraId="5B0EA18F">
      <w:pPr>
        <w:pStyle w:val="11"/>
        <w:kinsoku w:val="0"/>
        <w:overflowPunct w:val="0"/>
        <w:ind w:left="0"/>
        <w:rPr>
          <w:rFonts w:hint="eastAsia" w:ascii="Times New Roman" w:hAnsi="Times New Roman" w:eastAsia="Times New Roman"/>
          <w:color w:val="auto"/>
          <w:sz w:val="20"/>
          <w:szCs w:val="24"/>
          <w:highlight w:val="none"/>
        </w:rPr>
      </w:pPr>
    </w:p>
    <w:p w14:paraId="1765B5C1">
      <w:pPr>
        <w:pStyle w:val="11"/>
        <w:tabs>
          <w:tab w:val="left" w:pos="4603"/>
          <w:tab w:val="left" w:pos="5549"/>
          <w:tab w:val="left" w:pos="6494"/>
          <w:tab w:val="left" w:pos="7438"/>
        </w:tabs>
        <w:kinsoku w:val="0"/>
        <w:overflowPunct w:val="0"/>
        <w:spacing w:before="127"/>
        <w:ind w:left="505" w:right="113"/>
        <w:rPr>
          <w:rFonts w:hint="default"/>
          <w:color w:val="auto"/>
          <w:spacing w:val="-2"/>
          <w:sz w:val="21"/>
          <w:szCs w:val="24"/>
          <w:highlight w:val="none"/>
        </w:rPr>
      </w:pPr>
      <w:r>
        <w:rPr>
          <w:rFonts w:hint="default"/>
          <w:color w:val="auto"/>
          <w:spacing w:val="-2"/>
          <w:sz w:val="21"/>
          <w:szCs w:val="24"/>
          <w:highlight w:val="none"/>
        </w:rPr>
        <w:t>请将上述问题的澄清、说明或补正于</w:t>
      </w:r>
      <w:r>
        <w:rPr>
          <w:rFonts w:hint="eastAsia" w:ascii="Times New Roman" w:hAnsi="Times New Roman" w:eastAsia="Times New Roman"/>
          <w:color w:val="auto"/>
          <w:spacing w:val="-2"/>
          <w:sz w:val="21"/>
          <w:szCs w:val="24"/>
          <w:highlight w:val="none"/>
          <w:u w:val="single"/>
        </w:rPr>
        <w:tab/>
      </w:r>
      <w:r>
        <w:rPr>
          <w:rFonts w:hint="default"/>
          <w:color w:val="auto"/>
          <w:sz w:val="21"/>
          <w:szCs w:val="24"/>
          <w:highlight w:val="none"/>
        </w:rPr>
        <w:t>年</w:t>
      </w:r>
      <w:r>
        <w:rPr>
          <w:rFonts w:hint="eastAsia" w:ascii="Times New Roman" w:hAnsi="Times New Roman" w:eastAsia="Times New Roman"/>
          <w:color w:val="auto"/>
          <w:sz w:val="21"/>
          <w:szCs w:val="24"/>
          <w:highlight w:val="none"/>
          <w:u w:val="single"/>
        </w:rPr>
        <w:tab/>
      </w:r>
      <w:r>
        <w:rPr>
          <w:rFonts w:hint="default"/>
          <w:color w:val="auto"/>
          <w:sz w:val="21"/>
          <w:szCs w:val="24"/>
          <w:highlight w:val="none"/>
        </w:rPr>
        <w:t>月</w:t>
      </w:r>
      <w:r>
        <w:rPr>
          <w:rFonts w:hint="eastAsia" w:ascii="Times New Roman" w:hAnsi="Times New Roman" w:eastAsia="Times New Roman"/>
          <w:color w:val="auto"/>
          <w:sz w:val="21"/>
          <w:szCs w:val="24"/>
          <w:highlight w:val="none"/>
          <w:u w:val="single"/>
        </w:rPr>
        <w:tab/>
      </w:r>
      <w:r>
        <w:rPr>
          <w:rFonts w:hint="default"/>
          <w:color w:val="auto"/>
          <w:spacing w:val="-3"/>
          <w:sz w:val="21"/>
          <w:szCs w:val="24"/>
          <w:highlight w:val="none"/>
        </w:rPr>
        <w:t>日</w:t>
      </w:r>
      <w:r>
        <w:rPr>
          <w:rFonts w:hint="eastAsia" w:ascii="Times New Roman" w:hAnsi="Times New Roman" w:eastAsia="Times New Roman"/>
          <w:color w:val="auto"/>
          <w:spacing w:val="-3"/>
          <w:sz w:val="21"/>
          <w:szCs w:val="24"/>
          <w:highlight w:val="none"/>
          <w:u w:val="single"/>
        </w:rPr>
        <w:tab/>
      </w:r>
      <w:r>
        <w:rPr>
          <w:rFonts w:hint="default"/>
          <w:color w:val="auto"/>
          <w:spacing w:val="-2"/>
          <w:sz w:val="21"/>
          <w:szCs w:val="24"/>
          <w:highlight w:val="none"/>
        </w:rPr>
        <w:t>时前递交至</w:t>
      </w:r>
    </w:p>
    <w:p w14:paraId="78BBEE51">
      <w:pPr>
        <w:pStyle w:val="11"/>
        <w:kinsoku w:val="0"/>
        <w:overflowPunct w:val="0"/>
        <w:spacing w:before="13"/>
        <w:ind w:left="0"/>
        <w:rPr>
          <w:rFonts w:hint="default"/>
          <w:color w:val="auto"/>
          <w:sz w:val="9"/>
          <w:szCs w:val="24"/>
          <w:highlight w:val="none"/>
        </w:rPr>
      </w:pPr>
    </w:p>
    <w:p w14:paraId="1E991524">
      <w:pPr>
        <w:pStyle w:val="11"/>
        <w:tabs>
          <w:tab w:val="left" w:pos="3040"/>
          <w:tab w:val="left" w:pos="7296"/>
        </w:tabs>
        <w:kinsoku w:val="0"/>
        <w:overflowPunct w:val="0"/>
        <w:spacing w:before="36"/>
        <w:ind w:left="100"/>
        <w:rPr>
          <w:rFonts w:hint="default"/>
          <w:color w:val="auto"/>
          <w:spacing w:val="-5"/>
          <w:sz w:val="21"/>
          <w:szCs w:val="24"/>
          <w:highlight w:val="none"/>
        </w:r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pacing w:val="-5"/>
          <w:sz w:val="21"/>
          <w:szCs w:val="24"/>
          <w:highlight w:val="none"/>
        </w:rPr>
        <w:t>（详细地址）或传真至</w:t>
      </w:r>
      <w:r>
        <w:rPr>
          <w:rFonts w:hint="eastAsia" w:ascii="Times New Roman" w:hAnsi="Times New Roman" w:eastAsia="Times New Roman"/>
          <w:color w:val="auto"/>
          <w:spacing w:val="-5"/>
          <w:sz w:val="21"/>
          <w:szCs w:val="24"/>
          <w:highlight w:val="none"/>
          <w:u w:val="single"/>
        </w:rPr>
        <w:tab/>
      </w:r>
      <w:r>
        <w:rPr>
          <w:rFonts w:hint="default"/>
          <w:color w:val="auto"/>
          <w:spacing w:val="-5"/>
          <w:sz w:val="21"/>
          <w:szCs w:val="24"/>
          <w:highlight w:val="none"/>
        </w:rPr>
        <w:t>（传真号码）或</w:t>
      </w:r>
    </w:p>
    <w:p w14:paraId="6C8AF733">
      <w:pPr>
        <w:pStyle w:val="11"/>
        <w:kinsoku w:val="0"/>
        <w:overflowPunct w:val="0"/>
        <w:spacing w:before="10"/>
        <w:ind w:left="0"/>
        <w:rPr>
          <w:rFonts w:hint="default"/>
          <w:color w:val="auto"/>
          <w:sz w:val="9"/>
          <w:szCs w:val="24"/>
          <w:highlight w:val="none"/>
        </w:rPr>
      </w:pPr>
    </w:p>
    <w:p w14:paraId="02CD3A94">
      <w:pPr>
        <w:pStyle w:val="11"/>
        <w:tabs>
          <w:tab w:val="left" w:pos="7138"/>
          <w:tab w:val="left" w:pos="8084"/>
        </w:tabs>
        <w:kinsoku w:val="0"/>
        <w:overflowPunct w:val="0"/>
        <w:spacing w:before="36"/>
        <w:ind w:left="100" w:right="113"/>
        <w:rPr>
          <w:rFonts w:hint="default"/>
          <w:color w:val="auto"/>
          <w:sz w:val="21"/>
          <w:szCs w:val="24"/>
          <w:highlight w:val="none"/>
        </w:rPr>
      </w:pPr>
      <w:r>
        <w:rPr>
          <w:rFonts w:hint="default"/>
          <w:color w:val="auto"/>
          <w:spacing w:val="-2"/>
          <w:sz w:val="21"/>
          <w:szCs w:val="24"/>
          <w:highlight w:val="none"/>
        </w:rPr>
        <w:t>通过下载招标文件的电子招标交易平台上传。采用传真方式的，应在</w:t>
      </w:r>
      <w:r>
        <w:rPr>
          <w:rFonts w:hint="eastAsia" w:ascii="Times New Roman" w:hAnsi="Times New Roman" w:eastAsia="Times New Roman"/>
          <w:color w:val="auto"/>
          <w:spacing w:val="-2"/>
          <w:sz w:val="21"/>
          <w:szCs w:val="24"/>
          <w:highlight w:val="none"/>
          <w:u w:val="single"/>
        </w:rPr>
        <w:tab/>
      </w:r>
      <w:r>
        <w:rPr>
          <w:rFonts w:hint="default"/>
          <w:color w:val="auto"/>
          <w:sz w:val="21"/>
          <w:szCs w:val="24"/>
          <w:highlight w:val="none"/>
        </w:rPr>
        <w:t>年</w:t>
      </w:r>
      <w:r>
        <w:rPr>
          <w:rFonts w:hint="eastAsia" w:ascii="Times New Roman" w:hAnsi="Times New Roman" w:eastAsia="Times New Roman"/>
          <w:color w:val="auto"/>
          <w:sz w:val="21"/>
          <w:szCs w:val="24"/>
          <w:highlight w:val="none"/>
          <w:u w:val="single"/>
        </w:rPr>
        <w:tab/>
      </w:r>
      <w:r>
        <w:rPr>
          <w:rFonts w:hint="default"/>
          <w:color w:val="auto"/>
          <w:sz w:val="21"/>
          <w:szCs w:val="24"/>
          <w:highlight w:val="none"/>
        </w:rPr>
        <w:t>月</w:t>
      </w:r>
    </w:p>
    <w:p w14:paraId="3ACCA349">
      <w:pPr>
        <w:pStyle w:val="11"/>
        <w:kinsoku w:val="0"/>
        <w:overflowPunct w:val="0"/>
        <w:spacing w:before="10"/>
        <w:ind w:left="0"/>
        <w:rPr>
          <w:rFonts w:hint="default"/>
          <w:color w:val="auto"/>
          <w:sz w:val="9"/>
          <w:szCs w:val="24"/>
          <w:highlight w:val="none"/>
        </w:rPr>
      </w:pPr>
    </w:p>
    <w:p w14:paraId="68675785">
      <w:pPr>
        <w:pStyle w:val="11"/>
        <w:tabs>
          <w:tab w:val="left" w:pos="837"/>
          <w:tab w:val="left" w:pos="1782"/>
          <w:tab w:val="left" w:pos="5669"/>
        </w:tabs>
        <w:kinsoku w:val="0"/>
        <w:overflowPunct w:val="0"/>
        <w:spacing w:before="36"/>
        <w:ind w:left="100" w:right="113"/>
        <w:rPr>
          <w:rFonts w:hint="default"/>
          <w:color w:val="auto"/>
          <w:spacing w:val="-17"/>
          <w:sz w:val="21"/>
          <w:szCs w:val="24"/>
          <w:highlight w:val="none"/>
        </w:r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z w:val="21"/>
          <w:szCs w:val="24"/>
          <w:highlight w:val="none"/>
        </w:rPr>
        <w:t>日</w:t>
      </w:r>
      <w:r>
        <w:rPr>
          <w:rFonts w:hint="eastAsia" w:ascii="Times New Roman" w:hAnsi="Times New Roman" w:eastAsia="Times New Roman"/>
          <w:color w:val="auto"/>
          <w:sz w:val="21"/>
          <w:szCs w:val="24"/>
          <w:highlight w:val="none"/>
          <w:u w:val="single"/>
        </w:rPr>
        <w:tab/>
      </w:r>
      <w:r>
        <w:rPr>
          <w:rFonts w:hint="default"/>
          <w:color w:val="auto"/>
          <w:spacing w:val="-2"/>
          <w:sz w:val="21"/>
          <w:szCs w:val="24"/>
          <w:highlight w:val="none"/>
        </w:rPr>
        <w:t>时前将原件递交至</w:t>
      </w:r>
      <w:r>
        <w:rPr>
          <w:rFonts w:hint="eastAsia" w:ascii="Times New Roman" w:hAnsi="Times New Roman" w:eastAsia="Times New Roman"/>
          <w:color w:val="auto"/>
          <w:spacing w:val="-2"/>
          <w:sz w:val="21"/>
          <w:szCs w:val="24"/>
          <w:highlight w:val="none"/>
          <w:u w:val="single"/>
        </w:rPr>
        <w:tab/>
      </w:r>
      <w:r>
        <w:rPr>
          <w:rFonts w:hint="default"/>
          <w:color w:val="auto"/>
          <w:spacing w:val="-17"/>
          <w:sz w:val="21"/>
          <w:szCs w:val="24"/>
          <w:highlight w:val="none"/>
        </w:rPr>
        <w:t>（详细地址）。</w:t>
      </w:r>
    </w:p>
    <w:p w14:paraId="6951E984">
      <w:pPr>
        <w:pStyle w:val="11"/>
        <w:kinsoku w:val="0"/>
        <w:overflowPunct w:val="0"/>
        <w:ind w:left="0"/>
        <w:rPr>
          <w:rFonts w:hint="default"/>
          <w:color w:val="auto"/>
          <w:sz w:val="20"/>
          <w:szCs w:val="24"/>
          <w:highlight w:val="none"/>
        </w:rPr>
      </w:pPr>
    </w:p>
    <w:p w14:paraId="35392C37">
      <w:pPr>
        <w:pStyle w:val="11"/>
        <w:kinsoku w:val="0"/>
        <w:overflowPunct w:val="0"/>
        <w:ind w:left="0"/>
        <w:rPr>
          <w:rFonts w:hint="default"/>
          <w:color w:val="auto"/>
          <w:sz w:val="20"/>
          <w:szCs w:val="24"/>
          <w:highlight w:val="none"/>
        </w:rPr>
      </w:pPr>
    </w:p>
    <w:p w14:paraId="2F797F1E">
      <w:pPr>
        <w:pStyle w:val="11"/>
        <w:kinsoku w:val="0"/>
        <w:overflowPunct w:val="0"/>
        <w:ind w:left="0"/>
        <w:rPr>
          <w:rFonts w:hint="default"/>
          <w:color w:val="auto"/>
          <w:sz w:val="20"/>
          <w:szCs w:val="24"/>
          <w:highlight w:val="none"/>
        </w:rPr>
      </w:pPr>
    </w:p>
    <w:p w14:paraId="724FC717">
      <w:pPr>
        <w:pStyle w:val="11"/>
        <w:kinsoku w:val="0"/>
        <w:overflowPunct w:val="0"/>
        <w:spacing w:before="2"/>
        <w:ind w:left="0"/>
        <w:rPr>
          <w:rFonts w:hint="default"/>
          <w:color w:val="auto"/>
          <w:sz w:val="17"/>
          <w:szCs w:val="24"/>
          <w:highlight w:val="none"/>
        </w:rPr>
      </w:pPr>
    </w:p>
    <w:p w14:paraId="5CAE3E86">
      <w:pPr>
        <w:pStyle w:val="11"/>
        <w:tabs>
          <w:tab w:val="left" w:pos="7032"/>
        </w:tabs>
        <w:kinsoku w:val="0"/>
        <w:overflowPunct w:val="0"/>
        <w:spacing w:before="36"/>
        <w:ind w:left="2200" w:right="113"/>
        <w:rPr>
          <w:rFonts w:hint="default"/>
          <w:color w:val="auto"/>
          <w:spacing w:val="-1"/>
          <w:sz w:val="21"/>
          <w:szCs w:val="24"/>
          <w:highlight w:val="none"/>
        </w:rPr>
      </w:pPr>
      <w:r>
        <w:rPr>
          <w:rFonts w:hint="default"/>
          <w:color w:val="auto"/>
          <w:spacing w:val="-2"/>
          <w:sz w:val="21"/>
          <w:szCs w:val="24"/>
          <w:highlight w:val="none"/>
        </w:rPr>
        <w:t>评标委员会</w:t>
      </w:r>
      <w:r>
        <w:rPr>
          <w:rFonts w:hint="eastAsia"/>
          <w:color w:val="auto"/>
          <w:spacing w:val="-2"/>
          <w:sz w:val="21"/>
          <w:szCs w:val="24"/>
          <w:highlight w:val="none"/>
          <w:lang w:eastAsia="zh-CN"/>
        </w:rPr>
        <w:t>签字</w:t>
      </w:r>
      <w:r>
        <w:rPr>
          <w:rFonts w:hint="default"/>
          <w:color w:val="auto"/>
          <w:spacing w:val="-2"/>
          <w:sz w:val="21"/>
          <w:szCs w:val="24"/>
          <w:highlight w:val="none"/>
        </w:rPr>
        <w:t>：</w:t>
      </w:r>
      <w:r>
        <w:rPr>
          <w:rFonts w:hint="eastAsia" w:ascii="Times New Roman" w:hAnsi="Times New Roman" w:eastAsia="Times New Roman"/>
          <w:color w:val="auto"/>
          <w:spacing w:val="-2"/>
          <w:sz w:val="21"/>
          <w:szCs w:val="24"/>
          <w:highlight w:val="none"/>
          <w:u w:val="single"/>
        </w:rPr>
        <w:tab/>
      </w:r>
    </w:p>
    <w:p w14:paraId="73CFB295">
      <w:pPr>
        <w:pStyle w:val="11"/>
        <w:kinsoku w:val="0"/>
        <w:overflowPunct w:val="0"/>
        <w:ind w:left="0"/>
        <w:rPr>
          <w:rFonts w:hint="default"/>
          <w:color w:val="auto"/>
          <w:sz w:val="20"/>
          <w:szCs w:val="24"/>
          <w:highlight w:val="none"/>
        </w:rPr>
      </w:pPr>
    </w:p>
    <w:p w14:paraId="24880358">
      <w:pPr>
        <w:pStyle w:val="11"/>
        <w:kinsoku w:val="0"/>
        <w:overflowPunct w:val="0"/>
        <w:spacing w:before="7"/>
        <w:ind w:left="0"/>
        <w:rPr>
          <w:rFonts w:hint="default"/>
          <w:color w:val="auto"/>
          <w:sz w:val="23"/>
          <w:szCs w:val="24"/>
          <w:highlight w:val="none"/>
        </w:rPr>
      </w:pPr>
    </w:p>
    <w:p w14:paraId="252C0717">
      <w:pPr>
        <w:pStyle w:val="11"/>
        <w:tabs>
          <w:tab w:val="left" w:pos="5803"/>
          <w:tab w:val="left" w:pos="6746"/>
          <w:tab w:val="left" w:pos="7692"/>
        </w:tabs>
        <w:kinsoku w:val="0"/>
        <w:overflowPunct w:val="0"/>
        <w:spacing w:before="36"/>
        <w:ind w:left="4961" w:right="113"/>
        <w:rPr>
          <w:rFonts w:hint="default"/>
          <w:color w:val="auto"/>
          <w:sz w:val="21"/>
          <w:szCs w:val="24"/>
          <w:highlight w:val="none"/>
        </w:r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pacing w:val="-3"/>
          <w:sz w:val="21"/>
          <w:szCs w:val="24"/>
          <w:highlight w:val="none"/>
        </w:rPr>
        <w:t>年</w:t>
      </w:r>
      <w:r>
        <w:rPr>
          <w:rFonts w:hint="eastAsia" w:ascii="Times New Roman" w:hAnsi="Times New Roman" w:eastAsia="Times New Roman"/>
          <w:color w:val="auto"/>
          <w:spacing w:val="-3"/>
          <w:sz w:val="21"/>
          <w:szCs w:val="24"/>
          <w:highlight w:val="none"/>
          <w:u w:val="single"/>
        </w:rPr>
        <w:tab/>
      </w:r>
      <w:r>
        <w:rPr>
          <w:rFonts w:hint="default"/>
          <w:color w:val="auto"/>
          <w:sz w:val="21"/>
          <w:szCs w:val="24"/>
          <w:highlight w:val="none"/>
        </w:rPr>
        <w:t>月</w:t>
      </w:r>
      <w:r>
        <w:rPr>
          <w:rFonts w:hint="eastAsia" w:ascii="Times New Roman" w:hAnsi="Times New Roman" w:eastAsia="Times New Roman"/>
          <w:color w:val="auto"/>
          <w:sz w:val="21"/>
          <w:szCs w:val="24"/>
          <w:highlight w:val="none"/>
          <w:u w:val="single"/>
        </w:rPr>
        <w:tab/>
      </w:r>
      <w:r>
        <w:rPr>
          <w:rFonts w:hint="default"/>
          <w:color w:val="auto"/>
          <w:sz w:val="21"/>
          <w:szCs w:val="24"/>
          <w:highlight w:val="none"/>
        </w:rPr>
        <w:t>日</w:t>
      </w:r>
    </w:p>
    <w:p w14:paraId="39748C1C">
      <w:pPr>
        <w:pStyle w:val="11"/>
        <w:tabs>
          <w:tab w:val="left" w:pos="5803"/>
          <w:tab w:val="left" w:pos="6746"/>
          <w:tab w:val="left" w:pos="7692"/>
        </w:tabs>
        <w:kinsoku w:val="0"/>
        <w:overflowPunct w:val="0"/>
        <w:spacing w:before="36"/>
        <w:ind w:left="4961" w:right="113"/>
        <w:rPr>
          <w:rFonts w:hint="default"/>
          <w:color w:val="auto"/>
          <w:sz w:val="21"/>
          <w:szCs w:val="24"/>
          <w:highlight w:val="none"/>
        </w:rPr>
        <w:sectPr>
          <w:pgSz w:w="11905" w:h="16838"/>
          <w:pgMar w:top="1417" w:right="1417" w:bottom="1417" w:left="1417" w:header="992" w:footer="992" w:gutter="0"/>
          <w:lnNumType w:countBy="0" w:distance="360"/>
          <w:cols w:space="720" w:num="1"/>
        </w:sectPr>
      </w:pPr>
    </w:p>
    <w:p w14:paraId="1CF7942D">
      <w:pPr>
        <w:pStyle w:val="5"/>
        <w:rPr>
          <w:rFonts w:hint="default"/>
          <w:color w:val="auto"/>
          <w:sz w:val="28"/>
          <w:szCs w:val="24"/>
          <w:highlight w:val="none"/>
        </w:rPr>
      </w:pPr>
      <w:r>
        <w:rPr>
          <w:rFonts w:hint="default"/>
          <w:color w:val="auto"/>
          <w:sz w:val="28"/>
          <w:szCs w:val="24"/>
          <w:highlight w:val="none"/>
        </w:rPr>
        <w:t>附件</w:t>
      </w:r>
      <w:r>
        <w:rPr>
          <w:rFonts w:hint="default"/>
          <w:color w:val="auto"/>
          <w:sz w:val="28"/>
          <w:szCs w:val="24"/>
          <w:highlight w:val="none"/>
          <w:lang w:eastAsia="zh-CN"/>
        </w:rPr>
        <w:t>二</w:t>
      </w:r>
      <w:r>
        <w:rPr>
          <w:rFonts w:hint="default"/>
          <w:color w:val="auto"/>
          <w:sz w:val="28"/>
          <w:szCs w:val="24"/>
          <w:highlight w:val="none"/>
        </w:rPr>
        <w:t>：问题的澄清</w:t>
      </w:r>
    </w:p>
    <w:p w14:paraId="3720B1EF">
      <w:pPr>
        <w:pStyle w:val="11"/>
        <w:kinsoku w:val="0"/>
        <w:overflowPunct w:val="0"/>
        <w:ind w:left="0"/>
        <w:rPr>
          <w:rFonts w:hint="default"/>
          <w:color w:val="auto"/>
          <w:sz w:val="20"/>
          <w:szCs w:val="24"/>
          <w:highlight w:val="none"/>
        </w:rPr>
      </w:pPr>
    </w:p>
    <w:p w14:paraId="2279A4FE">
      <w:pPr>
        <w:pStyle w:val="11"/>
        <w:kinsoku w:val="0"/>
        <w:overflowPunct w:val="0"/>
        <w:ind w:left="0"/>
        <w:rPr>
          <w:rFonts w:hint="default"/>
          <w:color w:val="auto"/>
          <w:sz w:val="20"/>
          <w:szCs w:val="24"/>
          <w:highlight w:val="none"/>
        </w:rPr>
      </w:pPr>
    </w:p>
    <w:p w14:paraId="4EEF3859">
      <w:pPr>
        <w:pStyle w:val="11"/>
        <w:kinsoku w:val="0"/>
        <w:overflowPunct w:val="0"/>
        <w:ind w:left="0"/>
        <w:rPr>
          <w:rFonts w:hint="default"/>
          <w:color w:val="auto"/>
          <w:sz w:val="20"/>
          <w:szCs w:val="24"/>
          <w:highlight w:val="none"/>
        </w:rPr>
      </w:pPr>
    </w:p>
    <w:p w14:paraId="4AF60003">
      <w:pPr>
        <w:pStyle w:val="11"/>
        <w:kinsoku w:val="0"/>
        <w:overflowPunct w:val="0"/>
        <w:spacing w:before="168"/>
        <w:ind w:left="0" w:right="16"/>
        <w:jc w:val="center"/>
        <w:rPr>
          <w:rFonts w:hint="default"/>
          <w:color w:val="auto"/>
          <w:sz w:val="28"/>
          <w:szCs w:val="24"/>
          <w:highlight w:val="none"/>
        </w:rPr>
      </w:pPr>
      <w:r>
        <w:rPr>
          <w:rFonts w:hint="default"/>
          <w:color w:val="auto"/>
          <w:sz w:val="28"/>
          <w:szCs w:val="24"/>
          <w:highlight w:val="none"/>
        </w:rPr>
        <w:t>问题的澄清</w:t>
      </w:r>
    </w:p>
    <w:p w14:paraId="0CB8A0CE">
      <w:pPr>
        <w:pStyle w:val="11"/>
        <w:tabs>
          <w:tab w:val="left" w:pos="5947"/>
        </w:tabs>
        <w:kinsoku w:val="0"/>
        <w:overflowPunct w:val="0"/>
        <w:spacing w:before="113"/>
        <w:ind w:left="3566" w:right="113"/>
        <w:rPr>
          <w:rFonts w:hint="default"/>
          <w:color w:val="auto"/>
          <w:sz w:val="21"/>
          <w:szCs w:val="24"/>
          <w:highlight w:val="none"/>
        </w:rPr>
      </w:pPr>
      <w:r>
        <w:rPr>
          <w:rFonts w:hint="default"/>
          <w:color w:val="auto"/>
          <w:spacing w:val="-1"/>
          <w:sz w:val="21"/>
          <w:szCs w:val="24"/>
          <w:highlight w:val="none"/>
        </w:rPr>
        <w:t>（编号：</w:t>
      </w:r>
      <w:r>
        <w:rPr>
          <w:rFonts w:hint="eastAsia" w:ascii="Times New Roman" w:hAnsi="Times New Roman" w:eastAsia="Times New Roman"/>
          <w:color w:val="auto"/>
          <w:spacing w:val="-1"/>
          <w:sz w:val="21"/>
          <w:szCs w:val="24"/>
          <w:highlight w:val="none"/>
          <w:u w:val="single"/>
        </w:rPr>
        <w:tab/>
      </w:r>
      <w:r>
        <w:rPr>
          <w:rFonts w:hint="default"/>
          <w:color w:val="auto"/>
          <w:sz w:val="21"/>
          <w:szCs w:val="24"/>
          <w:highlight w:val="none"/>
        </w:rPr>
        <w:t>）</w:t>
      </w:r>
    </w:p>
    <w:p w14:paraId="38473E8F">
      <w:pPr>
        <w:pStyle w:val="11"/>
        <w:kinsoku w:val="0"/>
        <w:overflowPunct w:val="0"/>
        <w:ind w:left="0"/>
        <w:rPr>
          <w:rFonts w:hint="default"/>
          <w:color w:val="auto"/>
          <w:sz w:val="20"/>
          <w:szCs w:val="24"/>
          <w:highlight w:val="none"/>
        </w:rPr>
      </w:pPr>
    </w:p>
    <w:p w14:paraId="2CB0132E">
      <w:pPr>
        <w:pStyle w:val="11"/>
        <w:kinsoku w:val="0"/>
        <w:overflowPunct w:val="0"/>
        <w:spacing w:before="1"/>
        <w:ind w:left="0"/>
        <w:rPr>
          <w:rFonts w:hint="default"/>
          <w:color w:val="auto"/>
          <w:sz w:val="20"/>
          <w:szCs w:val="24"/>
          <w:highlight w:val="none"/>
        </w:rPr>
      </w:pPr>
    </w:p>
    <w:p w14:paraId="5CCA1FE9">
      <w:pPr>
        <w:pStyle w:val="11"/>
        <w:kinsoku w:val="0"/>
        <w:overflowPunct w:val="0"/>
        <w:spacing w:before="36"/>
        <w:ind w:left="100" w:right="113"/>
        <w:rPr>
          <w:rFonts w:hint="default"/>
          <w:color w:val="auto"/>
          <w:sz w:val="21"/>
          <w:szCs w:val="24"/>
          <w:highlight w:val="none"/>
        </w:rPr>
      </w:pPr>
      <w:r>
        <w:rPr>
          <w:rFonts w:hint="default"/>
          <w:color w:val="auto"/>
          <w:sz w:val="21"/>
          <w:szCs w:val="24"/>
          <w:highlight w:val="none"/>
        </w:rPr>
        <w:t>评标委员会：</w:t>
      </w:r>
    </w:p>
    <w:p w14:paraId="48C60F65">
      <w:pPr>
        <w:pStyle w:val="11"/>
        <w:kinsoku w:val="0"/>
        <w:overflowPunct w:val="0"/>
        <w:ind w:left="0"/>
        <w:rPr>
          <w:rFonts w:hint="default"/>
          <w:color w:val="auto"/>
          <w:sz w:val="20"/>
          <w:szCs w:val="24"/>
          <w:highlight w:val="none"/>
        </w:rPr>
      </w:pPr>
    </w:p>
    <w:p w14:paraId="29F88187">
      <w:pPr>
        <w:pStyle w:val="11"/>
        <w:kinsoku w:val="0"/>
        <w:overflowPunct w:val="0"/>
        <w:spacing w:before="2"/>
        <w:ind w:left="0"/>
        <w:rPr>
          <w:rFonts w:hint="default"/>
          <w:color w:val="auto"/>
          <w:sz w:val="26"/>
          <w:szCs w:val="24"/>
          <w:highlight w:val="none"/>
        </w:rPr>
      </w:pPr>
    </w:p>
    <w:p w14:paraId="63CFECC8">
      <w:pPr>
        <w:pStyle w:val="11"/>
        <w:tabs>
          <w:tab w:val="left" w:pos="3460"/>
        </w:tabs>
        <w:kinsoku w:val="0"/>
        <w:overflowPunct w:val="0"/>
        <w:ind w:left="522" w:right="113"/>
        <w:rPr>
          <w:rFonts w:hint="default"/>
          <w:color w:val="auto"/>
          <w:spacing w:val="-2"/>
          <w:sz w:val="21"/>
          <w:szCs w:val="24"/>
          <w:highlight w:val="none"/>
        </w:rPr>
      </w:pPr>
      <w:r>
        <w:rPr>
          <w:rFonts w:hint="default"/>
          <w:color w:val="auto"/>
          <w:spacing w:val="-2"/>
          <w:sz w:val="21"/>
          <w:szCs w:val="24"/>
          <w:highlight w:val="none"/>
        </w:rPr>
        <w:t>问题澄清通知（编号：</w:t>
      </w:r>
      <w:r>
        <w:rPr>
          <w:rFonts w:hint="eastAsia" w:ascii="Times New Roman" w:hAnsi="Times New Roman" w:eastAsia="Times New Roman"/>
          <w:color w:val="auto"/>
          <w:spacing w:val="-2"/>
          <w:sz w:val="21"/>
          <w:szCs w:val="24"/>
          <w:highlight w:val="none"/>
          <w:u w:val="single"/>
        </w:rPr>
        <w:tab/>
      </w:r>
      <w:r>
        <w:rPr>
          <w:rFonts w:hint="default"/>
          <w:color w:val="auto"/>
          <w:spacing w:val="-2"/>
          <w:sz w:val="21"/>
          <w:szCs w:val="24"/>
          <w:highlight w:val="none"/>
        </w:rPr>
        <w:t>）已收悉，现澄清、说明或补正如下：</w:t>
      </w:r>
    </w:p>
    <w:p w14:paraId="71CBD483">
      <w:pPr>
        <w:pStyle w:val="11"/>
        <w:kinsoku w:val="0"/>
        <w:overflowPunct w:val="0"/>
        <w:spacing w:before="11"/>
        <w:ind w:left="0"/>
        <w:rPr>
          <w:rFonts w:hint="default"/>
          <w:color w:val="auto"/>
          <w:sz w:val="10"/>
          <w:szCs w:val="24"/>
          <w:highlight w:val="none"/>
        </w:rPr>
      </w:pPr>
    </w:p>
    <w:p w14:paraId="639431D1">
      <w:pPr>
        <w:pStyle w:val="11"/>
        <w:kinsoku w:val="0"/>
        <w:overflowPunct w:val="0"/>
        <w:spacing w:before="74"/>
        <w:ind w:left="0" w:right="7025"/>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1.</w:t>
      </w:r>
    </w:p>
    <w:p w14:paraId="06881BCE">
      <w:pPr>
        <w:pStyle w:val="11"/>
        <w:kinsoku w:val="0"/>
        <w:overflowPunct w:val="0"/>
        <w:spacing w:before="2"/>
        <w:ind w:left="0"/>
        <w:rPr>
          <w:rFonts w:hint="eastAsia" w:ascii="Times New Roman" w:hAnsi="Times New Roman" w:eastAsia="Times New Roman"/>
          <w:color w:val="auto"/>
          <w:sz w:val="17"/>
          <w:szCs w:val="24"/>
          <w:highlight w:val="none"/>
        </w:rPr>
      </w:pPr>
    </w:p>
    <w:p w14:paraId="4AB44F0B">
      <w:pPr>
        <w:pStyle w:val="11"/>
        <w:kinsoku w:val="0"/>
        <w:overflowPunct w:val="0"/>
        <w:ind w:left="0" w:right="7025"/>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2.</w:t>
      </w:r>
    </w:p>
    <w:p w14:paraId="7F33E7BC">
      <w:pPr>
        <w:pStyle w:val="11"/>
        <w:kinsoku w:val="0"/>
        <w:overflowPunct w:val="0"/>
        <w:spacing w:before="2"/>
        <w:ind w:left="0"/>
        <w:rPr>
          <w:rFonts w:hint="eastAsia" w:ascii="Times New Roman" w:hAnsi="Times New Roman" w:eastAsia="Times New Roman"/>
          <w:color w:val="auto"/>
          <w:sz w:val="17"/>
          <w:szCs w:val="24"/>
          <w:highlight w:val="none"/>
        </w:rPr>
      </w:pPr>
    </w:p>
    <w:p w14:paraId="1EA6D32C">
      <w:pPr>
        <w:pStyle w:val="11"/>
        <w:kinsoku w:val="0"/>
        <w:overflowPunct w:val="0"/>
        <w:ind w:left="0" w:right="713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w:t>
      </w:r>
    </w:p>
    <w:p w14:paraId="2D078166">
      <w:pPr>
        <w:pStyle w:val="11"/>
        <w:kinsoku w:val="0"/>
        <w:overflowPunct w:val="0"/>
        <w:ind w:left="0"/>
        <w:rPr>
          <w:rFonts w:hint="eastAsia" w:ascii="Times New Roman" w:hAnsi="Times New Roman" w:eastAsia="Times New Roman"/>
          <w:color w:val="auto"/>
          <w:sz w:val="20"/>
          <w:szCs w:val="24"/>
          <w:highlight w:val="none"/>
        </w:rPr>
      </w:pPr>
    </w:p>
    <w:p w14:paraId="5B59C56D">
      <w:pPr>
        <w:pStyle w:val="11"/>
        <w:kinsoku w:val="0"/>
        <w:overflowPunct w:val="0"/>
        <w:ind w:left="0"/>
        <w:rPr>
          <w:rFonts w:hint="eastAsia" w:ascii="Times New Roman" w:hAnsi="Times New Roman" w:eastAsia="Times New Roman"/>
          <w:color w:val="auto"/>
          <w:sz w:val="20"/>
          <w:szCs w:val="24"/>
          <w:highlight w:val="none"/>
        </w:rPr>
      </w:pPr>
    </w:p>
    <w:p w14:paraId="119067AB">
      <w:pPr>
        <w:pStyle w:val="11"/>
        <w:kinsoku w:val="0"/>
        <w:overflowPunct w:val="0"/>
        <w:ind w:left="0"/>
        <w:rPr>
          <w:rFonts w:hint="eastAsia" w:ascii="Times New Roman" w:hAnsi="Times New Roman" w:eastAsia="Times New Roman"/>
          <w:color w:val="auto"/>
          <w:sz w:val="20"/>
          <w:szCs w:val="24"/>
          <w:highlight w:val="none"/>
        </w:rPr>
      </w:pPr>
    </w:p>
    <w:p w14:paraId="47721133">
      <w:pPr>
        <w:pStyle w:val="11"/>
        <w:kinsoku w:val="0"/>
        <w:overflowPunct w:val="0"/>
        <w:ind w:left="0"/>
        <w:rPr>
          <w:rFonts w:hint="eastAsia" w:ascii="Times New Roman" w:hAnsi="Times New Roman" w:eastAsia="Times New Roman"/>
          <w:color w:val="auto"/>
          <w:sz w:val="20"/>
          <w:szCs w:val="24"/>
          <w:highlight w:val="none"/>
        </w:rPr>
      </w:pPr>
    </w:p>
    <w:p w14:paraId="2FAB5EBC">
      <w:pPr>
        <w:pStyle w:val="11"/>
        <w:kinsoku w:val="0"/>
        <w:overflowPunct w:val="0"/>
        <w:ind w:left="0"/>
        <w:rPr>
          <w:rFonts w:hint="eastAsia" w:ascii="Times New Roman" w:hAnsi="Times New Roman" w:eastAsia="Times New Roman"/>
          <w:color w:val="auto"/>
          <w:sz w:val="20"/>
          <w:szCs w:val="24"/>
          <w:highlight w:val="none"/>
        </w:rPr>
      </w:pPr>
    </w:p>
    <w:p w14:paraId="04720245">
      <w:pPr>
        <w:pStyle w:val="11"/>
        <w:kinsoku w:val="0"/>
        <w:overflowPunct w:val="0"/>
        <w:spacing w:before="11"/>
        <w:ind w:left="0"/>
        <w:rPr>
          <w:rFonts w:hint="eastAsia" w:ascii="Times New Roman" w:hAnsi="Times New Roman" w:eastAsia="Times New Roman"/>
          <w:color w:val="auto"/>
          <w:sz w:val="27"/>
          <w:szCs w:val="24"/>
          <w:highlight w:val="none"/>
        </w:rPr>
      </w:pPr>
    </w:p>
    <w:p w14:paraId="0A39676B">
      <w:pPr>
        <w:pStyle w:val="11"/>
        <w:kinsoku w:val="0"/>
        <w:overflowPunct w:val="0"/>
        <w:spacing w:line="384" w:lineRule="auto"/>
        <w:ind w:left="100" w:right="113" w:firstLine="419"/>
        <w:rPr>
          <w:rFonts w:hint="default"/>
          <w:color w:val="auto"/>
          <w:sz w:val="21"/>
          <w:szCs w:val="24"/>
          <w:highlight w:val="none"/>
        </w:rPr>
      </w:pPr>
      <w:r>
        <w:rPr>
          <w:rFonts w:hint="default"/>
          <w:color w:val="auto"/>
          <w:spacing w:val="-1"/>
          <w:sz w:val="21"/>
          <w:szCs w:val="24"/>
          <w:highlight w:val="none"/>
        </w:rPr>
        <w:t>上述问题澄清、说明或补正，不改变我方投标文件的实质性内容，构成我方投标文件的组</w:t>
      </w:r>
      <w:r>
        <w:rPr>
          <w:rFonts w:hint="default"/>
          <w:color w:val="auto"/>
          <w:sz w:val="21"/>
          <w:szCs w:val="24"/>
          <w:highlight w:val="none"/>
        </w:rPr>
        <w:t xml:space="preserve"> 成部分。</w:t>
      </w:r>
    </w:p>
    <w:p w14:paraId="191A4944">
      <w:pPr>
        <w:pStyle w:val="11"/>
        <w:kinsoku w:val="0"/>
        <w:overflowPunct w:val="0"/>
        <w:ind w:left="0"/>
        <w:rPr>
          <w:rFonts w:hint="default"/>
          <w:color w:val="auto"/>
          <w:sz w:val="20"/>
          <w:szCs w:val="24"/>
          <w:highlight w:val="none"/>
        </w:rPr>
      </w:pPr>
    </w:p>
    <w:p w14:paraId="3E1CF16D">
      <w:pPr>
        <w:pStyle w:val="11"/>
        <w:kinsoku w:val="0"/>
        <w:overflowPunct w:val="0"/>
        <w:ind w:left="0"/>
        <w:rPr>
          <w:rFonts w:hint="default"/>
          <w:color w:val="auto"/>
          <w:sz w:val="20"/>
          <w:szCs w:val="24"/>
          <w:highlight w:val="none"/>
        </w:rPr>
      </w:pPr>
    </w:p>
    <w:p w14:paraId="31C9E3FB">
      <w:pPr>
        <w:pStyle w:val="11"/>
        <w:kinsoku w:val="0"/>
        <w:overflowPunct w:val="0"/>
        <w:spacing w:before="6"/>
        <w:ind w:left="0"/>
        <w:rPr>
          <w:rFonts w:hint="default"/>
          <w:color w:val="auto"/>
          <w:sz w:val="19"/>
          <w:szCs w:val="24"/>
          <w:highlight w:val="none"/>
        </w:rPr>
      </w:pPr>
    </w:p>
    <w:p w14:paraId="705ACC49">
      <w:pPr>
        <w:pStyle w:val="11"/>
        <w:tabs>
          <w:tab w:val="left" w:pos="7382"/>
        </w:tabs>
        <w:kinsoku w:val="0"/>
        <w:overflowPunct w:val="0"/>
        <w:ind w:left="3043" w:right="113"/>
        <w:rPr>
          <w:rFonts w:hint="default"/>
          <w:color w:val="auto"/>
          <w:spacing w:val="-1"/>
          <w:sz w:val="21"/>
          <w:szCs w:val="24"/>
          <w:highlight w:val="none"/>
        </w:rPr>
      </w:pPr>
      <w:r>
        <w:rPr>
          <w:rFonts w:hint="default"/>
          <w:color w:val="auto"/>
          <w:spacing w:val="-1"/>
          <w:sz w:val="21"/>
          <w:szCs w:val="24"/>
          <w:highlight w:val="none"/>
        </w:rPr>
        <w:t>投标人：</w:t>
      </w:r>
      <w:r>
        <w:rPr>
          <w:rFonts w:hint="eastAsia" w:ascii="Times New Roman" w:hAnsi="Times New Roman" w:eastAsia="Times New Roman"/>
          <w:color w:val="auto"/>
          <w:spacing w:val="-1"/>
          <w:sz w:val="21"/>
          <w:szCs w:val="24"/>
          <w:highlight w:val="none"/>
          <w:u w:val="single"/>
        </w:rPr>
        <w:tab/>
      </w:r>
      <w:r>
        <w:rPr>
          <w:rFonts w:hint="default"/>
          <w:color w:val="auto"/>
          <w:spacing w:val="-1"/>
          <w:sz w:val="21"/>
          <w:szCs w:val="24"/>
          <w:highlight w:val="none"/>
        </w:rPr>
        <w:t>（盖单位章）</w:t>
      </w:r>
    </w:p>
    <w:p w14:paraId="4190577A">
      <w:pPr>
        <w:pStyle w:val="11"/>
        <w:kinsoku w:val="0"/>
        <w:overflowPunct w:val="0"/>
        <w:spacing w:before="11"/>
        <w:ind w:left="0"/>
        <w:rPr>
          <w:rFonts w:hint="default"/>
          <w:color w:val="auto"/>
          <w:sz w:val="17"/>
          <w:szCs w:val="24"/>
          <w:highlight w:val="none"/>
        </w:rPr>
      </w:pPr>
    </w:p>
    <w:p w14:paraId="245027BE">
      <w:pPr>
        <w:pStyle w:val="11"/>
        <w:tabs>
          <w:tab w:val="left" w:pos="6612"/>
        </w:tabs>
        <w:kinsoku w:val="0"/>
        <w:overflowPunct w:val="0"/>
        <w:spacing w:before="36"/>
        <w:ind w:left="3041" w:right="113"/>
        <w:rPr>
          <w:rFonts w:hint="default"/>
          <w:color w:val="auto"/>
          <w:spacing w:val="-2"/>
          <w:sz w:val="21"/>
          <w:szCs w:val="24"/>
          <w:highlight w:val="none"/>
        </w:rPr>
      </w:pPr>
      <w:r>
        <w:rPr>
          <w:rFonts w:hint="default"/>
          <w:color w:val="auto"/>
          <w:spacing w:val="-2"/>
          <w:sz w:val="21"/>
          <w:szCs w:val="24"/>
          <w:highlight w:val="none"/>
        </w:rPr>
        <w:t>法定代表人或其委托代理人：</w:t>
      </w:r>
      <w:r>
        <w:rPr>
          <w:rFonts w:hint="eastAsia" w:ascii="Times New Roman" w:hAnsi="Times New Roman" w:eastAsia="Times New Roman"/>
          <w:color w:val="auto"/>
          <w:spacing w:val="-2"/>
          <w:sz w:val="21"/>
          <w:szCs w:val="24"/>
          <w:highlight w:val="none"/>
          <w:u w:val="single"/>
        </w:rPr>
        <w:tab/>
      </w:r>
      <w:r>
        <w:rPr>
          <w:rFonts w:hint="default"/>
          <w:color w:val="auto"/>
          <w:spacing w:val="-2"/>
          <w:sz w:val="21"/>
          <w:szCs w:val="24"/>
          <w:highlight w:val="none"/>
        </w:rPr>
        <w:t>（签字）</w:t>
      </w:r>
    </w:p>
    <w:p w14:paraId="267FF356">
      <w:pPr>
        <w:pStyle w:val="11"/>
        <w:kinsoku w:val="0"/>
        <w:overflowPunct w:val="0"/>
        <w:ind w:left="0"/>
        <w:rPr>
          <w:rFonts w:hint="default"/>
          <w:color w:val="auto"/>
          <w:sz w:val="20"/>
          <w:szCs w:val="24"/>
          <w:highlight w:val="none"/>
        </w:rPr>
      </w:pPr>
    </w:p>
    <w:p w14:paraId="75D1EC50">
      <w:pPr>
        <w:pStyle w:val="11"/>
        <w:kinsoku w:val="0"/>
        <w:overflowPunct w:val="0"/>
        <w:ind w:left="0"/>
        <w:rPr>
          <w:rFonts w:hint="default"/>
          <w:color w:val="auto"/>
          <w:sz w:val="20"/>
          <w:szCs w:val="24"/>
          <w:highlight w:val="none"/>
        </w:rPr>
      </w:pPr>
    </w:p>
    <w:p w14:paraId="1B21EEC8">
      <w:pPr>
        <w:pStyle w:val="11"/>
        <w:kinsoku w:val="0"/>
        <w:overflowPunct w:val="0"/>
        <w:spacing w:before="4"/>
        <w:ind w:left="0"/>
        <w:rPr>
          <w:rFonts w:hint="default"/>
          <w:color w:val="auto"/>
          <w:sz w:val="22"/>
          <w:szCs w:val="24"/>
          <w:highlight w:val="none"/>
        </w:rPr>
      </w:pPr>
    </w:p>
    <w:p w14:paraId="756EE536">
      <w:pPr>
        <w:pStyle w:val="11"/>
        <w:tabs>
          <w:tab w:val="left" w:pos="6434"/>
          <w:tab w:val="left" w:pos="7483"/>
          <w:tab w:val="left" w:pos="8533"/>
        </w:tabs>
        <w:kinsoku w:val="0"/>
        <w:overflowPunct w:val="0"/>
        <w:spacing w:before="36"/>
        <w:ind w:left="5595"/>
        <w:rPr>
          <w:rFonts w:hint="default"/>
          <w:color w:val="auto"/>
          <w:sz w:val="21"/>
          <w:szCs w:val="24"/>
          <w:highlight w:val="none"/>
        </w:rPr>
        <w:sectPr>
          <w:pgSz w:w="11905" w:h="16838"/>
          <w:pgMar w:top="1417" w:right="1417" w:bottom="1417" w:left="1417" w:header="992" w:footer="992" w:gutter="0"/>
          <w:lnNumType w:countBy="0" w:distance="360"/>
          <w:cols w:space="720" w:num="1"/>
        </w:sect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pacing w:val="-3"/>
          <w:sz w:val="21"/>
          <w:szCs w:val="24"/>
          <w:highlight w:val="none"/>
        </w:rPr>
        <w:t>年</w:t>
      </w:r>
      <w:r>
        <w:rPr>
          <w:rFonts w:hint="eastAsia" w:ascii="Times New Roman" w:hAnsi="Times New Roman" w:eastAsia="Times New Roman"/>
          <w:color w:val="auto"/>
          <w:spacing w:val="-3"/>
          <w:sz w:val="21"/>
          <w:szCs w:val="24"/>
          <w:highlight w:val="none"/>
          <w:u w:val="single"/>
        </w:rPr>
        <w:tab/>
      </w:r>
      <w:r>
        <w:rPr>
          <w:rFonts w:hint="default"/>
          <w:color w:val="auto"/>
          <w:sz w:val="21"/>
          <w:szCs w:val="24"/>
          <w:highlight w:val="none"/>
        </w:rPr>
        <w:t>月</w:t>
      </w:r>
      <w:r>
        <w:rPr>
          <w:rFonts w:hint="eastAsia" w:ascii="Times New Roman" w:hAnsi="Times New Roman" w:eastAsia="Times New Roman"/>
          <w:color w:val="auto"/>
          <w:sz w:val="21"/>
          <w:szCs w:val="24"/>
          <w:highlight w:val="none"/>
          <w:u w:val="single"/>
        </w:rPr>
        <w:tab/>
      </w:r>
      <w:r>
        <w:rPr>
          <w:rFonts w:hint="default"/>
          <w:color w:val="auto"/>
          <w:sz w:val="21"/>
          <w:szCs w:val="24"/>
          <w:highlight w:val="none"/>
        </w:rPr>
        <w:t>日</w:t>
      </w:r>
    </w:p>
    <w:p w14:paraId="1EB87F9F">
      <w:pPr>
        <w:pStyle w:val="3"/>
        <w:outlineLvl w:val="0"/>
        <w:rPr>
          <w:rFonts w:hint="default"/>
          <w:b w:val="0"/>
          <w:color w:val="auto"/>
          <w:sz w:val="57"/>
          <w:szCs w:val="24"/>
          <w:highlight w:val="none"/>
        </w:rPr>
      </w:pPr>
      <w:bookmarkStart w:id="29" w:name="_Toc26859"/>
      <w:r>
        <w:rPr>
          <w:rFonts w:hint="default" w:cs="宋体"/>
          <w:color w:val="auto"/>
          <w:sz w:val="44"/>
          <w:szCs w:val="24"/>
          <w:highlight w:val="none"/>
        </w:rPr>
        <w:t>第三章</w:t>
      </w:r>
      <w:r>
        <w:rPr>
          <w:rFonts w:hint="default" w:cs="宋体"/>
          <w:color w:val="auto"/>
          <w:sz w:val="44"/>
          <w:szCs w:val="24"/>
          <w:highlight w:val="none"/>
          <w:lang w:val="en-US" w:eastAsia="zh-CN"/>
        </w:rPr>
        <w:t xml:space="preserve"> </w:t>
      </w:r>
      <w:r>
        <w:rPr>
          <w:rFonts w:hint="default" w:cs="宋体"/>
          <w:color w:val="auto"/>
          <w:sz w:val="44"/>
          <w:szCs w:val="24"/>
          <w:highlight w:val="none"/>
        </w:rPr>
        <w:t>评标办法（综合评估法）</w:t>
      </w:r>
      <w:bookmarkEnd w:id="29"/>
    </w:p>
    <w:p w14:paraId="195733CD">
      <w:pPr>
        <w:pStyle w:val="4"/>
        <w:kinsoku w:val="0"/>
        <w:overflowPunct w:val="0"/>
        <w:ind w:left="120"/>
        <w:jc w:val="center"/>
        <w:outlineLvl w:val="1"/>
        <w:rPr>
          <w:rFonts w:hint="default"/>
          <w:color w:val="auto"/>
          <w:sz w:val="32"/>
          <w:szCs w:val="24"/>
          <w:highlight w:val="none"/>
        </w:rPr>
      </w:pPr>
      <w:bookmarkStart w:id="30" w:name="_Toc10305"/>
      <w:r>
        <w:rPr>
          <w:rFonts w:hint="default"/>
          <w:color w:val="auto"/>
          <w:sz w:val="32"/>
          <w:szCs w:val="24"/>
          <w:highlight w:val="none"/>
        </w:rPr>
        <w:t>评标办法前附表</w:t>
      </w:r>
      <w:bookmarkEnd w:id="30"/>
    </w:p>
    <w:p w14:paraId="15F78C9F">
      <w:pPr>
        <w:pStyle w:val="4"/>
        <w:kinsoku w:val="0"/>
        <w:overflowPunct w:val="0"/>
        <w:ind w:left="120"/>
        <w:outlineLvl w:val="9"/>
        <w:rPr>
          <w:rFonts w:hint="default"/>
          <w:color w:val="auto"/>
          <w:sz w:val="32"/>
          <w:szCs w:val="24"/>
          <w:highlight w:val="none"/>
        </w:rPr>
      </w:pPr>
    </w:p>
    <w:tbl>
      <w:tblPr>
        <w:tblStyle w:val="2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68"/>
        <w:gridCol w:w="1132"/>
        <w:gridCol w:w="2013"/>
        <w:gridCol w:w="5358"/>
      </w:tblGrid>
      <w:tr w14:paraId="2EBB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13A47ED">
            <w:pPr>
              <w:pStyle w:val="28"/>
              <w:kinsoku w:val="0"/>
              <w:overflowPunct w:val="0"/>
              <w:spacing w:before="41"/>
              <w:jc w:val="center"/>
              <w:rPr>
                <w:rFonts w:hint="eastAsia" w:ascii="宋体" w:hAnsi="宋体" w:cs="宋体"/>
                <w:color w:val="auto"/>
                <w:sz w:val="21"/>
                <w:szCs w:val="21"/>
                <w:highlight w:val="none"/>
              </w:rPr>
            </w:pPr>
            <w:r>
              <w:rPr>
                <w:rFonts w:ascii="宋体" w:hAnsi="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67F6CCD8">
            <w:pPr>
              <w:pStyle w:val="28"/>
              <w:kinsoku w:val="0"/>
              <w:overflowPunct w:val="0"/>
              <w:spacing w:before="41"/>
              <w:jc w:val="center"/>
              <w:rPr>
                <w:rFonts w:hint="eastAsia" w:ascii="宋体" w:hAnsi="宋体" w:cs="宋体"/>
                <w:color w:val="auto"/>
                <w:sz w:val="21"/>
                <w:szCs w:val="21"/>
                <w:highlight w:val="none"/>
              </w:rPr>
            </w:pPr>
            <w:r>
              <w:rPr>
                <w:rFonts w:ascii="宋体" w:hAnsi="宋体" w:cs="宋体"/>
                <w:b/>
                <w:color w:val="auto"/>
                <w:sz w:val="21"/>
                <w:szCs w:val="21"/>
                <w:highlight w:val="none"/>
              </w:rPr>
              <w:t>评审因素</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1FF05DB9">
            <w:pPr>
              <w:pStyle w:val="28"/>
              <w:kinsoku w:val="0"/>
              <w:overflowPunct w:val="0"/>
              <w:spacing w:before="41"/>
              <w:jc w:val="center"/>
              <w:rPr>
                <w:rFonts w:hint="eastAsia" w:ascii="宋体" w:hAnsi="宋体" w:cs="宋体"/>
                <w:color w:val="auto"/>
                <w:sz w:val="21"/>
                <w:szCs w:val="21"/>
                <w:highlight w:val="none"/>
              </w:rPr>
            </w:pPr>
            <w:r>
              <w:rPr>
                <w:rFonts w:ascii="宋体" w:hAnsi="宋体" w:cs="宋体"/>
                <w:b/>
                <w:color w:val="auto"/>
                <w:sz w:val="21"/>
                <w:szCs w:val="21"/>
                <w:highlight w:val="none"/>
              </w:rPr>
              <w:t>评审标准</w:t>
            </w:r>
          </w:p>
        </w:tc>
      </w:tr>
      <w:tr w14:paraId="69CE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63" w:type="dxa"/>
            <w:tcBorders>
              <w:top w:val="single" w:color="auto" w:sz="4" w:space="0"/>
              <w:left w:val="single" w:color="auto" w:sz="4" w:space="0"/>
              <w:bottom w:val="single" w:color="auto" w:sz="4" w:space="0"/>
              <w:right w:val="single" w:color="auto" w:sz="4" w:space="0"/>
              <w:tl2br w:val="nil"/>
              <w:tr2bl w:val="nil"/>
            </w:tcBorders>
            <w:vAlign w:val="center"/>
          </w:tcPr>
          <w:p w14:paraId="731BE07A">
            <w:pPr>
              <w:pStyle w:val="28"/>
              <w:kinsoku w:val="0"/>
              <w:overflowPunct w:val="0"/>
              <w:jc w:val="both"/>
              <w:rPr>
                <w:rFonts w:hint="eastAsia" w:ascii="宋体" w:hAnsi="宋体" w:cs="宋体"/>
                <w:color w:val="auto"/>
                <w:sz w:val="21"/>
                <w:szCs w:val="21"/>
                <w:highlight w:val="none"/>
              </w:rPr>
            </w:pPr>
            <w:r>
              <w:rPr>
                <w:rFonts w:ascii="宋体" w:hAnsi="宋体" w:cs="宋体"/>
                <w:color w:val="auto"/>
                <w:sz w:val="21"/>
                <w:szCs w:val="21"/>
                <w:highlight w:val="none"/>
              </w:rPr>
              <w:t>1</w:t>
            </w:r>
          </w:p>
        </w:tc>
        <w:tc>
          <w:tcPr>
            <w:tcW w:w="130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F6926E3">
            <w:pPr>
              <w:pStyle w:val="28"/>
              <w:kinsoku w:val="0"/>
              <w:overflowPunct w:val="0"/>
              <w:spacing w:before="141"/>
              <w:jc w:val="both"/>
              <w:rPr>
                <w:rFonts w:hint="eastAsia" w:ascii="宋体" w:hAnsi="宋体" w:cs="宋体"/>
                <w:color w:val="auto"/>
                <w:sz w:val="21"/>
                <w:szCs w:val="21"/>
                <w:highlight w:val="none"/>
              </w:rPr>
            </w:pPr>
            <w:r>
              <w:rPr>
                <w:rFonts w:ascii="宋体" w:hAnsi="宋体" w:cs="宋体"/>
                <w:color w:val="auto"/>
                <w:sz w:val="21"/>
                <w:szCs w:val="21"/>
                <w:highlight w:val="none"/>
              </w:rPr>
              <w:t>评标方法</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2AF34328">
            <w:pPr>
              <w:pStyle w:val="28"/>
              <w:kinsoku w:val="0"/>
              <w:overflowPunct w:val="0"/>
              <w:spacing w:before="141"/>
              <w:jc w:val="center"/>
              <w:rPr>
                <w:rFonts w:hint="eastAsia" w:ascii="宋体" w:hAnsi="宋体" w:cs="宋体"/>
                <w:color w:val="auto"/>
                <w:sz w:val="21"/>
                <w:szCs w:val="21"/>
                <w:highlight w:val="none"/>
              </w:rPr>
            </w:pPr>
            <w:r>
              <w:rPr>
                <w:rFonts w:ascii="宋体" w:hAnsi="宋体" w:cs="宋体"/>
                <w:color w:val="auto"/>
                <w:sz w:val="21"/>
                <w:szCs w:val="21"/>
                <w:highlight w:val="none"/>
              </w:rPr>
              <w:t>中标候选人排序方法</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17480DCE">
            <w:pPr>
              <w:pStyle w:val="28"/>
              <w:kinsoku w:val="0"/>
              <w:overflowPunct w:val="0"/>
              <w:spacing w:before="141"/>
              <w:rPr>
                <w:rFonts w:hint="eastAsia" w:ascii="宋体" w:hAnsi="宋体" w:cs="宋体"/>
                <w:color w:val="auto"/>
                <w:sz w:val="21"/>
                <w:szCs w:val="21"/>
                <w:highlight w:val="none"/>
              </w:rPr>
            </w:pPr>
            <w:r>
              <w:rPr>
                <w:rFonts w:ascii="宋体"/>
                <w:color w:val="auto"/>
                <w:sz w:val="21"/>
                <w:highlight w:val="none"/>
              </w:rPr>
              <w:t>各标段中标候选人顺序确定方法如下：投标人综合评分由高到低排序前3名作为第一、第二、第三中标候选人，综合评分相等时，以投标报价低的优先；投标报价也相等的，以监理大纲得分高的优先；如仍存在相同情况，则对具有相同情况的投标人，按中标候选人数量规定，由评标委员会采用记名投票方式，以得票多的优先</w:t>
            </w:r>
          </w:p>
        </w:tc>
      </w:tr>
      <w:tr w14:paraId="1823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40A8ECF">
            <w:pPr>
              <w:pStyle w:val="28"/>
              <w:kinsoku w:val="0"/>
              <w:overflowPunct w:val="0"/>
              <w:jc w:val="both"/>
              <w:rPr>
                <w:rFonts w:hint="eastAsia" w:ascii="宋体" w:hAnsi="宋体" w:cs="宋体"/>
                <w:color w:val="auto"/>
                <w:sz w:val="21"/>
                <w:szCs w:val="21"/>
                <w:highlight w:val="none"/>
              </w:rPr>
            </w:pPr>
            <w:r>
              <w:rPr>
                <w:rFonts w:ascii="宋体" w:hAnsi="宋体" w:cs="宋体"/>
                <w:color w:val="auto"/>
                <w:sz w:val="21"/>
                <w:szCs w:val="21"/>
                <w:highlight w:val="none"/>
              </w:rPr>
              <w:t>2.1.1</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5924EA3F">
            <w:pPr>
              <w:pStyle w:val="28"/>
              <w:kinsoku w:val="0"/>
              <w:overflowPunct w:val="0"/>
              <w:spacing w:line="384" w:lineRule="auto"/>
              <w:ind w:right="132"/>
              <w:jc w:val="both"/>
              <w:rPr>
                <w:rFonts w:hint="eastAsia" w:ascii="宋体" w:hAnsi="宋体" w:cs="宋体"/>
                <w:color w:val="auto"/>
                <w:sz w:val="21"/>
                <w:szCs w:val="21"/>
                <w:highlight w:val="none"/>
              </w:rPr>
            </w:pPr>
            <w:r>
              <w:rPr>
                <w:rFonts w:ascii="宋体" w:hAnsi="宋体" w:cs="宋体"/>
                <w:color w:val="auto"/>
                <w:sz w:val="21"/>
                <w:szCs w:val="21"/>
                <w:highlight w:val="none"/>
              </w:rPr>
              <w:t>资格评审标准</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36C17220">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营业执照</w:t>
            </w:r>
          </w:p>
        </w:tc>
        <w:tc>
          <w:tcPr>
            <w:tcW w:w="5358" w:type="dxa"/>
            <w:tcBorders>
              <w:top w:val="single" w:color="auto" w:sz="4" w:space="0"/>
              <w:left w:val="single" w:color="auto" w:sz="4" w:space="0"/>
              <w:bottom w:val="single" w:color="auto" w:sz="4" w:space="0"/>
              <w:right w:val="single" w:color="auto" w:sz="4" w:space="0"/>
              <w:tl2br w:val="nil"/>
              <w:tr2bl w:val="nil"/>
            </w:tcBorders>
          </w:tcPr>
          <w:p w14:paraId="3442A4FF">
            <w:pPr>
              <w:pStyle w:val="28"/>
              <w:kinsoku w:val="0"/>
              <w:overflowPunct w:val="0"/>
              <w:spacing w:before="107"/>
              <w:jc w:val="both"/>
              <w:rPr>
                <w:rFonts w:hint="eastAsia" w:ascii="宋体" w:hAnsi="宋体" w:cs="宋体"/>
                <w:color w:val="auto"/>
                <w:sz w:val="21"/>
                <w:szCs w:val="21"/>
                <w:highlight w:val="none"/>
              </w:rPr>
            </w:pPr>
            <w:r>
              <w:rPr>
                <w:rFonts w:ascii="宋体" w:hAnsi="宋体" w:cs="宋体"/>
                <w:color w:val="auto"/>
                <w:sz w:val="21"/>
                <w:szCs w:val="21"/>
                <w:highlight w:val="none"/>
              </w:rPr>
              <w:t>符合第二章“投标人须知”第 3.5.1项规定，具备有效的营业执照</w:t>
            </w:r>
          </w:p>
        </w:tc>
      </w:tr>
      <w:tr w14:paraId="24F0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7F548F9">
            <w:pPr>
              <w:pStyle w:val="28"/>
              <w:kinsoku w:val="0"/>
              <w:overflowPunct w:val="0"/>
              <w:jc w:val="both"/>
              <w:rPr>
                <w:rFonts w:hint="eastAsia" w:ascii="宋体" w:hAnsi="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55454A6">
            <w:pPr>
              <w:pStyle w:val="28"/>
              <w:kinsoku w:val="0"/>
              <w:overflowPunct w:val="0"/>
              <w:spacing w:line="384" w:lineRule="auto"/>
              <w:ind w:right="132"/>
              <w:jc w:val="both"/>
              <w:rPr>
                <w:rFonts w:hint="eastAsia" w:ascii="宋体" w:hAnsi="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0DC06CC1">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资质要求</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376F2943">
            <w:pPr>
              <w:pStyle w:val="28"/>
              <w:kinsoku w:val="0"/>
              <w:overflowPunct w:val="0"/>
              <w:spacing w:before="107"/>
              <w:jc w:val="both"/>
              <w:rPr>
                <w:rFonts w:hint="eastAsia" w:ascii="宋体" w:hAnsi="宋体" w:cs="宋体"/>
                <w:color w:val="auto"/>
                <w:sz w:val="21"/>
                <w:szCs w:val="21"/>
                <w:highlight w:val="none"/>
              </w:rPr>
            </w:pPr>
            <w:r>
              <w:rPr>
                <w:rFonts w:ascii="宋体" w:hAnsi="宋体" w:cs="宋体"/>
                <w:color w:val="auto"/>
                <w:sz w:val="21"/>
                <w:szCs w:val="21"/>
                <w:highlight w:val="none"/>
              </w:rPr>
              <w:t>符合第二章“投标人须知”第 1.4.1项规定</w:t>
            </w:r>
          </w:p>
        </w:tc>
      </w:tr>
      <w:tr w14:paraId="6421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32BBB0C">
            <w:pPr>
              <w:pStyle w:val="28"/>
              <w:kinsoku w:val="0"/>
              <w:overflowPunct w:val="0"/>
              <w:jc w:val="both"/>
              <w:rPr>
                <w:rFonts w:hint="eastAsia" w:ascii="宋体" w:hAnsi="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3A98950">
            <w:pPr>
              <w:pStyle w:val="28"/>
              <w:kinsoku w:val="0"/>
              <w:overflowPunct w:val="0"/>
              <w:spacing w:line="384" w:lineRule="auto"/>
              <w:ind w:right="132"/>
              <w:jc w:val="both"/>
              <w:rPr>
                <w:rFonts w:hint="eastAsia" w:ascii="宋体" w:hAnsi="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7EEA2B39">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总监理工程师</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05580EB9">
            <w:pPr>
              <w:pStyle w:val="28"/>
              <w:kinsoku w:val="0"/>
              <w:overflowPunct w:val="0"/>
              <w:spacing w:before="107"/>
              <w:jc w:val="both"/>
              <w:rPr>
                <w:rFonts w:hint="eastAsia" w:ascii="宋体" w:hAnsi="宋体" w:cs="宋体"/>
                <w:color w:val="auto"/>
                <w:sz w:val="21"/>
                <w:szCs w:val="21"/>
                <w:highlight w:val="none"/>
              </w:rPr>
            </w:pPr>
            <w:r>
              <w:rPr>
                <w:rFonts w:ascii="宋体" w:hAnsi="宋体" w:cs="宋体"/>
                <w:color w:val="auto"/>
                <w:sz w:val="21"/>
                <w:szCs w:val="21"/>
                <w:highlight w:val="none"/>
              </w:rPr>
              <w:t>符合第二章“投标人须知”第 1.4.1项规定</w:t>
            </w:r>
          </w:p>
        </w:tc>
      </w:tr>
      <w:tr w14:paraId="575E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DC34528">
            <w:pPr>
              <w:pStyle w:val="28"/>
              <w:kinsoku w:val="0"/>
              <w:overflowPunct w:val="0"/>
              <w:jc w:val="both"/>
              <w:rPr>
                <w:rFonts w:hint="eastAsia" w:ascii="宋体" w:hAnsi="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44B2786">
            <w:pPr>
              <w:pStyle w:val="28"/>
              <w:kinsoku w:val="0"/>
              <w:overflowPunct w:val="0"/>
              <w:spacing w:line="384" w:lineRule="auto"/>
              <w:ind w:right="132"/>
              <w:jc w:val="both"/>
              <w:rPr>
                <w:rFonts w:hint="eastAsia" w:ascii="宋体" w:hAnsi="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0DC0DB60">
            <w:pPr>
              <w:pStyle w:val="28"/>
              <w:kinsoku w:val="0"/>
              <w:overflowPunct w:val="0"/>
              <w:jc w:val="center"/>
              <w:rPr>
                <w:rFonts w:hint="eastAsia" w:ascii="宋体" w:hAnsi="宋体" w:cs="宋体"/>
                <w:strike/>
                <w:color w:val="auto"/>
                <w:sz w:val="21"/>
                <w:szCs w:val="21"/>
                <w:highlight w:val="none"/>
              </w:rPr>
            </w:pPr>
            <w:r>
              <w:rPr>
                <w:rFonts w:ascii="宋体" w:hAnsi="宋体" w:cs="宋体"/>
                <w:strike/>
                <w:color w:val="auto"/>
                <w:sz w:val="21"/>
                <w:szCs w:val="21"/>
                <w:highlight w:val="none"/>
              </w:rPr>
              <w:t>业绩要求</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755D9505">
            <w:pPr>
              <w:pStyle w:val="28"/>
              <w:kinsoku w:val="0"/>
              <w:overflowPunct w:val="0"/>
              <w:spacing w:before="107"/>
              <w:jc w:val="both"/>
              <w:rPr>
                <w:rFonts w:hint="eastAsia" w:ascii="宋体" w:hAnsi="宋体" w:cs="宋体"/>
                <w:strike/>
                <w:color w:val="auto"/>
                <w:sz w:val="21"/>
                <w:szCs w:val="21"/>
                <w:highlight w:val="none"/>
              </w:rPr>
            </w:pPr>
            <w:r>
              <w:rPr>
                <w:rFonts w:ascii="宋体" w:hAnsi="宋体" w:cs="宋体"/>
                <w:strike/>
                <w:color w:val="auto"/>
                <w:sz w:val="21"/>
                <w:szCs w:val="21"/>
                <w:highlight w:val="none"/>
              </w:rPr>
              <w:t>符合第二章“投标人须知”第 1.4.1项规定</w:t>
            </w:r>
          </w:p>
        </w:tc>
      </w:tr>
      <w:tr w14:paraId="2AB4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72EB76F">
            <w:pPr>
              <w:pStyle w:val="28"/>
              <w:kinsoku w:val="0"/>
              <w:overflowPunct w:val="0"/>
              <w:jc w:val="both"/>
              <w:rPr>
                <w:rFonts w:hint="eastAsia" w:ascii="宋体" w:hAnsi="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E4E51C7">
            <w:pPr>
              <w:pStyle w:val="28"/>
              <w:kinsoku w:val="0"/>
              <w:overflowPunct w:val="0"/>
              <w:spacing w:line="384" w:lineRule="auto"/>
              <w:ind w:right="132"/>
              <w:jc w:val="both"/>
              <w:rPr>
                <w:rFonts w:hint="eastAsia" w:ascii="宋体" w:hAnsi="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3FB82C30">
            <w:pPr>
              <w:pStyle w:val="28"/>
              <w:kinsoku w:val="0"/>
              <w:overflowPunct w:val="0"/>
              <w:jc w:val="center"/>
              <w:rPr>
                <w:rFonts w:hint="eastAsia" w:ascii="宋体" w:hAnsi="宋体" w:cs="宋体"/>
                <w:strike/>
                <w:color w:val="auto"/>
                <w:sz w:val="21"/>
                <w:szCs w:val="21"/>
                <w:highlight w:val="none"/>
              </w:rPr>
            </w:pPr>
            <w:r>
              <w:rPr>
                <w:rFonts w:ascii="宋体" w:hAnsi="宋体" w:cs="宋体"/>
                <w:strike/>
                <w:color w:val="auto"/>
                <w:sz w:val="21"/>
                <w:szCs w:val="21"/>
                <w:highlight w:val="none"/>
              </w:rPr>
              <w:t>联合体投标人</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3BCD8F13">
            <w:pPr>
              <w:pStyle w:val="28"/>
              <w:kinsoku w:val="0"/>
              <w:overflowPunct w:val="0"/>
              <w:jc w:val="both"/>
              <w:rPr>
                <w:rFonts w:hint="eastAsia" w:ascii="宋体" w:hAnsi="宋体" w:cs="宋体"/>
                <w:strike/>
                <w:color w:val="auto"/>
                <w:sz w:val="21"/>
                <w:szCs w:val="21"/>
                <w:highlight w:val="none"/>
              </w:rPr>
            </w:pPr>
            <w:r>
              <w:rPr>
                <w:rFonts w:ascii="宋体" w:hAnsi="宋体" w:cs="宋体"/>
                <w:strike/>
                <w:color w:val="auto"/>
                <w:sz w:val="21"/>
                <w:szCs w:val="21"/>
                <w:highlight w:val="none"/>
              </w:rPr>
              <w:t>符合第二章“投标人须知”第1.4.2项规定</w:t>
            </w:r>
          </w:p>
        </w:tc>
      </w:tr>
      <w:tr w14:paraId="1F0F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7F7D648">
            <w:pPr>
              <w:pStyle w:val="28"/>
              <w:kinsoku w:val="0"/>
              <w:overflowPunct w:val="0"/>
              <w:jc w:val="both"/>
              <w:rPr>
                <w:rFonts w:hint="eastAsia" w:ascii="宋体" w:hAnsi="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9AABA85">
            <w:pPr>
              <w:pStyle w:val="28"/>
              <w:kinsoku w:val="0"/>
              <w:overflowPunct w:val="0"/>
              <w:spacing w:line="384" w:lineRule="auto"/>
              <w:ind w:right="132"/>
              <w:jc w:val="both"/>
              <w:rPr>
                <w:rFonts w:hint="eastAsia" w:ascii="宋体" w:hAnsi="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6724DFBF">
            <w:pPr>
              <w:jc w:val="center"/>
              <w:rPr>
                <w:rFonts w:ascii="宋体" w:hAnsi="Calibri"/>
                <w:snapToGrid w:val="0"/>
                <w:color w:val="auto"/>
                <w:kern w:val="2"/>
                <w:sz w:val="21"/>
                <w:szCs w:val="21"/>
                <w:highlight w:val="none"/>
              </w:rPr>
            </w:pPr>
            <w:r>
              <w:rPr>
                <w:rFonts w:ascii="宋体" w:hAnsi="宋体" w:cs="宋体"/>
                <w:color w:val="auto"/>
                <w:spacing w:val="-2"/>
                <w:sz w:val="21"/>
                <w:szCs w:val="21"/>
                <w:highlight w:val="none"/>
              </w:rPr>
              <w:t>未被纳入失信联合惩戒名单且被限制参与相关项目投标的</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641F7195">
            <w:pPr>
              <w:ind w:left="137" w:leftChars="57"/>
              <w:rPr>
                <w:rFonts w:ascii="宋体" w:hAnsi="Calibri"/>
                <w:snapToGrid w:val="0"/>
                <w:color w:val="auto"/>
                <w:kern w:val="2"/>
                <w:sz w:val="21"/>
                <w:szCs w:val="21"/>
                <w:highlight w:val="none"/>
              </w:rPr>
            </w:pPr>
            <w:r>
              <w:rPr>
                <w:rFonts w:ascii="宋体" w:hAnsi="宋体" w:cs="宋体"/>
                <w:color w:val="auto"/>
                <w:spacing w:val="-4"/>
                <w:sz w:val="21"/>
                <w:szCs w:val="21"/>
                <w:highlight w:val="none"/>
              </w:rPr>
              <w:t>失信联合惩戒名单以“信用广州”网站公布的“</w:t>
            </w:r>
            <w:r>
              <w:rPr>
                <w:rFonts w:hint="eastAsia" w:ascii="宋体" w:hAnsi="宋体" w:cs="宋体"/>
                <w:color w:val="auto"/>
                <w:spacing w:val="-4"/>
                <w:sz w:val="21"/>
                <w:szCs w:val="21"/>
                <w:highlight w:val="none"/>
              </w:rPr>
              <w:t>黑名单</w:t>
            </w:r>
            <w:r>
              <w:rPr>
                <w:rFonts w:ascii="宋体" w:hAnsi="宋体" w:cs="宋体"/>
                <w:color w:val="auto"/>
                <w:spacing w:val="-4"/>
                <w:sz w:val="21"/>
                <w:szCs w:val="21"/>
                <w:highlight w:val="none"/>
              </w:rPr>
              <w:t>”为准。（提供查询结果网页截图，并加盖公章。）</w:t>
            </w:r>
          </w:p>
        </w:tc>
      </w:tr>
      <w:tr w14:paraId="7E03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FC72242">
            <w:pPr>
              <w:pStyle w:val="28"/>
              <w:kinsoku w:val="0"/>
              <w:overflowPunct w:val="0"/>
              <w:jc w:val="both"/>
              <w:rPr>
                <w:rFonts w:hint="eastAsia" w:ascii="宋体" w:hAnsi="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2CA7832">
            <w:pPr>
              <w:pStyle w:val="28"/>
              <w:kinsoku w:val="0"/>
              <w:overflowPunct w:val="0"/>
              <w:spacing w:line="384" w:lineRule="auto"/>
              <w:ind w:right="132"/>
              <w:jc w:val="both"/>
              <w:rPr>
                <w:rFonts w:hint="eastAsia" w:ascii="宋体" w:hAnsi="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2772DEE5">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投标人声明</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472E9D09">
            <w:pPr>
              <w:pStyle w:val="28"/>
              <w:kinsoku w:val="0"/>
              <w:overflowPunct w:val="0"/>
              <w:jc w:val="both"/>
              <w:rPr>
                <w:rFonts w:hint="eastAsia" w:ascii="宋体" w:hAnsi="宋体" w:cs="宋体"/>
                <w:color w:val="auto"/>
                <w:sz w:val="21"/>
                <w:szCs w:val="21"/>
                <w:highlight w:val="none"/>
              </w:rPr>
            </w:pPr>
            <w:r>
              <w:rPr>
                <w:rFonts w:ascii="宋体" w:hAnsi="宋体" w:cs="宋体"/>
                <w:color w:val="auto"/>
                <w:sz w:val="21"/>
                <w:szCs w:val="21"/>
                <w:highlight w:val="none"/>
              </w:rPr>
              <w:t>投标人已按第六章“投标文件格式”规定的内容签署盖章《投标人声明》，且总监理工程师、技术负责人签字确认</w:t>
            </w:r>
          </w:p>
        </w:tc>
      </w:tr>
      <w:tr w14:paraId="5CCD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91D210E">
            <w:pPr>
              <w:pStyle w:val="28"/>
              <w:kinsoku w:val="0"/>
              <w:overflowPunct w:val="0"/>
              <w:jc w:val="both"/>
              <w:rPr>
                <w:rFonts w:hint="eastAsia" w:ascii="宋体" w:hAnsi="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A8CFFA8">
            <w:pPr>
              <w:pStyle w:val="28"/>
              <w:kinsoku w:val="0"/>
              <w:overflowPunct w:val="0"/>
              <w:spacing w:line="384" w:lineRule="auto"/>
              <w:ind w:right="132"/>
              <w:jc w:val="both"/>
              <w:rPr>
                <w:rFonts w:hint="eastAsia" w:ascii="宋体" w:hAnsi="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01BFE57D">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不存在禁止投标的情形</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1C0914C5">
            <w:pPr>
              <w:pStyle w:val="28"/>
              <w:kinsoku w:val="0"/>
              <w:overflowPunct w:val="0"/>
              <w:jc w:val="both"/>
              <w:rPr>
                <w:rFonts w:hint="eastAsia" w:ascii="宋体" w:hAnsi="宋体" w:cs="宋体"/>
                <w:color w:val="auto"/>
                <w:sz w:val="21"/>
                <w:szCs w:val="21"/>
                <w:highlight w:val="none"/>
              </w:rPr>
            </w:pPr>
            <w:r>
              <w:rPr>
                <w:rFonts w:ascii="宋体" w:hAnsi="宋体" w:cs="宋体"/>
                <w:color w:val="auto"/>
                <w:sz w:val="21"/>
                <w:szCs w:val="21"/>
                <w:highlight w:val="none"/>
              </w:rPr>
              <w:t>不存在第二章“投标人须知”第 1.4.3项规定的任何一种情形</w:t>
            </w:r>
          </w:p>
        </w:tc>
      </w:tr>
      <w:tr w14:paraId="0D49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E416BD6">
            <w:pPr>
              <w:pStyle w:val="28"/>
              <w:kinsoku w:val="0"/>
              <w:overflowPunct w:val="0"/>
              <w:jc w:val="both"/>
              <w:rPr>
                <w:rFonts w:hint="eastAsia" w:ascii="宋体" w:hAnsi="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2536D1A">
            <w:pPr>
              <w:pStyle w:val="28"/>
              <w:kinsoku w:val="0"/>
              <w:overflowPunct w:val="0"/>
              <w:spacing w:line="384" w:lineRule="auto"/>
              <w:ind w:right="132"/>
              <w:jc w:val="both"/>
              <w:rPr>
                <w:rFonts w:hint="eastAsia" w:ascii="宋体" w:hAnsi="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5C586EF0">
            <w:pPr>
              <w:pStyle w:val="28"/>
              <w:kinsoku w:val="0"/>
              <w:overflowPunct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其他要求</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5E8E5D33">
            <w:pPr>
              <w:pStyle w:val="28"/>
              <w:kinsoku w:val="0"/>
              <w:overflowPunct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1）投标人参加投标的意思表达清楚，投标人代表被授权有效。</w:t>
            </w:r>
          </w:p>
          <w:p w14:paraId="68AB0385">
            <w:pPr>
              <w:pStyle w:val="28"/>
              <w:kinsoku w:val="0"/>
              <w:overflowPunct w:val="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2) 投标登记前，投标人须已在广州公共资源交易中心办理企业信息登记及拟担任本工程总监理工程师须是本单位在企业库中的在册人员。</w:t>
            </w:r>
          </w:p>
        </w:tc>
      </w:tr>
      <w:tr w14:paraId="2954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0A41835">
            <w:pPr>
              <w:pStyle w:val="28"/>
              <w:kinsoku w:val="0"/>
              <w:overflowPunct w:val="0"/>
              <w:jc w:val="both"/>
              <w:rPr>
                <w:rFonts w:hint="eastAsia" w:ascii="宋体" w:hAnsi="宋体" w:cs="宋体"/>
                <w:color w:val="auto"/>
                <w:sz w:val="21"/>
                <w:szCs w:val="21"/>
                <w:highlight w:val="none"/>
              </w:rPr>
            </w:pPr>
            <w:r>
              <w:rPr>
                <w:rFonts w:ascii="宋体" w:hAnsi="宋体" w:cs="宋体"/>
                <w:color w:val="auto"/>
                <w:sz w:val="21"/>
                <w:szCs w:val="21"/>
                <w:highlight w:val="none"/>
              </w:rPr>
              <w:t>2.1.2</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0F6C3556">
            <w:pPr>
              <w:pStyle w:val="28"/>
              <w:kinsoku w:val="0"/>
              <w:overflowPunct w:val="0"/>
              <w:spacing w:line="384" w:lineRule="auto"/>
              <w:ind w:right="132"/>
              <w:jc w:val="both"/>
              <w:rPr>
                <w:rFonts w:hint="eastAsia" w:ascii="宋体" w:hAnsi="宋体" w:cs="宋体"/>
                <w:color w:val="auto"/>
                <w:sz w:val="21"/>
                <w:szCs w:val="21"/>
                <w:highlight w:val="none"/>
              </w:rPr>
            </w:pPr>
            <w:r>
              <w:rPr>
                <w:rFonts w:ascii="宋体" w:hAnsi="宋体" w:cs="宋体"/>
                <w:color w:val="auto"/>
                <w:sz w:val="21"/>
                <w:szCs w:val="21"/>
                <w:highlight w:val="none"/>
              </w:rPr>
              <w:t>形式评审标准</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1CF1601F">
            <w:pPr>
              <w:pStyle w:val="28"/>
              <w:kinsoku w:val="0"/>
              <w:overflowPunct w:val="0"/>
              <w:spacing w:before="110"/>
              <w:jc w:val="center"/>
              <w:rPr>
                <w:rFonts w:hint="eastAsia" w:ascii="宋体" w:hAnsi="宋体" w:cs="宋体"/>
                <w:color w:val="auto"/>
                <w:sz w:val="21"/>
                <w:szCs w:val="21"/>
                <w:highlight w:val="none"/>
              </w:rPr>
            </w:pPr>
            <w:r>
              <w:rPr>
                <w:rFonts w:ascii="宋体" w:hAnsi="宋体" w:cs="宋体"/>
                <w:color w:val="auto"/>
                <w:sz w:val="21"/>
                <w:szCs w:val="21"/>
                <w:highlight w:val="none"/>
              </w:rPr>
              <w:t>投标人名称</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1088DBB3">
            <w:pPr>
              <w:pStyle w:val="28"/>
              <w:kinsoku w:val="0"/>
              <w:overflowPunct w:val="0"/>
              <w:spacing w:before="110"/>
              <w:jc w:val="both"/>
              <w:rPr>
                <w:rFonts w:hint="eastAsia" w:ascii="宋体" w:hAnsi="宋体" w:cs="宋体"/>
                <w:color w:val="auto"/>
                <w:sz w:val="21"/>
                <w:szCs w:val="21"/>
                <w:highlight w:val="none"/>
              </w:rPr>
            </w:pPr>
            <w:r>
              <w:rPr>
                <w:rFonts w:ascii="宋体" w:hAnsi="宋体" w:cs="宋体"/>
                <w:color w:val="auto"/>
                <w:sz w:val="21"/>
                <w:szCs w:val="21"/>
                <w:highlight w:val="none"/>
              </w:rPr>
              <w:t>与营业执照、资质证书一致</w:t>
            </w:r>
          </w:p>
        </w:tc>
      </w:tr>
      <w:tr w14:paraId="3384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continue"/>
            <w:tcBorders>
              <w:left w:val="single" w:color="auto" w:sz="4" w:space="0"/>
              <w:right w:val="single" w:color="auto" w:sz="4" w:space="0"/>
              <w:tl2br w:val="nil"/>
              <w:tr2bl w:val="nil"/>
            </w:tcBorders>
            <w:vAlign w:val="center"/>
          </w:tcPr>
          <w:p w14:paraId="0B1D80C8">
            <w:pPr>
              <w:pStyle w:val="28"/>
              <w:kinsoku w:val="0"/>
              <w:overflowPunct w:val="0"/>
              <w:jc w:val="both"/>
              <w:rPr>
                <w:rFonts w:hint="eastAsia" w:ascii="宋体" w:hAnsi="宋体" w:cs="宋体"/>
                <w:color w:val="auto"/>
                <w:sz w:val="21"/>
                <w:szCs w:val="21"/>
                <w:highlight w:val="none"/>
              </w:rPr>
            </w:pPr>
          </w:p>
        </w:tc>
        <w:tc>
          <w:tcPr>
            <w:tcW w:w="1300" w:type="dxa"/>
            <w:gridSpan w:val="2"/>
            <w:vMerge w:val="continue"/>
            <w:tcBorders>
              <w:left w:val="single" w:color="auto" w:sz="4" w:space="0"/>
              <w:right w:val="single" w:color="auto" w:sz="4" w:space="0"/>
              <w:tl2br w:val="nil"/>
              <w:tr2bl w:val="nil"/>
            </w:tcBorders>
            <w:vAlign w:val="center"/>
          </w:tcPr>
          <w:p w14:paraId="1E808614">
            <w:pPr>
              <w:pStyle w:val="28"/>
              <w:kinsoku w:val="0"/>
              <w:overflowPunct w:val="0"/>
              <w:spacing w:line="384" w:lineRule="auto"/>
              <w:ind w:right="132"/>
              <w:jc w:val="both"/>
              <w:rPr>
                <w:rFonts w:hint="eastAsia" w:ascii="宋体" w:hAnsi="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6B1DEA16">
            <w:pPr>
              <w:pStyle w:val="28"/>
              <w:kinsoku w:val="0"/>
              <w:overflowPunct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投标人参加投标的意思表达清楚，投标人代表被授权有效</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11C84006">
            <w:pPr>
              <w:pStyle w:val="28"/>
              <w:kinsoku w:val="0"/>
              <w:overflowPunct w:val="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投标人声明、廉洁承诺书、法定代表人证明书；委托投标的还应提供法人授权委托证明书</w:t>
            </w:r>
          </w:p>
        </w:tc>
      </w:tr>
      <w:tr w14:paraId="1090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C6A2518">
            <w:pPr>
              <w:pStyle w:val="4"/>
              <w:kinsoku w:val="0"/>
              <w:overflowPunct w:val="0"/>
              <w:spacing w:before="120" w:after="12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8E8BDB2">
            <w:pPr>
              <w:pStyle w:val="4"/>
              <w:kinsoku w:val="0"/>
              <w:overflowPunct w:val="0"/>
              <w:spacing w:before="120" w:after="12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671FFBB7">
            <w:pPr>
              <w:pStyle w:val="28"/>
              <w:kinsoku w:val="0"/>
              <w:overflowPunct w:val="0"/>
              <w:ind w:right="180"/>
              <w:jc w:val="center"/>
              <w:rPr>
                <w:rFonts w:hint="eastAsia" w:ascii="宋体" w:hAnsi="宋体" w:cs="宋体"/>
                <w:color w:val="auto"/>
                <w:sz w:val="21"/>
                <w:szCs w:val="21"/>
                <w:highlight w:val="none"/>
              </w:rPr>
            </w:pPr>
            <w:r>
              <w:rPr>
                <w:rFonts w:ascii="宋体" w:hAnsi="宋体" w:cs="宋体"/>
                <w:color w:val="auto"/>
                <w:spacing w:val="-2"/>
                <w:sz w:val="21"/>
                <w:szCs w:val="21"/>
                <w:highlight w:val="none"/>
              </w:rPr>
              <w:t>投标函及投标函附录签</w:t>
            </w:r>
            <w:r>
              <w:rPr>
                <w:rFonts w:ascii="宋体" w:hAnsi="宋体" w:cs="宋体"/>
                <w:color w:val="auto"/>
                <w:spacing w:val="-84"/>
                <w:sz w:val="21"/>
                <w:szCs w:val="21"/>
                <w:highlight w:val="none"/>
              </w:rPr>
              <w:t xml:space="preserve"> </w:t>
            </w:r>
            <w:r>
              <w:rPr>
                <w:rFonts w:ascii="宋体" w:hAnsi="宋体" w:cs="宋体"/>
                <w:color w:val="auto"/>
                <w:sz w:val="21"/>
                <w:szCs w:val="21"/>
                <w:highlight w:val="none"/>
              </w:rPr>
              <w:t>字盖章</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28019449">
            <w:pPr>
              <w:pStyle w:val="28"/>
              <w:kinsoku w:val="0"/>
              <w:overflowPunct w:val="0"/>
              <w:spacing w:before="107"/>
              <w:ind w:right="96"/>
              <w:jc w:val="both"/>
              <w:rPr>
                <w:rFonts w:hint="eastAsia" w:ascii="宋体" w:hAnsi="宋体" w:cs="宋体"/>
                <w:color w:val="auto"/>
                <w:sz w:val="21"/>
                <w:szCs w:val="21"/>
                <w:highlight w:val="none"/>
              </w:rPr>
            </w:pPr>
            <w:r>
              <w:rPr>
                <w:rFonts w:ascii="宋体" w:hAnsi="宋体" w:cs="宋体"/>
                <w:color w:val="auto"/>
                <w:sz w:val="21"/>
                <w:szCs w:val="21"/>
                <w:highlight w:val="none"/>
              </w:rPr>
              <w:t>有法定代表人或其委托代理人签字或加盖单位章。由法定代表人签字的，应附法定代表人身份证明，由代理人签字的，应附授权委托书，身份证明或授权委托书应符合第六章“投标文件格式”的规定</w:t>
            </w:r>
          </w:p>
        </w:tc>
      </w:tr>
      <w:tr w14:paraId="37AA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82CFFB0">
            <w:pPr>
              <w:pStyle w:val="4"/>
              <w:kinsoku w:val="0"/>
              <w:overflowPunct w:val="0"/>
              <w:spacing w:before="120" w:after="12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829AD1D">
            <w:pPr>
              <w:pStyle w:val="4"/>
              <w:kinsoku w:val="0"/>
              <w:overflowPunct w:val="0"/>
              <w:spacing w:before="120" w:after="12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40448636">
            <w:pPr>
              <w:pStyle w:val="28"/>
              <w:kinsoku w:val="0"/>
              <w:overflowPunct w:val="0"/>
              <w:spacing w:before="107"/>
              <w:jc w:val="center"/>
              <w:rPr>
                <w:rFonts w:hint="eastAsia" w:ascii="宋体" w:hAnsi="宋体" w:cs="宋体"/>
                <w:color w:val="auto"/>
                <w:sz w:val="21"/>
                <w:szCs w:val="21"/>
                <w:highlight w:val="none"/>
              </w:rPr>
            </w:pPr>
            <w:r>
              <w:rPr>
                <w:rFonts w:ascii="宋体" w:hAnsi="宋体" w:cs="宋体"/>
                <w:color w:val="auto"/>
                <w:sz w:val="21"/>
                <w:szCs w:val="21"/>
                <w:highlight w:val="none"/>
              </w:rPr>
              <w:t>投标文件格式</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273103F9">
            <w:pPr>
              <w:pStyle w:val="28"/>
              <w:kinsoku w:val="0"/>
              <w:overflowPunct w:val="0"/>
              <w:spacing w:before="107"/>
              <w:jc w:val="both"/>
              <w:rPr>
                <w:rFonts w:hint="eastAsia" w:ascii="宋体" w:hAnsi="宋体" w:cs="宋体"/>
                <w:color w:val="auto"/>
                <w:sz w:val="21"/>
                <w:szCs w:val="21"/>
                <w:highlight w:val="none"/>
              </w:rPr>
            </w:pPr>
            <w:r>
              <w:rPr>
                <w:rFonts w:ascii="宋体" w:hAnsi="宋体" w:cs="宋体"/>
                <w:color w:val="auto"/>
                <w:sz w:val="21"/>
                <w:szCs w:val="21"/>
                <w:highlight w:val="none"/>
              </w:rPr>
              <w:t>符合第六章“投标文件格式”的规定</w:t>
            </w:r>
          </w:p>
        </w:tc>
      </w:tr>
      <w:tr w14:paraId="2B7C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22A685A">
            <w:pPr>
              <w:pStyle w:val="4"/>
              <w:kinsoku w:val="0"/>
              <w:overflowPunct w:val="0"/>
              <w:spacing w:before="120" w:after="12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64BC550">
            <w:pPr>
              <w:pStyle w:val="4"/>
              <w:kinsoku w:val="0"/>
              <w:overflowPunct w:val="0"/>
              <w:spacing w:before="120" w:after="12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5E71BB78">
            <w:pPr>
              <w:pStyle w:val="28"/>
              <w:kinsoku w:val="0"/>
              <w:overflowPunct w:val="0"/>
              <w:jc w:val="center"/>
              <w:rPr>
                <w:rFonts w:hint="eastAsia" w:ascii="宋体" w:hAnsi="宋体" w:cs="宋体"/>
                <w:strike/>
                <w:color w:val="auto"/>
                <w:sz w:val="21"/>
                <w:szCs w:val="21"/>
                <w:highlight w:val="none"/>
              </w:rPr>
            </w:pPr>
            <w:r>
              <w:rPr>
                <w:rFonts w:ascii="宋体" w:hAnsi="宋体" w:cs="宋体"/>
                <w:strike/>
                <w:color w:val="auto"/>
                <w:sz w:val="21"/>
                <w:szCs w:val="21"/>
                <w:highlight w:val="none"/>
              </w:rPr>
              <w:t>联合体投标人</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30B0A8D5">
            <w:pPr>
              <w:pStyle w:val="28"/>
              <w:kinsoku w:val="0"/>
              <w:overflowPunct w:val="0"/>
              <w:spacing w:before="107"/>
              <w:jc w:val="both"/>
              <w:rPr>
                <w:rFonts w:hint="eastAsia" w:ascii="宋体" w:hAnsi="宋体" w:cs="宋体"/>
                <w:strike/>
                <w:color w:val="auto"/>
                <w:sz w:val="21"/>
                <w:szCs w:val="21"/>
                <w:highlight w:val="none"/>
              </w:rPr>
            </w:pPr>
            <w:r>
              <w:rPr>
                <w:rFonts w:ascii="宋体" w:hAnsi="宋体" w:cs="宋体"/>
                <w:strike/>
                <w:color w:val="auto"/>
                <w:sz w:val="21"/>
                <w:szCs w:val="21"/>
                <w:highlight w:val="none"/>
              </w:rPr>
              <w:t>提交符合招标文件要求的联合体协议书，明确各方承担连带责任，并明确联合体主办方</w:t>
            </w:r>
          </w:p>
        </w:tc>
      </w:tr>
      <w:tr w14:paraId="7AEA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9206375">
            <w:pPr>
              <w:pStyle w:val="4"/>
              <w:kinsoku w:val="0"/>
              <w:overflowPunct w:val="0"/>
              <w:spacing w:before="120" w:after="12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EA568B1">
            <w:pPr>
              <w:pStyle w:val="4"/>
              <w:kinsoku w:val="0"/>
              <w:overflowPunct w:val="0"/>
              <w:spacing w:before="120" w:after="12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3388EF10">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备选投标方案</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3944947E">
            <w:pPr>
              <w:pStyle w:val="28"/>
              <w:kinsoku w:val="0"/>
              <w:overflowPunct w:val="0"/>
              <w:spacing w:before="107"/>
              <w:jc w:val="both"/>
              <w:rPr>
                <w:rFonts w:hint="eastAsia" w:ascii="宋体" w:hAnsi="宋体" w:cs="宋体"/>
                <w:color w:val="auto"/>
                <w:sz w:val="21"/>
                <w:szCs w:val="21"/>
                <w:highlight w:val="none"/>
              </w:rPr>
            </w:pPr>
            <w:r>
              <w:rPr>
                <w:rFonts w:ascii="宋体" w:hAnsi="宋体" w:cs="宋体"/>
                <w:color w:val="auto"/>
                <w:sz w:val="21"/>
                <w:szCs w:val="21"/>
                <w:highlight w:val="none"/>
              </w:rPr>
              <w:t>除招标文件明确允许提交备选投标方案外，投标人不得提交备选投标方案</w:t>
            </w:r>
          </w:p>
        </w:tc>
      </w:tr>
      <w:tr w14:paraId="28C3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5B6EBF1">
            <w:pPr>
              <w:pStyle w:val="4"/>
              <w:kinsoku w:val="0"/>
              <w:overflowPunct w:val="0"/>
              <w:spacing w:before="120" w:after="12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B566B58">
            <w:pPr>
              <w:pStyle w:val="4"/>
              <w:kinsoku w:val="0"/>
              <w:overflowPunct w:val="0"/>
              <w:spacing w:before="120" w:after="12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72EF30D1">
            <w:pPr>
              <w:jc w:val="center"/>
              <w:rPr>
                <w:rFonts w:hint="eastAsia" w:ascii="宋体" w:hAnsi="宋体" w:cs="宋体"/>
                <w:color w:val="auto"/>
                <w:sz w:val="21"/>
                <w:szCs w:val="21"/>
                <w:highlight w:val="none"/>
              </w:rPr>
            </w:pPr>
            <w:r>
              <w:rPr>
                <w:rFonts w:ascii="宋体"/>
                <w:color w:val="auto"/>
                <w:sz w:val="21"/>
                <w:highlight w:val="none"/>
              </w:rPr>
              <w:t>投标人机器码</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14B2C3D9">
            <w:pPr>
              <w:ind w:left="91" w:leftChars="38"/>
              <w:jc w:val="both"/>
              <w:rPr>
                <w:rFonts w:hint="eastAsia" w:ascii="宋体" w:hAnsi="宋体" w:cs="宋体"/>
                <w:color w:val="auto"/>
                <w:sz w:val="21"/>
                <w:szCs w:val="21"/>
                <w:highlight w:val="none"/>
              </w:rPr>
            </w:pPr>
            <w:r>
              <w:rPr>
                <w:rFonts w:ascii="宋体"/>
                <w:color w:val="auto"/>
                <w:sz w:val="21"/>
                <w:highlight w:val="none"/>
              </w:rPr>
              <w:t>投标人与本项目其他投标人加密打包投标文件电脑机器特征码不一致的(以</w:t>
            </w:r>
            <w:r>
              <w:rPr>
                <w:rFonts w:hint="eastAsia" w:ascii="宋体"/>
                <w:color w:val="auto"/>
                <w:sz w:val="21"/>
                <w:highlight w:val="none"/>
              </w:rPr>
              <w:t>广州交易集团有限公司（广州公共资源交易中心）</w:t>
            </w:r>
            <w:r>
              <w:rPr>
                <w:rFonts w:ascii="宋体"/>
                <w:color w:val="auto"/>
                <w:sz w:val="21"/>
                <w:highlight w:val="none"/>
              </w:rPr>
              <w:t>交易平台</w:t>
            </w:r>
            <w:r>
              <w:rPr>
                <w:rFonts w:hint="eastAsia" w:ascii="宋体"/>
                <w:color w:val="auto"/>
                <w:sz w:val="21"/>
                <w:highlight w:val="none"/>
              </w:rPr>
              <w:t>开标</w:t>
            </w:r>
            <w:r>
              <w:rPr>
                <w:rFonts w:ascii="宋体"/>
                <w:color w:val="auto"/>
                <w:sz w:val="21"/>
                <w:highlight w:val="none"/>
              </w:rPr>
              <w:t>系统的检索信息为准)</w:t>
            </w:r>
          </w:p>
        </w:tc>
      </w:tr>
      <w:tr w14:paraId="7E8E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CE7DD57">
            <w:pPr>
              <w:pStyle w:val="28"/>
              <w:kinsoku w:val="0"/>
              <w:overflowPunct w:val="0"/>
              <w:jc w:val="both"/>
              <w:rPr>
                <w:rFonts w:hint="eastAsia" w:ascii="宋体" w:hAnsi="宋体" w:cs="宋体"/>
                <w:color w:val="auto"/>
                <w:sz w:val="21"/>
                <w:szCs w:val="21"/>
                <w:highlight w:val="none"/>
              </w:rPr>
            </w:pPr>
            <w:r>
              <w:rPr>
                <w:rFonts w:ascii="宋体" w:hAnsi="宋体" w:cs="宋体"/>
                <w:color w:val="auto"/>
                <w:sz w:val="21"/>
                <w:szCs w:val="21"/>
                <w:highlight w:val="none"/>
              </w:rPr>
              <w:t>2.1.3</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209D5638">
            <w:pPr>
              <w:pStyle w:val="28"/>
              <w:kinsoku w:val="0"/>
              <w:overflowPunct w:val="0"/>
              <w:jc w:val="both"/>
              <w:rPr>
                <w:rFonts w:hint="eastAsia" w:ascii="宋体" w:hAnsi="宋体" w:cs="宋体"/>
                <w:color w:val="auto"/>
                <w:sz w:val="21"/>
                <w:szCs w:val="21"/>
                <w:highlight w:val="none"/>
              </w:rPr>
            </w:pPr>
            <w:r>
              <w:rPr>
                <w:rFonts w:ascii="宋体" w:hAnsi="宋体" w:cs="宋体"/>
                <w:color w:val="auto"/>
                <w:sz w:val="21"/>
                <w:szCs w:val="21"/>
                <w:highlight w:val="none"/>
              </w:rPr>
              <w:t>响应性评审标准</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3A68AC9C">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投标报价</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635CAF9F">
            <w:pPr>
              <w:pStyle w:val="28"/>
              <w:kinsoku w:val="0"/>
              <w:overflowPunct w:val="0"/>
              <w:jc w:val="both"/>
              <w:rPr>
                <w:rFonts w:hint="eastAsia" w:ascii="宋体" w:hAnsi="宋体" w:cs="宋体"/>
                <w:color w:val="auto"/>
                <w:sz w:val="21"/>
                <w:szCs w:val="21"/>
                <w:highlight w:val="none"/>
              </w:rPr>
            </w:pPr>
            <w:r>
              <w:rPr>
                <w:rFonts w:ascii="宋体" w:hAnsi="宋体" w:cs="宋体"/>
                <w:color w:val="auto"/>
                <w:sz w:val="21"/>
                <w:szCs w:val="21"/>
                <w:highlight w:val="none"/>
              </w:rPr>
              <w:t>符合第二章“投标人须知”第3.2款规定</w:t>
            </w:r>
          </w:p>
        </w:tc>
      </w:tr>
      <w:tr w14:paraId="351B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tcPr>
          <w:p w14:paraId="64030CA5">
            <w:pPr>
              <w:pStyle w:val="4"/>
              <w:kinsoku w:val="0"/>
              <w:overflowPunct w:val="0"/>
              <w:spacing w:before="120" w:after="12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tcPr>
          <w:p w14:paraId="798AE1F5">
            <w:pPr>
              <w:pStyle w:val="4"/>
              <w:kinsoku w:val="0"/>
              <w:overflowPunct w:val="0"/>
              <w:spacing w:before="120" w:after="12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563D123A">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投标内容</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3F36D991">
            <w:pPr>
              <w:pStyle w:val="28"/>
              <w:kinsoku w:val="0"/>
              <w:overflowPunct w:val="0"/>
              <w:jc w:val="both"/>
              <w:rPr>
                <w:rFonts w:hint="eastAsia" w:ascii="宋体" w:hAnsi="宋体" w:cs="宋体"/>
                <w:color w:val="auto"/>
                <w:sz w:val="21"/>
                <w:szCs w:val="21"/>
                <w:highlight w:val="none"/>
              </w:rPr>
            </w:pPr>
            <w:r>
              <w:rPr>
                <w:rFonts w:ascii="宋体" w:hAnsi="宋体" w:cs="宋体"/>
                <w:color w:val="auto"/>
                <w:sz w:val="21"/>
                <w:szCs w:val="21"/>
                <w:highlight w:val="none"/>
              </w:rPr>
              <w:t>符合第二章“投标人须知”第1.3.1项规定</w:t>
            </w:r>
          </w:p>
        </w:tc>
      </w:tr>
      <w:tr w14:paraId="34B4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tcPr>
          <w:p w14:paraId="7197B3A0">
            <w:pPr>
              <w:pStyle w:val="4"/>
              <w:kinsoku w:val="0"/>
              <w:overflowPunct w:val="0"/>
              <w:spacing w:before="120" w:after="12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tcPr>
          <w:p w14:paraId="40F16D88">
            <w:pPr>
              <w:pStyle w:val="4"/>
              <w:kinsoku w:val="0"/>
              <w:overflowPunct w:val="0"/>
              <w:spacing w:before="120" w:after="12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53B98024">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监理服务期限</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1C4384D4">
            <w:pPr>
              <w:pStyle w:val="28"/>
              <w:kinsoku w:val="0"/>
              <w:overflowPunct w:val="0"/>
              <w:jc w:val="both"/>
              <w:rPr>
                <w:rFonts w:hint="eastAsia" w:ascii="宋体" w:hAnsi="宋体" w:cs="宋体"/>
                <w:color w:val="auto"/>
                <w:sz w:val="21"/>
                <w:szCs w:val="21"/>
                <w:highlight w:val="none"/>
              </w:rPr>
            </w:pPr>
            <w:r>
              <w:rPr>
                <w:rFonts w:ascii="宋体" w:hAnsi="宋体" w:cs="宋体"/>
                <w:color w:val="auto"/>
                <w:sz w:val="21"/>
                <w:szCs w:val="21"/>
                <w:highlight w:val="none"/>
              </w:rPr>
              <w:t>符合第二章“投标人须知”第1.3.2项规定</w:t>
            </w:r>
          </w:p>
        </w:tc>
      </w:tr>
      <w:tr w14:paraId="2DB0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tcPr>
          <w:p w14:paraId="3A9AEA46">
            <w:pPr>
              <w:pStyle w:val="4"/>
              <w:kinsoku w:val="0"/>
              <w:overflowPunct w:val="0"/>
              <w:spacing w:before="120" w:after="12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tcPr>
          <w:p w14:paraId="53B242B3">
            <w:pPr>
              <w:pStyle w:val="4"/>
              <w:kinsoku w:val="0"/>
              <w:overflowPunct w:val="0"/>
              <w:spacing w:before="120" w:after="12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353E2E45">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质量标准</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312EBBC3">
            <w:pPr>
              <w:pStyle w:val="28"/>
              <w:kinsoku w:val="0"/>
              <w:overflowPunct w:val="0"/>
              <w:jc w:val="both"/>
              <w:rPr>
                <w:rFonts w:hint="eastAsia" w:ascii="宋体" w:hAnsi="宋体" w:cs="宋体"/>
                <w:color w:val="auto"/>
                <w:sz w:val="21"/>
                <w:szCs w:val="21"/>
                <w:highlight w:val="none"/>
              </w:rPr>
            </w:pPr>
            <w:r>
              <w:rPr>
                <w:rFonts w:ascii="宋体" w:hAnsi="宋体" w:cs="宋体"/>
                <w:color w:val="auto"/>
                <w:sz w:val="21"/>
                <w:szCs w:val="21"/>
                <w:highlight w:val="none"/>
              </w:rPr>
              <w:t>符合第二章“投标人须知”第1.3.3项规定</w:t>
            </w:r>
          </w:p>
        </w:tc>
      </w:tr>
      <w:tr w14:paraId="1E9F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tcPr>
          <w:p w14:paraId="3FE14072">
            <w:pPr>
              <w:pStyle w:val="4"/>
              <w:kinsoku w:val="0"/>
              <w:overflowPunct w:val="0"/>
              <w:spacing w:before="120" w:after="12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tcPr>
          <w:p w14:paraId="07655B88">
            <w:pPr>
              <w:pStyle w:val="4"/>
              <w:kinsoku w:val="0"/>
              <w:overflowPunct w:val="0"/>
              <w:spacing w:before="120" w:after="12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360BDCFA">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投标有效期</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08BCF75C">
            <w:pPr>
              <w:pStyle w:val="28"/>
              <w:kinsoku w:val="0"/>
              <w:overflowPunct w:val="0"/>
              <w:jc w:val="both"/>
              <w:rPr>
                <w:rFonts w:hint="eastAsia" w:ascii="宋体" w:hAnsi="宋体" w:cs="宋体"/>
                <w:color w:val="auto"/>
                <w:sz w:val="21"/>
                <w:szCs w:val="21"/>
                <w:highlight w:val="none"/>
              </w:rPr>
            </w:pPr>
            <w:r>
              <w:rPr>
                <w:rFonts w:ascii="宋体" w:hAnsi="宋体" w:cs="宋体"/>
                <w:color w:val="auto"/>
                <w:sz w:val="21"/>
                <w:szCs w:val="21"/>
                <w:highlight w:val="none"/>
              </w:rPr>
              <w:t>符合第二章“投标人须知”第3.3.1项规定</w:t>
            </w:r>
          </w:p>
        </w:tc>
      </w:tr>
      <w:tr w14:paraId="1C02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tcPr>
          <w:p w14:paraId="36886EA8">
            <w:pPr>
              <w:pStyle w:val="4"/>
              <w:kinsoku w:val="0"/>
              <w:overflowPunct w:val="0"/>
              <w:spacing w:before="120" w:after="12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tcPr>
          <w:p w14:paraId="257AD299">
            <w:pPr>
              <w:pStyle w:val="4"/>
              <w:kinsoku w:val="0"/>
              <w:overflowPunct w:val="0"/>
              <w:spacing w:before="120" w:after="120"/>
              <w:outlineLvl w:val="9"/>
              <w:rPr>
                <w:rFonts w:hint="eastAsia" w:cs="宋体"/>
                <w:color w:val="auto"/>
                <w:sz w:val="21"/>
                <w:szCs w:val="21"/>
                <w:highlight w:val="none"/>
              </w:rPr>
            </w:pPr>
          </w:p>
        </w:tc>
        <w:tc>
          <w:tcPr>
            <w:tcW w:w="2013" w:type="dxa"/>
            <w:tcBorders>
              <w:top w:val="single" w:color="auto" w:sz="4" w:space="0"/>
              <w:left w:val="single" w:color="auto" w:sz="4" w:space="0"/>
              <w:right w:val="single" w:color="auto" w:sz="4" w:space="0"/>
              <w:tl2br w:val="nil"/>
              <w:tr2bl w:val="nil"/>
            </w:tcBorders>
            <w:vAlign w:val="center"/>
          </w:tcPr>
          <w:p w14:paraId="4506E672">
            <w:pPr>
              <w:pStyle w:val="28"/>
              <w:kinsoku w:val="0"/>
              <w:overflowPunct w:val="0"/>
              <w:jc w:val="center"/>
              <w:rPr>
                <w:rFonts w:hint="eastAsia" w:ascii="宋体" w:hAnsi="宋体" w:cs="宋体"/>
                <w:strike/>
                <w:color w:val="auto"/>
                <w:sz w:val="21"/>
                <w:szCs w:val="21"/>
                <w:highlight w:val="none"/>
              </w:rPr>
            </w:pPr>
            <w:r>
              <w:rPr>
                <w:rFonts w:ascii="宋体" w:hAnsi="宋体" w:cs="宋体"/>
                <w:strike/>
                <w:color w:val="auto"/>
                <w:sz w:val="21"/>
                <w:szCs w:val="21"/>
                <w:highlight w:val="none"/>
              </w:rPr>
              <w:t>投标保证金</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73687707">
            <w:pPr>
              <w:pStyle w:val="28"/>
              <w:kinsoku w:val="0"/>
              <w:overflowPunct w:val="0"/>
              <w:jc w:val="both"/>
              <w:rPr>
                <w:rFonts w:hint="eastAsia" w:ascii="宋体" w:hAnsi="宋体" w:cs="宋体"/>
                <w:strike/>
                <w:color w:val="auto"/>
                <w:sz w:val="21"/>
                <w:szCs w:val="21"/>
                <w:highlight w:val="none"/>
              </w:rPr>
            </w:pPr>
            <w:r>
              <w:rPr>
                <w:rFonts w:ascii="宋体" w:hAnsi="宋体" w:cs="宋体"/>
                <w:strike/>
                <w:color w:val="auto"/>
                <w:sz w:val="21"/>
                <w:szCs w:val="21"/>
                <w:highlight w:val="none"/>
              </w:rPr>
              <w:t>符合第二章“投标人须知”第3.4.1项规定</w:t>
            </w:r>
          </w:p>
        </w:tc>
      </w:tr>
      <w:tr w14:paraId="638A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tcPr>
          <w:p w14:paraId="200E7421">
            <w:pPr>
              <w:pStyle w:val="4"/>
              <w:kinsoku w:val="0"/>
              <w:overflowPunct w:val="0"/>
              <w:spacing w:before="120" w:after="12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tcPr>
          <w:p w14:paraId="4DC1CDEB">
            <w:pPr>
              <w:pStyle w:val="4"/>
              <w:kinsoku w:val="0"/>
              <w:overflowPunct w:val="0"/>
              <w:spacing w:before="120" w:after="12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3F219BDE">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不存在串通投标情形</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2AC0FDE9">
            <w:pPr>
              <w:pStyle w:val="28"/>
              <w:kinsoku w:val="0"/>
              <w:overflowPunct w:val="0"/>
              <w:jc w:val="both"/>
              <w:rPr>
                <w:rFonts w:hint="eastAsia" w:ascii="宋体" w:hAnsi="宋体" w:cs="宋体"/>
                <w:color w:val="auto"/>
                <w:sz w:val="21"/>
                <w:szCs w:val="21"/>
                <w:highlight w:val="none"/>
              </w:rPr>
            </w:pPr>
            <w:r>
              <w:rPr>
                <w:rFonts w:ascii="宋体" w:hAnsi="宋体" w:cs="宋体"/>
                <w:color w:val="auto"/>
                <w:sz w:val="21"/>
                <w:szCs w:val="21"/>
                <w:highlight w:val="none"/>
              </w:rPr>
              <w:t>不存在串通投标情形（串通投标情形以《中华人民共和国招标投标法实施条例》的规定为准）；</w:t>
            </w:r>
          </w:p>
        </w:tc>
      </w:tr>
      <w:tr w14:paraId="6DB5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010564D">
            <w:pPr>
              <w:pStyle w:val="28"/>
              <w:kinsoku w:val="0"/>
              <w:overflowPunct w:val="0"/>
              <w:spacing w:before="41"/>
              <w:jc w:val="center"/>
              <w:rPr>
                <w:rFonts w:hint="eastAsia" w:ascii="宋体" w:hAnsi="宋体" w:cs="宋体"/>
                <w:b/>
                <w:color w:val="auto"/>
                <w:sz w:val="21"/>
                <w:szCs w:val="21"/>
                <w:highlight w:val="none"/>
              </w:rPr>
            </w:pPr>
            <w:r>
              <w:rPr>
                <w:rFonts w:ascii="宋体" w:hAnsi="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5BF2E772">
            <w:pPr>
              <w:pStyle w:val="28"/>
              <w:kinsoku w:val="0"/>
              <w:overflowPunct w:val="0"/>
              <w:spacing w:before="41"/>
              <w:jc w:val="center"/>
              <w:rPr>
                <w:rFonts w:hint="eastAsia" w:ascii="宋体" w:hAnsi="宋体" w:cs="宋体"/>
                <w:b/>
                <w:color w:val="auto"/>
                <w:sz w:val="21"/>
                <w:szCs w:val="21"/>
                <w:highlight w:val="none"/>
              </w:rPr>
            </w:pPr>
            <w:r>
              <w:rPr>
                <w:rFonts w:ascii="宋体" w:hAnsi="宋体" w:cs="宋体"/>
                <w:b/>
                <w:color w:val="auto"/>
                <w:sz w:val="21"/>
                <w:szCs w:val="21"/>
                <w:highlight w:val="none"/>
              </w:rPr>
              <w:t>条款内容</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32494D27">
            <w:pPr>
              <w:pStyle w:val="28"/>
              <w:kinsoku w:val="0"/>
              <w:overflowPunct w:val="0"/>
              <w:spacing w:before="41"/>
              <w:jc w:val="center"/>
              <w:rPr>
                <w:rFonts w:hint="eastAsia" w:ascii="宋体" w:hAnsi="宋体" w:cs="宋体"/>
                <w:b/>
                <w:color w:val="auto"/>
                <w:sz w:val="21"/>
                <w:szCs w:val="21"/>
                <w:highlight w:val="none"/>
              </w:rPr>
            </w:pPr>
            <w:r>
              <w:rPr>
                <w:rFonts w:ascii="宋体" w:hAnsi="宋体" w:cs="宋体"/>
                <w:b/>
                <w:color w:val="auto"/>
                <w:sz w:val="21"/>
                <w:szCs w:val="21"/>
                <w:highlight w:val="none"/>
              </w:rPr>
              <w:t>编列内容</w:t>
            </w:r>
          </w:p>
        </w:tc>
      </w:tr>
      <w:tr w14:paraId="676B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1E2AA42">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2.2.1</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2BA81FBE">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分值构成(总分100分)</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7C82A355">
            <w:pPr>
              <w:pStyle w:val="28"/>
              <w:kinsoku w:val="0"/>
              <w:overflowPunct w:val="0"/>
              <w:jc w:val="both"/>
              <w:rPr>
                <w:rFonts w:hint="eastAsia" w:ascii="宋体" w:hAnsi="宋体" w:cs="宋体"/>
                <w:color w:val="auto"/>
                <w:sz w:val="21"/>
                <w:szCs w:val="21"/>
                <w:highlight w:val="none"/>
              </w:rPr>
            </w:pPr>
            <w:r>
              <w:rPr>
                <w:rFonts w:ascii="宋体" w:hAnsi="宋体" w:cs="宋体"/>
                <w:color w:val="auto"/>
                <w:sz w:val="21"/>
                <w:szCs w:val="21"/>
                <w:highlight w:val="none"/>
              </w:rPr>
              <w:t>资信业绩部分：</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40 </w:t>
            </w:r>
            <w:r>
              <w:rPr>
                <w:rFonts w:ascii="宋体" w:hAnsi="宋体" w:cs="宋体"/>
                <w:color w:val="auto"/>
                <w:sz w:val="21"/>
                <w:szCs w:val="21"/>
                <w:highlight w:val="none"/>
              </w:rPr>
              <w:t>分</w:t>
            </w:r>
          </w:p>
          <w:p w14:paraId="530CD404">
            <w:pPr>
              <w:pStyle w:val="28"/>
              <w:kinsoku w:val="0"/>
              <w:overflowPunct w:val="0"/>
              <w:jc w:val="both"/>
              <w:rPr>
                <w:rFonts w:hint="eastAsia" w:ascii="宋体" w:hAnsi="宋体" w:cs="宋体"/>
                <w:color w:val="auto"/>
                <w:sz w:val="21"/>
                <w:szCs w:val="21"/>
                <w:highlight w:val="none"/>
              </w:rPr>
            </w:pPr>
            <w:r>
              <w:rPr>
                <w:rFonts w:ascii="宋体" w:hAnsi="宋体" w:cs="宋体"/>
                <w:color w:val="auto"/>
                <w:sz w:val="21"/>
                <w:szCs w:val="21"/>
                <w:highlight w:val="none"/>
              </w:rPr>
              <w:t>监理大纲部分：</w:t>
            </w:r>
            <w:r>
              <w:rPr>
                <w:rFonts w:hint="eastAsia" w:ascii="宋体" w:hAnsi="宋体" w:cs="宋体"/>
                <w:color w:val="auto"/>
                <w:sz w:val="21"/>
                <w:szCs w:val="21"/>
                <w:highlight w:val="none"/>
                <w:u w:val="single"/>
              </w:rPr>
              <w:t xml:space="preserve"> 45  </w:t>
            </w:r>
            <w:r>
              <w:rPr>
                <w:rFonts w:ascii="宋体" w:hAnsi="宋体" w:cs="宋体"/>
                <w:color w:val="auto"/>
                <w:sz w:val="21"/>
                <w:szCs w:val="21"/>
                <w:highlight w:val="none"/>
              </w:rPr>
              <w:t>分</w:t>
            </w:r>
          </w:p>
          <w:p w14:paraId="0AD16700">
            <w:pPr>
              <w:pStyle w:val="28"/>
              <w:kinsoku w:val="0"/>
              <w:overflowPunct w:val="0"/>
              <w:jc w:val="both"/>
              <w:rPr>
                <w:rFonts w:hint="eastAsia" w:ascii="宋体" w:hAnsi="宋体" w:cs="宋体"/>
                <w:color w:val="auto"/>
                <w:sz w:val="21"/>
                <w:szCs w:val="21"/>
                <w:highlight w:val="none"/>
              </w:rPr>
            </w:pPr>
            <w:r>
              <w:rPr>
                <w:rFonts w:ascii="宋体" w:hAnsi="宋体" w:cs="宋体"/>
                <w:color w:val="auto"/>
                <w:sz w:val="21"/>
                <w:szCs w:val="21"/>
                <w:highlight w:val="none"/>
              </w:rPr>
              <w:t>投标报价：</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15</w:t>
            </w:r>
            <w:r>
              <w:rPr>
                <w:rFonts w:ascii="宋体" w:hAnsi="宋体" w:cs="宋体"/>
                <w:color w:val="auto"/>
                <w:sz w:val="21"/>
                <w:szCs w:val="21"/>
                <w:highlight w:val="none"/>
                <w:u w:val="single"/>
              </w:rPr>
              <w:t xml:space="preserve"> </w:t>
            </w:r>
            <w:r>
              <w:rPr>
                <w:rFonts w:ascii="宋体" w:hAnsi="宋体" w:cs="宋体"/>
                <w:color w:val="auto"/>
                <w:sz w:val="21"/>
                <w:szCs w:val="21"/>
                <w:highlight w:val="none"/>
              </w:rPr>
              <w:t>分</w:t>
            </w:r>
          </w:p>
          <w:p w14:paraId="7CA9C3DD">
            <w:pPr>
              <w:pStyle w:val="28"/>
              <w:kinsoku w:val="0"/>
              <w:overflowPunct w:val="0"/>
              <w:jc w:val="both"/>
              <w:rPr>
                <w:color w:val="auto"/>
                <w:sz w:val="21"/>
                <w:szCs w:val="21"/>
                <w:highlight w:val="none"/>
              </w:rPr>
            </w:pPr>
            <w:r>
              <w:rPr>
                <w:rFonts w:ascii="宋体" w:hAnsi="宋体" w:cs="宋体"/>
                <w:strike/>
                <w:color w:val="auto"/>
                <w:sz w:val="21"/>
                <w:szCs w:val="21"/>
                <w:highlight w:val="none"/>
              </w:rPr>
              <w:t>诚信得分：</w:t>
            </w:r>
            <w:r>
              <w:rPr>
                <w:rFonts w:ascii="宋体" w:hAnsi="宋体" w:cs="宋体"/>
                <w:strike/>
                <w:color w:val="auto"/>
                <w:sz w:val="21"/>
                <w:szCs w:val="21"/>
                <w:highlight w:val="none"/>
                <w:u w:val="single"/>
              </w:rPr>
              <w:tab/>
            </w:r>
            <w:r>
              <w:rPr>
                <w:rFonts w:ascii="宋体" w:hAnsi="宋体" w:cs="宋体"/>
                <w:strike/>
                <w:color w:val="auto"/>
                <w:sz w:val="21"/>
                <w:szCs w:val="21"/>
                <w:highlight w:val="none"/>
                <w:u w:val="single"/>
              </w:rPr>
              <w:t xml:space="preserve">   </w:t>
            </w:r>
            <w:r>
              <w:rPr>
                <w:rFonts w:ascii="宋体" w:hAnsi="宋体" w:cs="宋体"/>
                <w:strike/>
                <w:color w:val="auto"/>
                <w:sz w:val="21"/>
                <w:szCs w:val="21"/>
                <w:highlight w:val="none"/>
              </w:rPr>
              <w:t>分</w:t>
            </w:r>
          </w:p>
        </w:tc>
      </w:tr>
      <w:tr w14:paraId="6309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538AB3F">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2.2.2</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47CA6415">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评标基准价计算方法</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7EE645D3">
            <w:pPr>
              <w:pStyle w:val="28"/>
              <w:kinsoku w:val="0"/>
              <w:overflowPunct w:val="0"/>
              <w:rPr>
                <w:rFonts w:hint="eastAsia" w:ascii="宋体" w:hAnsi="宋体" w:cs="宋体"/>
                <w:color w:val="auto"/>
                <w:sz w:val="21"/>
                <w:szCs w:val="21"/>
                <w:highlight w:val="none"/>
              </w:rPr>
            </w:pPr>
            <w:r>
              <w:rPr>
                <w:rFonts w:ascii="宋体" w:hAnsi="宋体" w:cs="宋体"/>
                <w:color w:val="auto"/>
                <w:sz w:val="21"/>
                <w:szCs w:val="21"/>
                <w:highlight w:val="none"/>
              </w:rPr>
              <w:t>当通过初步评审在位于[最高投标限价×80%，最高投标限价] 区间的投标价中的有效投标人大于5名时，去掉一个最高价和一个最低价，取余下有效投标价的算术平均值的作为评标基准价。当通过初步评审在位于[最高投标限价×80%，最高投标限价] 区间的投标价中的有效投标人小于或等于5名时，取所有入围的有效投标价的算术平均值的作为评标基准价。</w:t>
            </w:r>
          </w:p>
        </w:tc>
      </w:tr>
      <w:tr w14:paraId="62D5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333B1A9">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2.2.3</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37E2BCD3">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投标报价的偏差率计算公式</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4DBAA8F6">
            <w:pPr>
              <w:pStyle w:val="28"/>
              <w:kinsoku w:val="0"/>
              <w:overflowPunct w:val="0"/>
              <w:rPr>
                <w:rFonts w:hint="eastAsia" w:ascii="宋体" w:hAnsi="宋体" w:cs="宋体"/>
                <w:color w:val="auto"/>
                <w:sz w:val="21"/>
                <w:szCs w:val="21"/>
                <w:highlight w:val="none"/>
              </w:rPr>
            </w:pPr>
            <w:r>
              <w:rPr>
                <w:rFonts w:ascii="宋体" w:hAnsi="宋体" w:cs="宋体"/>
                <w:color w:val="auto"/>
                <w:sz w:val="21"/>
                <w:szCs w:val="21"/>
                <w:highlight w:val="none"/>
              </w:rPr>
              <w:t>投标报价偏差率=（投标报价-评标基准价）/评标基准价×100%。</w:t>
            </w:r>
          </w:p>
        </w:tc>
      </w:tr>
      <w:tr w14:paraId="0176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31"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02E06ACD">
            <w:pPr>
              <w:pStyle w:val="28"/>
              <w:kinsoku w:val="0"/>
              <w:overflowPunct w:val="0"/>
              <w:jc w:val="center"/>
              <w:rPr>
                <w:rFonts w:hint="eastAsia" w:ascii="宋体" w:hAnsi="宋体" w:cs="宋体"/>
                <w:color w:val="auto"/>
                <w:sz w:val="21"/>
                <w:szCs w:val="21"/>
                <w:highlight w:val="none"/>
              </w:rPr>
            </w:pPr>
          </w:p>
          <w:p w14:paraId="1EC3D533">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2.2.4</w:t>
            </w:r>
          </w:p>
          <w:p w14:paraId="2668A5E0">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（1）</w:t>
            </w:r>
          </w:p>
        </w:tc>
        <w:tc>
          <w:tcPr>
            <w:tcW w:w="113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57DF398">
            <w:pPr>
              <w:pStyle w:val="28"/>
              <w:kinsoku w:val="0"/>
              <w:overflowPunct w:val="0"/>
              <w:jc w:val="center"/>
              <w:rPr>
                <w:rFonts w:hint="eastAsia" w:ascii="宋体" w:hAnsi="宋体" w:cs="宋体"/>
                <w:color w:val="auto"/>
                <w:sz w:val="21"/>
                <w:szCs w:val="21"/>
                <w:highlight w:val="none"/>
              </w:rPr>
            </w:pPr>
          </w:p>
          <w:p w14:paraId="1FD1CE9C">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资信业绩评分标准</w:t>
            </w:r>
          </w:p>
          <w:p w14:paraId="2958D3CF">
            <w:pPr>
              <w:pStyle w:val="28"/>
              <w:kinsoku w:val="0"/>
              <w:overflowPunct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（40分）</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34CD18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企业类似业绩</w:t>
            </w:r>
          </w:p>
          <w:p w14:paraId="124AE2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2B16C7A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投标人2020年1月1日至投标截止完成过质量合格的类似项目每项得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5CDA039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rPr>
              <w:t>类似项目是指招标公告第3点投标人资格要求3.3所述资质方能承接的市政公用工程</w:t>
            </w:r>
            <w:r>
              <w:rPr>
                <w:rFonts w:hint="eastAsia" w:ascii="宋体" w:hAnsi="宋体" w:cs="宋体"/>
                <w:color w:val="auto"/>
                <w:sz w:val="21"/>
                <w:szCs w:val="21"/>
                <w:highlight w:val="none"/>
                <w:lang w:eastAsia="zh-CN"/>
              </w:rPr>
              <w:t>监理项目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需同时提供中标通知书、监理委托合同协议以及竣工验收资料扫描件，时间以竣工验收时间为准。</w:t>
            </w:r>
          </w:p>
        </w:tc>
      </w:tr>
      <w:tr w14:paraId="4403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tcPr>
          <w:p w14:paraId="555298E9">
            <w:pPr>
              <w:pStyle w:val="28"/>
              <w:kinsoku w:val="0"/>
              <w:overflowPunct w:val="0"/>
              <w:jc w:val="center"/>
              <w:rPr>
                <w:rFonts w:hint="eastAsia" w:ascii="宋体" w:hAnsi="宋体" w:cs="宋体"/>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tcPr>
          <w:p w14:paraId="6151B252">
            <w:pPr>
              <w:pStyle w:val="28"/>
              <w:kinsoku w:val="0"/>
              <w:overflowPunct w:val="0"/>
              <w:jc w:val="center"/>
              <w:rPr>
                <w:rFonts w:hint="eastAsia" w:ascii="宋体" w:hAnsi="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505CB492">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企业获奖业绩</w:t>
            </w:r>
          </w:p>
          <w:p w14:paraId="7046F8B4">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（10分）</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1CDBD10F">
            <w:pPr>
              <w:rPr>
                <w:rFonts w:hint="eastAsia" w:ascii="宋体" w:hAnsi="宋体" w:cs="宋体"/>
                <w:color w:val="auto"/>
                <w:sz w:val="21"/>
                <w:szCs w:val="21"/>
                <w:highlight w:val="none"/>
              </w:rPr>
            </w:pPr>
            <w:r>
              <w:rPr>
                <w:rFonts w:hint="eastAsia" w:ascii="宋体" w:hAnsi="宋体" w:cs="宋体"/>
                <w:color w:val="auto"/>
                <w:sz w:val="21"/>
                <w:szCs w:val="21"/>
                <w:highlight w:val="none"/>
              </w:rPr>
              <w:t>投标人自2020年1月1日至投标截止监理过的市政公用工程获得国家级奖项每项得3分；获得省级奖项每项得2分；获得市级奖项每项得1分。本项最高得10分。</w:t>
            </w:r>
          </w:p>
          <w:p w14:paraId="373623E0">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需提供获奖证书扫描件，时间以获奖证书时间为准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2.同一项目奖项可以累计计分。</w:t>
            </w:r>
          </w:p>
        </w:tc>
      </w:tr>
      <w:tr w14:paraId="06D3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tcPr>
          <w:p w14:paraId="4362F5E5">
            <w:pPr>
              <w:pStyle w:val="28"/>
              <w:kinsoku w:val="0"/>
              <w:overflowPunct w:val="0"/>
              <w:jc w:val="center"/>
              <w:rPr>
                <w:rFonts w:hint="eastAsia" w:ascii="宋体" w:hAnsi="宋体" w:cs="宋体"/>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tcPr>
          <w:p w14:paraId="52998990">
            <w:pPr>
              <w:pStyle w:val="28"/>
              <w:kinsoku w:val="0"/>
              <w:overflowPunct w:val="0"/>
              <w:jc w:val="center"/>
              <w:rPr>
                <w:rFonts w:hint="eastAsia" w:ascii="宋体" w:hAnsi="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53B8FC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总监理工程师资历</w:t>
            </w:r>
          </w:p>
          <w:p w14:paraId="1304B1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1185C25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w:t>
            </w:r>
            <w:r>
              <w:rPr>
                <w:rFonts w:hint="eastAsia" w:ascii="宋体" w:hAnsi="宋体" w:cs="宋体"/>
                <w:color w:val="auto"/>
                <w:sz w:val="21"/>
                <w:szCs w:val="21"/>
                <w:highlight w:val="none"/>
                <w:lang w:eastAsia="zh-CN"/>
              </w:rPr>
              <w:t>高级</w:t>
            </w:r>
            <w:r>
              <w:rPr>
                <w:rFonts w:hint="eastAsia" w:ascii="宋体" w:hAnsi="宋体" w:eastAsia="宋体" w:cs="宋体"/>
                <w:color w:val="auto"/>
                <w:sz w:val="21"/>
                <w:szCs w:val="21"/>
                <w:highlight w:val="none"/>
              </w:rPr>
              <w:t>工程师或以上技术职称的，得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89123D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1、提供离投标截止时间最近的1个月（</w:t>
            </w:r>
            <w:r>
              <w:rPr>
                <w:rFonts w:hint="eastAsia" w:ascii="宋体" w:hAnsi="宋体" w:cs="宋体"/>
                <w:color w:val="auto"/>
                <w:sz w:val="21"/>
                <w:szCs w:val="21"/>
                <w:highlight w:val="none"/>
                <w:lang w:val="en-US" w:eastAsia="zh-CN"/>
              </w:rPr>
              <w:t>2025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月）在本单位缴纳的社保证明文件。</w:t>
            </w:r>
          </w:p>
          <w:p w14:paraId="6142A20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提供相关证书扫描件。</w:t>
            </w:r>
          </w:p>
        </w:tc>
      </w:tr>
      <w:tr w14:paraId="23A7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tcPr>
          <w:p w14:paraId="035F59CB">
            <w:pPr>
              <w:pStyle w:val="28"/>
              <w:kinsoku w:val="0"/>
              <w:overflowPunct w:val="0"/>
              <w:jc w:val="center"/>
              <w:rPr>
                <w:rFonts w:hint="eastAsia" w:ascii="宋体" w:hAnsi="宋体" w:cs="宋体"/>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tcPr>
          <w:p w14:paraId="76C8C7BB">
            <w:pPr>
              <w:pStyle w:val="28"/>
              <w:kinsoku w:val="0"/>
              <w:overflowPunct w:val="0"/>
              <w:jc w:val="center"/>
              <w:rPr>
                <w:rFonts w:hint="eastAsia" w:ascii="宋体" w:hAnsi="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757458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拟投入本项目的其他监理人员</w:t>
            </w:r>
          </w:p>
          <w:p w14:paraId="00D1C2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（12分）</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5CE8D96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配备的人员中（不含总监、总监代表）：</w:t>
            </w:r>
          </w:p>
          <w:p w14:paraId="4B408557">
            <w:pPr>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rPr>
              <w:t>市政专业监理工程师：具有市政公用工程专业注册监理工程师证书的得1.5分；具有高级工程师或以上职称的加1.5分；没有不得分，最高得3分；</w:t>
            </w:r>
          </w:p>
          <w:p w14:paraId="4332E02A">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机电专业监理工程师：具有机电安装工程专业注册监理工程师证书的得1.5分；具有高级工程师或以上职称的加1.5分；没有不得分，最高得3分；</w:t>
            </w:r>
          </w:p>
          <w:p w14:paraId="46D2613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）配备的造价工程师（1名）：</w:t>
            </w:r>
            <w:r>
              <w:rPr>
                <w:rFonts w:hint="eastAsia" w:ascii="宋体" w:hAnsi="宋体" w:cs="宋体"/>
                <w:color w:val="auto"/>
                <w:sz w:val="21"/>
                <w:szCs w:val="21"/>
                <w:highlight w:val="none"/>
              </w:rPr>
              <w:t>具有土建专业一级注册造价工程师的得1.5分；具有安装专业一级注册造价工程师的加1.5分，没有不得分，最高得3分；</w:t>
            </w:r>
          </w:p>
          <w:p w14:paraId="333353E4">
            <w:pP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）配备的</w:t>
            </w:r>
            <w:r>
              <w:rPr>
                <w:rFonts w:hint="eastAsia" w:ascii="宋体" w:hAnsi="宋体" w:cs="宋体"/>
                <w:color w:val="auto"/>
                <w:sz w:val="21"/>
                <w:szCs w:val="21"/>
                <w:highlight w:val="none"/>
              </w:rPr>
              <w:t>安全</w:t>
            </w:r>
            <w:r>
              <w:rPr>
                <w:rFonts w:hint="eastAsia" w:ascii="宋体" w:hAnsi="宋体" w:eastAsia="宋体" w:cs="宋体"/>
                <w:color w:val="auto"/>
                <w:sz w:val="21"/>
                <w:szCs w:val="21"/>
                <w:highlight w:val="none"/>
                <w:lang w:eastAsia="zh-CN"/>
              </w:rPr>
              <w:t>专业</w:t>
            </w:r>
            <w:r>
              <w:rPr>
                <w:rFonts w:hint="eastAsia" w:ascii="宋体" w:hAnsi="宋体" w:eastAsia="宋体" w:cs="宋体"/>
                <w:color w:val="auto"/>
                <w:sz w:val="21"/>
                <w:szCs w:val="21"/>
                <w:highlight w:val="none"/>
              </w:rPr>
              <w:t>监理工程师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具有注册安全工程师证书的得1.5分，具有高级工程师或以上职称的加1.5分；没有不得分，最高得3分。</w:t>
            </w:r>
          </w:p>
          <w:p w14:paraId="216511B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1、提供离投标截止时间最近的1个月（</w:t>
            </w:r>
            <w:r>
              <w:rPr>
                <w:rFonts w:hint="eastAsia" w:ascii="宋体" w:hAnsi="宋体" w:cs="宋体"/>
                <w:color w:val="auto"/>
                <w:sz w:val="21"/>
                <w:szCs w:val="21"/>
                <w:highlight w:val="none"/>
                <w:lang w:val="en-US" w:eastAsia="zh-CN"/>
              </w:rPr>
              <w:t>2025年4月</w:t>
            </w:r>
            <w:r>
              <w:rPr>
                <w:rFonts w:hint="eastAsia" w:ascii="宋体" w:hAnsi="宋体" w:eastAsia="宋体" w:cs="宋体"/>
                <w:color w:val="auto"/>
                <w:sz w:val="21"/>
                <w:szCs w:val="21"/>
                <w:highlight w:val="none"/>
                <w:lang w:val="en-US" w:eastAsia="zh-CN"/>
              </w:rPr>
              <w:t>）在本单位缴纳的社保证明文件。</w:t>
            </w:r>
          </w:p>
          <w:p w14:paraId="3F55141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提供相关证书扫描件。</w:t>
            </w:r>
          </w:p>
        </w:tc>
      </w:tr>
      <w:tr w14:paraId="75A8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31"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029C30B5">
            <w:pPr>
              <w:pStyle w:val="28"/>
              <w:kinsoku w:val="0"/>
              <w:overflowPunct w:val="0"/>
              <w:jc w:val="center"/>
              <w:rPr>
                <w:rFonts w:hint="eastAsia" w:ascii="宋体" w:hAnsi="宋体" w:cs="宋体"/>
                <w:color w:val="auto"/>
                <w:sz w:val="21"/>
                <w:szCs w:val="21"/>
                <w:highlight w:val="none"/>
              </w:rPr>
            </w:pPr>
          </w:p>
          <w:p w14:paraId="4B6590EF">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2.2.4</w:t>
            </w:r>
          </w:p>
          <w:p w14:paraId="1EC5B9FD">
            <w:pPr>
              <w:pStyle w:val="28"/>
              <w:kinsoku w:val="0"/>
              <w:overflowPunct w:val="0"/>
              <w:jc w:val="center"/>
              <w:rPr>
                <w:rFonts w:hint="eastAsia" w:ascii="宋体" w:hAnsi="宋体" w:cs="宋体"/>
                <w:b/>
                <w:color w:val="auto"/>
                <w:sz w:val="21"/>
                <w:szCs w:val="21"/>
                <w:highlight w:val="none"/>
              </w:rPr>
            </w:pPr>
            <w:r>
              <w:rPr>
                <w:rFonts w:ascii="宋体" w:hAnsi="宋体" w:cs="宋体"/>
                <w:color w:val="auto"/>
                <w:sz w:val="21"/>
                <w:szCs w:val="21"/>
                <w:highlight w:val="none"/>
              </w:rPr>
              <w:t>（2）</w:t>
            </w:r>
          </w:p>
        </w:tc>
        <w:tc>
          <w:tcPr>
            <w:tcW w:w="113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0F9BC70">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监理大纲评分标准</w:t>
            </w:r>
            <w:r>
              <w:rPr>
                <w:rFonts w:ascii="宋体" w:hAnsi="宋体" w:cs="宋体"/>
                <w:color w:val="auto"/>
                <w:spacing w:val="-2"/>
                <w:sz w:val="21"/>
                <w:szCs w:val="21"/>
                <w:highlight w:val="none"/>
              </w:rPr>
              <w:t>（</w:t>
            </w:r>
            <w:r>
              <w:rPr>
                <w:rFonts w:hint="eastAsia" w:ascii="宋体" w:hAnsi="宋体" w:cs="宋体"/>
                <w:color w:val="auto"/>
                <w:spacing w:val="-2"/>
                <w:sz w:val="21"/>
                <w:szCs w:val="21"/>
                <w:highlight w:val="none"/>
              </w:rPr>
              <w:t>45分</w:t>
            </w:r>
            <w:r>
              <w:rPr>
                <w:rFonts w:ascii="宋体" w:hAnsi="宋体" w:cs="宋体"/>
                <w:color w:val="auto"/>
                <w:spacing w:val="-2"/>
                <w:sz w:val="21"/>
                <w:szCs w:val="21"/>
                <w:highlight w:val="none"/>
              </w:rPr>
              <w:t>）</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2EE3E0C7">
            <w:pPr>
              <w:pStyle w:val="28"/>
              <w:kinsoku w:val="0"/>
              <w:overflowPunct w:val="0"/>
              <w:jc w:val="center"/>
              <w:rPr>
                <w:rFonts w:hint="eastAsia" w:ascii="宋体" w:hAnsi="宋体" w:cs="宋体"/>
                <w:color w:val="auto"/>
                <w:sz w:val="21"/>
                <w:szCs w:val="21"/>
                <w:highlight w:val="none"/>
              </w:rPr>
            </w:pPr>
            <w:r>
              <w:rPr>
                <w:rFonts w:hint="eastAsia"/>
                <w:color w:val="auto"/>
                <w:sz w:val="21"/>
                <w:szCs w:val="21"/>
                <w:highlight w:val="none"/>
              </w:rPr>
              <w:t>监理工作程序、方法和制度（5分）</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7DB3C582">
            <w:pPr>
              <w:snapToGrid w:val="0"/>
              <w:spacing w:before="36" w:beforeLines="15" w:after="36" w:afterLines="15"/>
              <w:ind w:left="48" w:leftChars="20" w:right="48" w:rightChars="2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有清晰的工作流程图、工作准则。满足要求得5分；基本满足要求得3分；不满足要求不得分。最高不超过5分。</w:t>
            </w:r>
          </w:p>
        </w:tc>
      </w:tr>
      <w:tr w14:paraId="4D09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143F811">
            <w:pPr>
              <w:pStyle w:val="28"/>
              <w:kinsoku w:val="0"/>
              <w:overflowPunct w:val="0"/>
              <w:spacing w:before="41"/>
              <w:jc w:val="center"/>
              <w:rPr>
                <w:rFonts w:hint="eastAsia" w:ascii="宋体" w:hAnsi="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3EB425F">
            <w:pPr>
              <w:pStyle w:val="28"/>
              <w:kinsoku w:val="0"/>
              <w:overflowPunct w:val="0"/>
              <w:spacing w:before="41"/>
              <w:jc w:val="center"/>
              <w:rPr>
                <w:rFonts w:hint="eastAsia" w:ascii="宋体" w:hAnsi="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381E2822">
            <w:pPr>
              <w:pStyle w:val="28"/>
              <w:kinsoku w:val="0"/>
              <w:overflowPunct w:val="0"/>
              <w:jc w:val="center"/>
              <w:rPr>
                <w:color w:val="auto"/>
                <w:sz w:val="21"/>
                <w:szCs w:val="21"/>
                <w:highlight w:val="none"/>
              </w:rPr>
            </w:pPr>
            <w:r>
              <w:rPr>
                <w:rFonts w:hint="eastAsia"/>
                <w:color w:val="auto"/>
                <w:sz w:val="21"/>
                <w:szCs w:val="21"/>
                <w:highlight w:val="none"/>
              </w:rPr>
              <w:t>质量控制措施</w:t>
            </w:r>
          </w:p>
          <w:p w14:paraId="5781BD4E">
            <w:pPr>
              <w:pStyle w:val="28"/>
              <w:kinsoku w:val="0"/>
              <w:overflowPunct w:val="0"/>
              <w:jc w:val="center"/>
              <w:rPr>
                <w:rFonts w:hint="eastAsia" w:ascii="宋体" w:hAnsi="宋体" w:cs="宋体"/>
                <w:color w:val="auto"/>
                <w:sz w:val="21"/>
                <w:szCs w:val="21"/>
                <w:highlight w:val="none"/>
              </w:rPr>
            </w:pPr>
            <w:r>
              <w:rPr>
                <w:rFonts w:hint="eastAsia"/>
                <w:color w:val="auto"/>
                <w:sz w:val="21"/>
                <w:szCs w:val="21"/>
                <w:highlight w:val="none"/>
              </w:rPr>
              <w:t>（5分）</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166B1C21">
            <w:pPr>
              <w:snapToGrid w:val="0"/>
              <w:spacing w:before="36" w:beforeLines="15" w:after="36" w:afterLines="15"/>
              <w:ind w:left="48" w:leftChars="20" w:right="48" w:rightChars="2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要求目标明确、方法合理可行、措施具体、针对性强。措施为优得5分；措施为良得3分；措施为一般得1分；无措施不得分；最高不超过5分。</w:t>
            </w:r>
          </w:p>
        </w:tc>
      </w:tr>
      <w:tr w14:paraId="482C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C52B22E">
            <w:pPr>
              <w:pStyle w:val="28"/>
              <w:kinsoku w:val="0"/>
              <w:overflowPunct w:val="0"/>
              <w:spacing w:before="41"/>
              <w:jc w:val="center"/>
              <w:rPr>
                <w:rFonts w:hint="eastAsia" w:ascii="宋体" w:hAnsi="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E7F12BB">
            <w:pPr>
              <w:pStyle w:val="28"/>
              <w:kinsoku w:val="0"/>
              <w:overflowPunct w:val="0"/>
              <w:spacing w:before="41"/>
              <w:jc w:val="center"/>
              <w:rPr>
                <w:rFonts w:hint="eastAsia" w:ascii="宋体" w:hAnsi="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5E3666DE">
            <w:pPr>
              <w:pStyle w:val="28"/>
              <w:kinsoku w:val="0"/>
              <w:overflowPunct w:val="0"/>
              <w:jc w:val="center"/>
              <w:rPr>
                <w:color w:val="auto"/>
                <w:sz w:val="21"/>
                <w:szCs w:val="21"/>
                <w:highlight w:val="none"/>
              </w:rPr>
            </w:pPr>
            <w:r>
              <w:rPr>
                <w:rFonts w:hint="eastAsia"/>
                <w:color w:val="auto"/>
                <w:sz w:val="21"/>
                <w:szCs w:val="21"/>
                <w:highlight w:val="none"/>
              </w:rPr>
              <w:t>进度控制措施</w:t>
            </w:r>
          </w:p>
          <w:p w14:paraId="48E80E5B">
            <w:pPr>
              <w:pStyle w:val="28"/>
              <w:kinsoku w:val="0"/>
              <w:overflowPunct w:val="0"/>
              <w:jc w:val="center"/>
              <w:rPr>
                <w:rFonts w:hint="eastAsia" w:ascii="宋体" w:hAnsi="宋体" w:cs="宋体"/>
                <w:color w:val="auto"/>
                <w:sz w:val="21"/>
                <w:szCs w:val="21"/>
                <w:highlight w:val="none"/>
              </w:rPr>
            </w:pPr>
            <w:r>
              <w:rPr>
                <w:rFonts w:hint="eastAsia"/>
                <w:color w:val="auto"/>
                <w:sz w:val="21"/>
                <w:szCs w:val="21"/>
                <w:highlight w:val="none"/>
              </w:rPr>
              <w:t>（5分）</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0077EF67">
            <w:pPr>
              <w:snapToGrid w:val="0"/>
              <w:spacing w:before="36" w:beforeLines="15" w:after="36" w:afterLines="15"/>
              <w:ind w:left="48" w:leftChars="20" w:right="48" w:rightChars="2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要求目标明确、方法合理可行、措施具体、针对性强。措施为优得5分；措施为良得3分；措施为一般得1分；无措施不得分；最高不超过5分。</w:t>
            </w:r>
          </w:p>
        </w:tc>
      </w:tr>
      <w:tr w14:paraId="4216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9E8EE66">
            <w:pPr>
              <w:pStyle w:val="28"/>
              <w:kinsoku w:val="0"/>
              <w:overflowPunct w:val="0"/>
              <w:spacing w:before="41"/>
              <w:jc w:val="center"/>
              <w:rPr>
                <w:rFonts w:hint="eastAsia" w:ascii="宋体" w:hAnsi="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76DDE5C">
            <w:pPr>
              <w:pStyle w:val="28"/>
              <w:kinsoku w:val="0"/>
              <w:overflowPunct w:val="0"/>
              <w:spacing w:before="41"/>
              <w:jc w:val="center"/>
              <w:rPr>
                <w:rFonts w:hint="eastAsia" w:ascii="宋体" w:hAnsi="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23903AAB">
            <w:pPr>
              <w:pStyle w:val="28"/>
              <w:kinsoku w:val="0"/>
              <w:overflowPunct w:val="0"/>
              <w:jc w:val="center"/>
              <w:rPr>
                <w:color w:val="auto"/>
                <w:sz w:val="21"/>
                <w:szCs w:val="21"/>
                <w:highlight w:val="none"/>
              </w:rPr>
            </w:pPr>
            <w:r>
              <w:rPr>
                <w:rFonts w:hint="eastAsia"/>
                <w:color w:val="auto"/>
                <w:sz w:val="21"/>
                <w:szCs w:val="21"/>
                <w:highlight w:val="none"/>
              </w:rPr>
              <w:t>造价控制措施</w:t>
            </w:r>
          </w:p>
          <w:p w14:paraId="272AC8CD">
            <w:pPr>
              <w:pStyle w:val="28"/>
              <w:kinsoku w:val="0"/>
              <w:overflowPunct w:val="0"/>
              <w:jc w:val="center"/>
              <w:rPr>
                <w:rFonts w:hint="eastAsia" w:ascii="宋体" w:hAnsi="宋体" w:cs="宋体"/>
                <w:color w:val="auto"/>
                <w:sz w:val="21"/>
                <w:szCs w:val="21"/>
                <w:highlight w:val="none"/>
              </w:rPr>
            </w:pPr>
            <w:r>
              <w:rPr>
                <w:rFonts w:hint="eastAsia"/>
                <w:color w:val="auto"/>
                <w:sz w:val="21"/>
                <w:szCs w:val="21"/>
                <w:highlight w:val="none"/>
              </w:rPr>
              <w:t>（5分）</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4C84FB82">
            <w:pPr>
              <w:snapToGrid w:val="0"/>
              <w:spacing w:before="36" w:beforeLines="15" w:after="36" w:afterLines="15"/>
              <w:ind w:left="48" w:leftChars="20" w:right="48" w:rightChars="2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要求目标明确、方法合理可行、措施具体、针对性强。措施为优得5分；措施为良得3分；措施为一般得1分；无措施不得分；最高不超过5分。</w:t>
            </w:r>
          </w:p>
        </w:tc>
      </w:tr>
      <w:tr w14:paraId="15D6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BEB090B">
            <w:pPr>
              <w:pStyle w:val="28"/>
              <w:kinsoku w:val="0"/>
              <w:overflowPunct w:val="0"/>
              <w:spacing w:before="41"/>
              <w:jc w:val="center"/>
              <w:rPr>
                <w:rFonts w:hint="eastAsia" w:ascii="宋体" w:hAnsi="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DF63EA4">
            <w:pPr>
              <w:pStyle w:val="28"/>
              <w:kinsoku w:val="0"/>
              <w:overflowPunct w:val="0"/>
              <w:spacing w:before="41"/>
              <w:jc w:val="center"/>
              <w:rPr>
                <w:rFonts w:hint="eastAsia" w:ascii="宋体" w:hAnsi="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33344D67">
            <w:pPr>
              <w:pStyle w:val="28"/>
              <w:kinsoku w:val="0"/>
              <w:overflowPunct w:val="0"/>
              <w:jc w:val="center"/>
              <w:rPr>
                <w:rFonts w:hint="eastAsia" w:ascii="宋体" w:hAnsi="宋体" w:cs="宋体"/>
                <w:color w:val="auto"/>
                <w:sz w:val="21"/>
                <w:szCs w:val="21"/>
                <w:highlight w:val="none"/>
              </w:rPr>
            </w:pPr>
            <w:r>
              <w:rPr>
                <w:rFonts w:hint="eastAsia"/>
                <w:color w:val="auto"/>
                <w:sz w:val="21"/>
                <w:szCs w:val="21"/>
                <w:highlight w:val="none"/>
              </w:rPr>
              <w:t>安全、环保控制措施（5分）</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0C2FDA5E">
            <w:pPr>
              <w:snapToGrid w:val="0"/>
              <w:spacing w:before="36" w:beforeLines="15" w:after="36" w:afterLines="15"/>
              <w:ind w:left="48" w:leftChars="20" w:right="48" w:rightChars="2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控制措施优得5分；良得3分；一般得1分；无措施不得分。</w:t>
            </w:r>
          </w:p>
        </w:tc>
      </w:tr>
      <w:tr w14:paraId="076C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DF122E1">
            <w:pPr>
              <w:pStyle w:val="28"/>
              <w:kinsoku w:val="0"/>
              <w:overflowPunct w:val="0"/>
              <w:spacing w:before="41"/>
              <w:jc w:val="center"/>
              <w:rPr>
                <w:rFonts w:hint="eastAsia" w:ascii="宋体" w:hAnsi="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36A5586">
            <w:pPr>
              <w:pStyle w:val="28"/>
              <w:kinsoku w:val="0"/>
              <w:overflowPunct w:val="0"/>
              <w:spacing w:before="41"/>
              <w:jc w:val="center"/>
              <w:rPr>
                <w:rFonts w:hint="eastAsia" w:ascii="宋体" w:hAnsi="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1B6E410D">
            <w:pPr>
              <w:pStyle w:val="28"/>
              <w:kinsoku w:val="0"/>
              <w:overflowPunct w:val="0"/>
              <w:jc w:val="center"/>
              <w:rPr>
                <w:rFonts w:hint="eastAsia" w:ascii="宋体" w:hAnsi="宋体" w:cs="宋体"/>
                <w:color w:val="auto"/>
                <w:sz w:val="21"/>
                <w:szCs w:val="21"/>
                <w:highlight w:val="none"/>
              </w:rPr>
            </w:pPr>
            <w:r>
              <w:rPr>
                <w:rFonts w:hint="eastAsia"/>
                <w:color w:val="auto"/>
                <w:sz w:val="21"/>
                <w:szCs w:val="21"/>
                <w:highlight w:val="none"/>
              </w:rPr>
              <w:t>合同、信息管理方案（3分）</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0EA4FD63">
            <w:pPr>
              <w:snapToGrid w:val="0"/>
              <w:spacing w:before="36" w:beforeLines="15" w:after="36" w:afterLines="15"/>
              <w:ind w:left="48" w:leftChars="20" w:right="48" w:rightChars="2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管理方案合理有效，针对性强、措施具体得3分；措施不具体得2分；无措施不得分。最高不超过3 分。</w:t>
            </w:r>
          </w:p>
        </w:tc>
      </w:tr>
      <w:tr w14:paraId="415A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EA39AA6">
            <w:pPr>
              <w:pStyle w:val="28"/>
              <w:kinsoku w:val="0"/>
              <w:overflowPunct w:val="0"/>
              <w:spacing w:before="41"/>
              <w:jc w:val="center"/>
              <w:rPr>
                <w:rFonts w:hint="eastAsia" w:ascii="宋体" w:hAnsi="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1CF24AD">
            <w:pPr>
              <w:pStyle w:val="28"/>
              <w:kinsoku w:val="0"/>
              <w:overflowPunct w:val="0"/>
              <w:spacing w:before="41"/>
              <w:jc w:val="center"/>
              <w:rPr>
                <w:rFonts w:hint="eastAsia" w:ascii="宋体" w:hAnsi="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36038A05">
            <w:pPr>
              <w:pStyle w:val="28"/>
              <w:kinsoku w:val="0"/>
              <w:overflowPunct w:val="0"/>
              <w:jc w:val="center"/>
              <w:rPr>
                <w:rFonts w:hint="eastAsia" w:ascii="宋体" w:hAnsi="宋体" w:cs="宋体"/>
                <w:color w:val="auto"/>
                <w:sz w:val="21"/>
                <w:szCs w:val="21"/>
                <w:highlight w:val="none"/>
              </w:rPr>
            </w:pPr>
            <w:r>
              <w:rPr>
                <w:rFonts w:hint="eastAsia"/>
                <w:color w:val="auto"/>
                <w:sz w:val="21"/>
                <w:szCs w:val="21"/>
                <w:highlight w:val="none"/>
              </w:rPr>
              <w:t>组织协调内容及措施（3分）</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16D425BE">
            <w:pPr>
              <w:snapToGrid w:val="0"/>
              <w:spacing w:before="36" w:beforeLines="15" w:after="36" w:afterLines="15"/>
              <w:ind w:left="48" w:leftChars="20" w:right="48" w:rightChars="2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协调方法合理、针对性强、措施具体得3分；基本可行得2分；措施不得力不得分。最高不超过3分。</w:t>
            </w:r>
          </w:p>
        </w:tc>
      </w:tr>
      <w:tr w14:paraId="62C6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8761AC6">
            <w:pPr>
              <w:pStyle w:val="28"/>
              <w:kinsoku w:val="0"/>
              <w:overflowPunct w:val="0"/>
              <w:spacing w:before="41"/>
              <w:jc w:val="center"/>
              <w:rPr>
                <w:rFonts w:hint="eastAsia" w:ascii="宋体" w:hAnsi="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30C2D60">
            <w:pPr>
              <w:pStyle w:val="28"/>
              <w:kinsoku w:val="0"/>
              <w:overflowPunct w:val="0"/>
              <w:spacing w:before="41"/>
              <w:jc w:val="center"/>
              <w:rPr>
                <w:rFonts w:hint="eastAsia" w:ascii="宋体" w:hAnsi="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7228DDF7">
            <w:pPr>
              <w:pStyle w:val="28"/>
              <w:kinsoku w:val="0"/>
              <w:overflowPunct w:val="0"/>
              <w:jc w:val="center"/>
              <w:rPr>
                <w:rFonts w:hint="eastAsia" w:ascii="宋体" w:hAnsi="宋体" w:cs="宋体"/>
                <w:color w:val="auto"/>
                <w:sz w:val="21"/>
                <w:szCs w:val="21"/>
                <w:highlight w:val="none"/>
              </w:rPr>
            </w:pPr>
            <w:r>
              <w:rPr>
                <w:rFonts w:hint="eastAsia"/>
                <w:color w:val="auto"/>
                <w:sz w:val="21"/>
                <w:szCs w:val="21"/>
                <w:highlight w:val="none"/>
              </w:rPr>
              <w:t>重点难点监控措施（5分）</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07CA80B5">
            <w:pPr>
              <w:snapToGrid w:val="0"/>
              <w:spacing w:before="36" w:beforeLines="15" w:after="36" w:afterLines="15"/>
              <w:ind w:left="48" w:leftChars="20" w:right="48" w:rightChars="2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要求针对性强、措施具体、可操作。优得5分；良得3分；中得1分；差及无措施不得分。最高不超过5分。</w:t>
            </w:r>
          </w:p>
        </w:tc>
      </w:tr>
      <w:tr w14:paraId="72FB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486A430">
            <w:pPr>
              <w:pStyle w:val="28"/>
              <w:kinsoku w:val="0"/>
              <w:overflowPunct w:val="0"/>
              <w:spacing w:before="41"/>
              <w:jc w:val="center"/>
              <w:rPr>
                <w:rFonts w:hint="eastAsia" w:ascii="宋体" w:hAnsi="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3258886">
            <w:pPr>
              <w:pStyle w:val="28"/>
              <w:kinsoku w:val="0"/>
              <w:overflowPunct w:val="0"/>
              <w:spacing w:before="41"/>
              <w:jc w:val="center"/>
              <w:rPr>
                <w:rFonts w:hint="eastAsia" w:ascii="宋体" w:hAnsi="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1A9493E7">
            <w:pPr>
              <w:pStyle w:val="28"/>
              <w:kinsoku w:val="0"/>
              <w:overflowPunct w:val="0"/>
              <w:jc w:val="center"/>
              <w:rPr>
                <w:color w:val="auto"/>
                <w:sz w:val="21"/>
                <w:szCs w:val="21"/>
                <w:highlight w:val="none"/>
              </w:rPr>
            </w:pPr>
            <w:r>
              <w:rPr>
                <w:rFonts w:hint="eastAsia"/>
                <w:color w:val="auto"/>
                <w:sz w:val="21"/>
                <w:szCs w:val="21"/>
                <w:highlight w:val="none"/>
              </w:rPr>
              <w:t>合理化建议</w:t>
            </w:r>
          </w:p>
          <w:p w14:paraId="7A695264">
            <w:pPr>
              <w:pStyle w:val="28"/>
              <w:kinsoku w:val="0"/>
              <w:overflowPunct w:val="0"/>
              <w:jc w:val="center"/>
              <w:rPr>
                <w:rFonts w:hint="eastAsia" w:ascii="宋体" w:hAnsi="宋体" w:cs="宋体"/>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分）</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484D0095">
            <w:pPr>
              <w:snapToGrid w:val="0"/>
              <w:spacing w:before="36" w:beforeLines="15" w:after="36" w:afterLines="15"/>
              <w:ind w:left="48" w:leftChars="20" w:right="48" w:rightChars="2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具有科学、合理、可行及具体措施的建议并经评委分析论证认同的可得3分；无建议或建议不可行的不得分。最高不超过3分。</w:t>
            </w:r>
            <w:bookmarkStart w:id="65" w:name="_GoBack"/>
            <w:bookmarkEnd w:id="65"/>
          </w:p>
        </w:tc>
      </w:tr>
      <w:tr w14:paraId="41CD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CC54338">
            <w:pPr>
              <w:pStyle w:val="28"/>
              <w:kinsoku w:val="0"/>
              <w:overflowPunct w:val="0"/>
              <w:spacing w:before="41"/>
              <w:jc w:val="center"/>
              <w:rPr>
                <w:rFonts w:hint="eastAsia" w:ascii="宋体" w:hAnsi="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79B4776">
            <w:pPr>
              <w:pStyle w:val="28"/>
              <w:kinsoku w:val="0"/>
              <w:overflowPunct w:val="0"/>
              <w:spacing w:before="41"/>
              <w:jc w:val="center"/>
              <w:rPr>
                <w:rFonts w:hint="eastAsia" w:ascii="宋体" w:hAnsi="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5E117CDC">
            <w:pPr>
              <w:pStyle w:val="28"/>
              <w:kinsoku w:val="0"/>
              <w:overflowPunct w:val="0"/>
              <w:jc w:val="center"/>
              <w:rPr>
                <w:rFonts w:hint="eastAsia" w:ascii="宋体" w:hAnsi="宋体" w:cs="宋体"/>
                <w:color w:val="auto"/>
                <w:sz w:val="21"/>
                <w:szCs w:val="21"/>
                <w:highlight w:val="none"/>
              </w:rPr>
            </w:pPr>
            <w:r>
              <w:rPr>
                <w:rFonts w:hint="eastAsia"/>
                <w:color w:val="auto"/>
                <w:sz w:val="21"/>
                <w:szCs w:val="21"/>
                <w:highlight w:val="none"/>
              </w:rPr>
              <w:t>工程验收、移交、保修的管理（2分）</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045C142D">
            <w:pPr>
              <w:snapToGrid w:val="0"/>
              <w:spacing w:before="36" w:beforeLines="15" w:after="36" w:afterLines="15"/>
              <w:ind w:left="48" w:leftChars="20" w:right="48" w:rightChars="2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管理方法合理有效、有具体措施得2分；一般、措施不具体得1分；无管理方法和措施不得分。最高不超过2分。</w:t>
            </w:r>
          </w:p>
        </w:tc>
      </w:tr>
      <w:tr w14:paraId="057A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797D38C">
            <w:pPr>
              <w:pStyle w:val="28"/>
              <w:kinsoku w:val="0"/>
              <w:overflowPunct w:val="0"/>
              <w:spacing w:before="41"/>
              <w:jc w:val="center"/>
              <w:rPr>
                <w:rFonts w:hint="eastAsia" w:ascii="宋体" w:hAnsi="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53B7057">
            <w:pPr>
              <w:pStyle w:val="28"/>
              <w:kinsoku w:val="0"/>
              <w:overflowPunct w:val="0"/>
              <w:spacing w:before="41"/>
              <w:jc w:val="center"/>
              <w:rPr>
                <w:rFonts w:hint="eastAsia" w:ascii="宋体" w:hAnsi="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71C8D56C">
            <w:pPr>
              <w:pStyle w:val="28"/>
              <w:kinsoku w:val="0"/>
              <w:overflowPunct w:val="0"/>
              <w:jc w:val="center"/>
              <w:rPr>
                <w:rFonts w:hint="eastAsia" w:ascii="宋体" w:hAnsi="宋体" w:cs="宋体"/>
                <w:color w:val="auto"/>
                <w:sz w:val="21"/>
                <w:szCs w:val="21"/>
                <w:highlight w:val="none"/>
              </w:rPr>
            </w:pPr>
            <w:r>
              <w:rPr>
                <w:rFonts w:hint="eastAsia"/>
                <w:color w:val="auto"/>
                <w:sz w:val="21"/>
                <w:szCs w:val="21"/>
                <w:highlight w:val="none"/>
              </w:rPr>
              <w:t>工程进度款、工程结算的管理（2分）</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3EE3EF41">
            <w:pPr>
              <w:snapToGrid w:val="0"/>
              <w:spacing w:before="36" w:beforeLines="15" w:after="36" w:afterLines="15"/>
              <w:ind w:left="48" w:leftChars="20" w:right="48" w:rightChars="2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管理方法合理有效、有具体措施得2分；一般、措施不具体得1分；无管理的方法和措施不得分。最高不超过2 分。</w:t>
            </w:r>
          </w:p>
        </w:tc>
      </w:tr>
      <w:tr w14:paraId="1006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0DB90DB">
            <w:pPr>
              <w:pStyle w:val="28"/>
              <w:kinsoku w:val="0"/>
              <w:overflowPunct w:val="0"/>
              <w:spacing w:before="41"/>
              <w:jc w:val="center"/>
              <w:rPr>
                <w:rFonts w:hint="eastAsia" w:ascii="宋体" w:hAnsi="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F394B34">
            <w:pPr>
              <w:pStyle w:val="28"/>
              <w:kinsoku w:val="0"/>
              <w:overflowPunct w:val="0"/>
              <w:spacing w:before="41"/>
              <w:jc w:val="center"/>
              <w:rPr>
                <w:rFonts w:hint="eastAsia" w:ascii="宋体" w:hAnsi="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282B8901">
            <w:pPr>
              <w:pStyle w:val="28"/>
              <w:kinsoku w:val="0"/>
              <w:overflowPunct w:val="0"/>
              <w:jc w:val="center"/>
              <w:rPr>
                <w:rFonts w:hint="eastAsia" w:ascii="宋体" w:hAnsi="宋体" w:cs="宋体"/>
                <w:color w:val="auto"/>
                <w:sz w:val="21"/>
                <w:szCs w:val="21"/>
                <w:highlight w:val="none"/>
              </w:rPr>
            </w:pPr>
            <w:r>
              <w:rPr>
                <w:rFonts w:hint="eastAsia"/>
                <w:color w:val="auto"/>
                <w:sz w:val="21"/>
                <w:szCs w:val="21"/>
                <w:highlight w:val="none"/>
              </w:rPr>
              <w:t>会议制度（2分）</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3195FAA9">
            <w:pPr>
              <w:snapToGrid w:val="0"/>
              <w:spacing w:before="36" w:beforeLines="15" w:after="36" w:afterLines="15"/>
              <w:ind w:left="48" w:leftChars="20" w:right="48" w:rightChars="2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建立完善的工地会议制度。满足要求得2分；不满足要求不得分。最高不超过2 分。</w:t>
            </w:r>
          </w:p>
        </w:tc>
      </w:tr>
      <w:tr w14:paraId="33CC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13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9CAF593">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2.2.4</w:t>
            </w:r>
          </w:p>
          <w:p w14:paraId="353D13D4">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（3）</w:t>
            </w:r>
          </w:p>
          <w:p w14:paraId="7D31D5E9">
            <w:pPr>
              <w:pStyle w:val="28"/>
              <w:kinsoku w:val="0"/>
              <w:overflowPunct w:val="0"/>
              <w:jc w:val="center"/>
              <w:rPr>
                <w:rFonts w:hint="eastAsia" w:ascii="宋体" w:hAnsi="宋体" w:cs="宋体"/>
                <w:color w:val="auto"/>
                <w:sz w:val="21"/>
                <w:szCs w:val="21"/>
                <w:highlight w:val="none"/>
              </w:rPr>
            </w:pPr>
          </w:p>
        </w:tc>
        <w:tc>
          <w:tcPr>
            <w:tcW w:w="1132" w:type="dxa"/>
            <w:tcBorders>
              <w:top w:val="single" w:color="auto" w:sz="4" w:space="0"/>
              <w:left w:val="single" w:color="auto" w:sz="4" w:space="0"/>
              <w:bottom w:val="single" w:color="auto" w:sz="4" w:space="0"/>
              <w:right w:val="single" w:color="auto" w:sz="4" w:space="0"/>
              <w:tl2br w:val="nil"/>
              <w:tr2bl w:val="nil"/>
            </w:tcBorders>
            <w:vAlign w:val="center"/>
          </w:tcPr>
          <w:p w14:paraId="50EE5702">
            <w:pPr>
              <w:pStyle w:val="28"/>
              <w:kinsoku w:val="0"/>
              <w:overflowPunct w:val="0"/>
              <w:jc w:val="center"/>
              <w:rPr>
                <w:rFonts w:hint="eastAsia" w:ascii="宋体" w:hAnsi="宋体" w:cs="宋体"/>
                <w:color w:val="auto"/>
                <w:sz w:val="21"/>
                <w:szCs w:val="21"/>
                <w:highlight w:val="none"/>
              </w:rPr>
            </w:pPr>
            <w:r>
              <w:rPr>
                <w:rFonts w:ascii="宋体" w:hAnsi="宋体" w:cs="宋体"/>
                <w:color w:val="auto"/>
                <w:sz w:val="21"/>
                <w:szCs w:val="21"/>
                <w:highlight w:val="none"/>
              </w:rPr>
              <w:t>投标报价评分标准</w:t>
            </w:r>
          </w:p>
        </w:tc>
        <w:tc>
          <w:tcPr>
            <w:tcW w:w="2013" w:type="dxa"/>
            <w:tcBorders>
              <w:top w:val="single" w:color="auto" w:sz="4" w:space="0"/>
              <w:left w:val="single" w:color="auto" w:sz="4" w:space="0"/>
              <w:right w:val="single" w:color="auto" w:sz="4" w:space="0"/>
              <w:tl2br w:val="nil"/>
              <w:tr2bl w:val="nil"/>
            </w:tcBorders>
            <w:vAlign w:val="center"/>
          </w:tcPr>
          <w:p w14:paraId="280D3A39">
            <w:pPr>
              <w:pStyle w:val="28"/>
              <w:kinsoku w:val="0"/>
              <w:overflowPunct w:val="0"/>
              <w:jc w:val="center"/>
              <w:rPr>
                <w:rFonts w:ascii="宋体"/>
                <w:color w:val="auto"/>
                <w:sz w:val="21"/>
                <w:highlight w:val="none"/>
              </w:rPr>
            </w:pPr>
            <w:r>
              <w:rPr>
                <w:rFonts w:ascii="宋体"/>
                <w:color w:val="auto"/>
                <w:sz w:val="21"/>
                <w:highlight w:val="none"/>
              </w:rPr>
              <w:t>投标报价评审</w:t>
            </w:r>
          </w:p>
          <w:p w14:paraId="639CB32B">
            <w:pPr>
              <w:pStyle w:val="28"/>
              <w:kinsoku w:val="0"/>
              <w:overflowPunct w:val="0"/>
              <w:jc w:val="center"/>
              <w:rPr>
                <w:rFonts w:hint="eastAsia" w:ascii="宋体" w:hAnsi="宋体" w:cs="宋体"/>
                <w:color w:val="auto"/>
                <w:sz w:val="21"/>
                <w:szCs w:val="21"/>
                <w:highlight w:val="none"/>
              </w:rPr>
            </w:pPr>
            <w:r>
              <w:rPr>
                <w:rFonts w:hint="eastAsia" w:ascii="宋体"/>
                <w:color w:val="auto"/>
                <w:sz w:val="21"/>
                <w:highlight w:val="none"/>
              </w:rPr>
              <w:t>（</w:t>
            </w:r>
            <w:r>
              <w:rPr>
                <w:rFonts w:hint="eastAsia" w:ascii="宋体"/>
                <w:color w:val="auto"/>
                <w:sz w:val="21"/>
                <w:highlight w:val="none"/>
                <w:lang w:val="en-US" w:eastAsia="zh-CN"/>
              </w:rPr>
              <w:t>15分</w:t>
            </w:r>
            <w:r>
              <w:rPr>
                <w:rFonts w:hint="eastAsia" w:ascii="宋体"/>
                <w:color w:val="auto"/>
                <w:sz w:val="21"/>
                <w:highlight w:val="none"/>
              </w:rPr>
              <w:t>）</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6C6A60C9">
            <w:pPr>
              <w:spacing w:line="360" w:lineRule="auto"/>
              <w:rPr>
                <w:rFonts w:hint="eastAsia" w:ascii="宋体" w:hAnsi="宋体" w:eastAsia="宋体" w:cs="宋体"/>
                <w:color w:val="auto"/>
                <w:sz w:val="21"/>
                <w:szCs w:val="21"/>
                <w:highlight w:val="none"/>
                <w:lang w:val="en-US" w:eastAsia="zh-CN"/>
              </w:rPr>
            </w:pPr>
            <w:r>
              <w:rPr>
                <w:rFonts w:ascii="宋体" w:hAnsi="宋体" w:cs="宋体"/>
                <w:color w:val="auto"/>
                <w:sz w:val="21"/>
                <w:szCs w:val="21"/>
                <w:highlight w:val="none"/>
              </w:rPr>
              <w:t>示例：投标人的投标报价等于评标基准价的得100分，投标报价比评标基准价每高1%扣</w:t>
            </w:r>
            <w:r>
              <w:rPr>
                <w:rFonts w:hint="eastAsia" w:ascii="宋体" w:hAnsi="宋体" w:cs="宋体"/>
                <w:color w:val="auto"/>
                <w:sz w:val="21"/>
                <w:szCs w:val="21"/>
                <w:highlight w:val="none"/>
              </w:rPr>
              <w:t>0.5</w:t>
            </w:r>
            <w:r>
              <w:rPr>
                <w:rFonts w:ascii="宋体" w:hAnsi="宋体" w:cs="宋体"/>
                <w:color w:val="auto"/>
                <w:sz w:val="21"/>
                <w:szCs w:val="21"/>
                <w:highlight w:val="none"/>
              </w:rPr>
              <w:t>分；每低1%扣</w:t>
            </w:r>
            <w:r>
              <w:rPr>
                <w:rFonts w:hint="eastAsia" w:ascii="宋体" w:hAnsi="宋体" w:cs="宋体"/>
                <w:color w:val="auto"/>
                <w:sz w:val="21"/>
                <w:szCs w:val="21"/>
                <w:highlight w:val="none"/>
              </w:rPr>
              <w:t>0.3</w:t>
            </w:r>
            <w:r>
              <w:rPr>
                <w:rFonts w:ascii="宋体" w:hAnsi="宋体" w:cs="宋体"/>
                <w:color w:val="auto"/>
                <w:sz w:val="21"/>
                <w:szCs w:val="21"/>
                <w:highlight w:val="none"/>
              </w:rPr>
              <w:t xml:space="preserve"> 分，扣至0分为止</w:t>
            </w:r>
          </w:p>
        </w:tc>
      </w:tr>
      <w:tr w14:paraId="7603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33BF85C">
            <w:pPr>
              <w:pStyle w:val="28"/>
              <w:kinsoku w:val="0"/>
              <w:overflowPunct w:val="0"/>
              <w:jc w:val="center"/>
              <w:rPr>
                <w:rFonts w:hint="eastAsia" w:ascii="宋体" w:hAnsi="宋体" w:cs="宋体"/>
                <w:strike/>
                <w:color w:val="auto"/>
                <w:sz w:val="21"/>
                <w:szCs w:val="21"/>
                <w:highlight w:val="none"/>
              </w:rPr>
            </w:pPr>
            <w:r>
              <w:rPr>
                <w:rFonts w:ascii="宋体" w:hAnsi="宋体" w:cs="宋体"/>
                <w:strike/>
                <w:color w:val="auto"/>
                <w:sz w:val="21"/>
                <w:szCs w:val="21"/>
                <w:highlight w:val="none"/>
              </w:rPr>
              <w:t>2.2.4</w:t>
            </w:r>
          </w:p>
          <w:p w14:paraId="29122505">
            <w:pPr>
              <w:pStyle w:val="28"/>
              <w:kinsoku w:val="0"/>
              <w:overflowPunct w:val="0"/>
              <w:jc w:val="center"/>
              <w:rPr>
                <w:rFonts w:hint="eastAsia" w:ascii="宋体" w:hAnsi="宋体" w:cs="宋体"/>
                <w:strike/>
                <w:color w:val="auto"/>
                <w:sz w:val="21"/>
                <w:szCs w:val="21"/>
                <w:highlight w:val="none"/>
              </w:rPr>
            </w:pPr>
            <w:r>
              <w:rPr>
                <w:rFonts w:ascii="宋体" w:hAnsi="宋体" w:cs="宋体"/>
                <w:strike/>
                <w:color w:val="auto"/>
                <w:sz w:val="21"/>
                <w:szCs w:val="21"/>
                <w:highlight w:val="none"/>
              </w:rPr>
              <w:t>（4）</w:t>
            </w:r>
          </w:p>
        </w:tc>
        <w:tc>
          <w:tcPr>
            <w:tcW w:w="1132" w:type="dxa"/>
            <w:tcBorders>
              <w:top w:val="single" w:color="auto" w:sz="4" w:space="0"/>
              <w:left w:val="single" w:color="auto" w:sz="4" w:space="0"/>
              <w:bottom w:val="single" w:color="auto" w:sz="4" w:space="0"/>
              <w:right w:val="single" w:color="auto" w:sz="4" w:space="0"/>
              <w:tl2br w:val="nil"/>
              <w:tr2bl w:val="nil"/>
            </w:tcBorders>
            <w:vAlign w:val="center"/>
          </w:tcPr>
          <w:p w14:paraId="14B4D53A">
            <w:pPr>
              <w:pStyle w:val="28"/>
              <w:kinsoku w:val="0"/>
              <w:overflowPunct w:val="0"/>
              <w:jc w:val="center"/>
              <w:rPr>
                <w:rFonts w:hint="eastAsia" w:ascii="宋体" w:hAnsi="宋体" w:cs="宋体"/>
                <w:strike/>
                <w:color w:val="auto"/>
                <w:sz w:val="21"/>
                <w:szCs w:val="21"/>
                <w:highlight w:val="none"/>
              </w:rPr>
            </w:pPr>
            <w:r>
              <w:rPr>
                <w:rFonts w:ascii="宋体" w:hAnsi="宋体" w:cs="宋体"/>
                <w:strike/>
                <w:color w:val="auto"/>
                <w:sz w:val="21"/>
                <w:szCs w:val="21"/>
                <w:highlight w:val="none"/>
              </w:rPr>
              <w:t>诚信得分评分标准</w:t>
            </w:r>
          </w:p>
        </w:tc>
        <w:tc>
          <w:tcPr>
            <w:tcW w:w="2013" w:type="dxa"/>
            <w:tcBorders>
              <w:top w:val="single" w:color="auto" w:sz="4" w:space="0"/>
              <w:left w:val="single" w:color="auto" w:sz="4" w:space="0"/>
              <w:bottom w:val="single" w:color="auto" w:sz="4" w:space="0"/>
              <w:right w:val="single" w:color="auto" w:sz="4" w:space="0"/>
              <w:tl2br w:val="nil"/>
              <w:tr2bl w:val="nil"/>
            </w:tcBorders>
            <w:vAlign w:val="center"/>
          </w:tcPr>
          <w:p w14:paraId="6CF79D81">
            <w:pPr>
              <w:pStyle w:val="28"/>
              <w:kinsoku w:val="0"/>
              <w:overflowPunct w:val="0"/>
              <w:jc w:val="center"/>
              <w:rPr>
                <w:rFonts w:hint="eastAsia" w:ascii="宋体" w:hAnsi="宋体" w:cs="宋体"/>
                <w:strike/>
                <w:color w:val="auto"/>
                <w:sz w:val="21"/>
                <w:szCs w:val="21"/>
                <w:highlight w:val="none"/>
              </w:rPr>
            </w:pPr>
            <w:r>
              <w:rPr>
                <w:rStyle w:val="36"/>
                <w:rFonts w:ascii="宋体" w:hAnsi="宋体" w:cs="宋体"/>
                <w:strike/>
                <w:color w:val="auto"/>
                <w:sz w:val="21"/>
                <w:szCs w:val="21"/>
                <w:highlight w:val="none"/>
              </w:rPr>
              <w:t>诚信综合评价得分</w:t>
            </w:r>
          </w:p>
        </w:tc>
        <w:tc>
          <w:tcPr>
            <w:tcW w:w="5358" w:type="dxa"/>
            <w:tcBorders>
              <w:top w:val="single" w:color="auto" w:sz="4" w:space="0"/>
              <w:left w:val="single" w:color="auto" w:sz="4" w:space="0"/>
              <w:bottom w:val="single" w:color="auto" w:sz="4" w:space="0"/>
              <w:right w:val="single" w:color="auto" w:sz="4" w:space="0"/>
              <w:tl2br w:val="nil"/>
              <w:tr2bl w:val="nil"/>
            </w:tcBorders>
            <w:vAlign w:val="center"/>
          </w:tcPr>
          <w:p w14:paraId="6DDB1CA7">
            <w:pPr>
              <w:pStyle w:val="28"/>
              <w:kinsoku w:val="0"/>
              <w:overflowPunct w:val="0"/>
              <w:jc w:val="both"/>
              <w:rPr>
                <w:rFonts w:hint="eastAsia" w:ascii="宋体" w:hAnsi="宋体" w:cs="宋体"/>
                <w:strike/>
                <w:color w:val="auto"/>
                <w:sz w:val="21"/>
                <w:szCs w:val="21"/>
                <w:highlight w:val="none"/>
              </w:rPr>
            </w:pPr>
            <w:r>
              <w:rPr>
                <w:rFonts w:hint="eastAsia" w:ascii="宋体" w:hAnsi="宋体" w:cs="宋体"/>
                <w:strike/>
                <w:color w:val="auto"/>
                <w:sz w:val="21"/>
                <w:szCs w:val="21"/>
                <w:highlight w:val="none"/>
              </w:rPr>
              <w:t>诚信评价总分按《关于水务工程诚信评价在招标投标环节应用的指引》（第20期）规定计算。</w:t>
            </w:r>
          </w:p>
          <w:p w14:paraId="627E0863">
            <w:pPr>
              <w:pStyle w:val="28"/>
              <w:kinsoku w:val="0"/>
              <w:overflowPunct w:val="0"/>
              <w:jc w:val="both"/>
              <w:rPr>
                <w:rFonts w:hint="eastAsia" w:ascii="宋体" w:hAnsi="宋体" w:cs="宋体"/>
                <w:strike/>
                <w:color w:val="auto"/>
                <w:sz w:val="21"/>
                <w:szCs w:val="21"/>
                <w:highlight w:val="none"/>
              </w:rPr>
            </w:pPr>
            <w:r>
              <w:rPr>
                <w:rFonts w:ascii="宋体" w:hAnsi="宋体" w:cs="宋体"/>
                <w:strike/>
                <w:color w:val="auto"/>
                <w:sz w:val="21"/>
                <w:szCs w:val="21"/>
                <w:highlight w:val="none"/>
              </w:rPr>
              <w:t>联合体投标时，以诚信分值较低企业的诚信分值计算诚信得分。</w:t>
            </w:r>
          </w:p>
          <w:p w14:paraId="194F1BE0">
            <w:pPr>
              <w:pStyle w:val="28"/>
              <w:kinsoku w:val="0"/>
              <w:overflowPunct w:val="0"/>
              <w:jc w:val="both"/>
              <w:rPr>
                <w:rFonts w:hint="eastAsia" w:ascii="宋体" w:hAnsi="宋体" w:cs="宋体"/>
                <w:strike/>
                <w:color w:val="auto"/>
                <w:sz w:val="21"/>
                <w:szCs w:val="21"/>
                <w:highlight w:val="none"/>
              </w:rPr>
            </w:pPr>
            <w:r>
              <w:rPr>
                <w:rFonts w:ascii="宋体" w:hAnsi="宋体" w:cs="宋体"/>
                <w:strike/>
                <w:color w:val="auto"/>
                <w:sz w:val="21"/>
                <w:szCs w:val="21"/>
                <w:highlight w:val="none"/>
              </w:rPr>
              <w:t>投标人诚信评价得分=“监理—给排水”诚信综合评价排名得分*诚信评价得分权重（  %）。</w:t>
            </w:r>
            <w:r>
              <w:rPr>
                <w:rFonts w:hint="eastAsia" w:ascii="仿宋" w:hAnsi="仿宋" w:eastAsia="仿宋" w:cs="仿宋"/>
                <w:strike/>
                <w:color w:val="auto"/>
                <w:sz w:val="21"/>
                <w:szCs w:val="21"/>
                <w:highlight w:val="none"/>
              </w:rPr>
              <w:t>（注：诚信得分应根据省市相关规定设置分值权重）</w:t>
            </w:r>
          </w:p>
        </w:tc>
      </w:tr>
    </w:tbl>
    <w:p w14:paraId="41975C82">
      <w:pPr>
        <w:rPr>
          <w:rFonts w:hint="default"/>
          <w:color w:val="auto"/>
          <w:highlight w:val="none"/>
        </w:rPr>
        <w:sectPr>
          <w:headerReference r:id="rId6" w:type="default"/>
          <w:footerReference r:id="rId7" w:type="default"/>
          <w:pgSz w:w="11905" w:h="16838"/>
          <w:pgMar w:top="1417" w:right="1417" w:bottom="1417" w:left="1417" w:header="992" w:footer="992" w:gutter="0"/>
          <w:lnNumType w:countBy="0" w:distance="360"/>
          <w:cols w:space="720" w:num="1"/>
        </w:sectPr>
      </w:pPr>
    </w:p>
    <w:p w14:paraId="6CCAED7B">
      <w:pPr>
        <w:pStyle w:val="25"/>
        <w:ind w:left="0" w:leftChars="0" w:firstLine="0" w:firstLineChars="0"/>
        <w:rPr>
          <w:color w:val="auto"/>
          <w:highlight w:val="none"/>
        </w:rPr>
      </w:pPr>
    </w:p>
    <w:p w14:paraId="7F54F85F">
      <w:pPr>
        <w:spacing w:line="360" w:lineRule="auto"/>
        <w:ind w:firstLine="560" w:firstLineChars="200"/>
        <w:jc w:val="center"/>
        <w:rPr>
          <w:rFonts w:ascii="黑体" w:hAnsi="黑体" w:eastAsia="黑体"/>
          <w:color w:val="auto"/>
          <w:sz w:val="28"/>
          <w:szCs w:val="27"/>
          <w:highlight w:val="none"/>
        </w:rPr>
      </w:pPr>
      <w:r>
        <w:rPr>
          <w:rFonts w:hint="eastAsia" w:ascii="黑体" w:hAnsi="黑体" w:eastAsia="黑体"/>
          <w:color w:val="auto"/>
          <w:sz w:val="28"/>
          <w:szCs w:val="27"/>
          <w:highlight w:val="none"/>
        </w:rPr>
        <w:t>评标办法修改表</w:t>
      </w:r>
    </w:p>
    <w:p w14:paraId="26074EF3">
      <w:pPr>
        <w:pStyle w:val="19"/>
        <w:spacing w:after="0" w:line="360" w:lineRule="auto"/>
        <w:rPr>
          <w:rFonts w:ascii="宋体" w:hAnsi="宋体" w:eastAsia="宋体"/>
          <w:color w:val="auto"/>
          <w:sz w:val="24"/>
          <w:szCs w:val="24"/>
          <w:highlight w:val="none"/>
        </w:rPr>
      </w:pPr>
      <w:r>
        <w:rPr>
          <w:rFonts w:hint="eastAsia" w:ascii="宋体" w:hAnsi="宋体" w:eastAsia="宋体"/>
          <w:color w:val="auto"/>
          <w:sz w:val="24"/>
          <w:highlight w:val="none"/>
        </w:rPr>
        <w:t>声明：本评标办法使用</w:t>
      </w:r>
      <w:r>
        <w:rPr>
          <w:rFonts w:hint="eastAsia" w:ascii="仿宋_GB2312" w:hAnsi="宋体" w:eastAsia="仿宋_GB2312"/>
          <w:color w:val="auto"/>
          <w:sz w:val="24"/>
          <w:szCs w:val="24"/>
          <w:highlight w:val="none"/>
          <w:lang w:eastAsia="zh-CN"/>
        </w:rPr>
        <w:t>SWZB2024-05</w:t>
      </w:r>
      <w:r>
        <w:rPr>
          <w:rFonts w:hint="eastAsia" w:ascii="宋体" w:hAnsi="宋体" w:eastAsia="宋体"/>
          <w:color w:val="auto"/>
          <w:sz w:val="24"/>
          <w:szCs w:val="24"/>
          <w:highlight w:val="none"/>
        </w:rPr>
        <w:t>招标文件范本的评标办法条款，与该条款不同之处，均在本表中列明，并以现文为准，原文不再有效。</w:t>
      </w:r>
    </w:p>
    <w:p w14:paraId="3E28A8A9">
      <w:pPr>
        <w:widowControl w:val="0"/>
        <w:shd w:val="clear"/>
        <w:autoSpaceDE/>
        <w:autoSpaceDN/>
        <w:adjustRightInd/>
        <w:spacing w:line="360" w:lineRule="auto"/>
        <w:ind w:firstLine="482" w:firstLineChars="200"/>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条款号：2.2.4（4）       修改类型：删除</w:t>
      </w:r>
    </w:p>
    <w:p w14:paraId="1C1771E8">
      <w:pPr>
        <w:widowControl w:val="0"/>
        <w:pBdr>
          <w:bottom w:val="single" w:color="auto" w:sz="4" w:space="0"/>
        </w:pBdr>
        <w:shd w:val="clear"/>
        <w:tabs>
          <w:tab w:val="left" w:pos="1343"/>
          <w:tab w:val="left" w:pos="2697"/>
          <w:tab w:val="left" w:pos="3264"/>
          <w:tab w:val="left" w:pos="4896"/>
          <w:tab w:val="left" w:pos="6005"/>
          <w:tab w:val="left" w:pos="7085"/>
          <w:tab w:val="left" w:pos="7498"/>
        </w:tabs>
        <w:kinsoku w:val="0"/>
        <w:overflowPunct w:val="0"/>
        <w:autoSpaceDE w:val="0"/>
        <w:autoSpaceDN w:val="0"/>
        <w:adjustRightInd/>
        <w:spacing w:line="360" w:lineRule="auto"/>
        <w:ind w:firstLine="482" w:firstLineChars="200"/>
        <w:jc w:val="left"/>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原文：</w:t>
      </w:r>
      <w:r>
        <w:rPr>
          <w:rFonts w:hint="eastAsia" w:ascii="宋体" w:hAnsi="宋体" w:eastAsia="宋体" w:cs="宋体"/>
          <w:b/>
          <w:bCs/>
          <w:color w:val="auto"/>
          <w:sz w:val="24"/>
          <w:szCs w:val="24"/>
          <w:highlight w:val="none"/>
          <w:lang w:val="en-US" w:eastAsia="zh-CN" w:bidi="ar-SA"/>
        </w:rPr>
        <w:t>2.2（4）</w:t>
      </w:r>
      <w:r>
        <w:rPr>
          <w:rFonts w:hint="eastAsia" w:ascii="宋体" w:hAnsi="宋体" w:eastAsia="宋体" w:cs="宋体"/>
          <w:b w:val="0"/>
          <w:bCs w:val="0"/>
          <w:color w:val="auto"/>
          <w:sz w:val="24"/>
          <w:szCs w:val="24"/>
          <w:highlight w:val="none"/>
          <w:lang w:val="en-US" w:eastAsia="zh-CN" w:bidi="ar-SA"/>
        </w:rPr>
        <w:t>诚信得分：见评标办法前附表。</w:t>
      </w:r>
    </w:p>
    <w:p w14:paraId="7C001F02">
      <w:pPr>
        <w:spacing w:line="48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条款号：  </w:t>
      </w:r>
      <w:r>
        <w:rPr>
          <w:rFonts w:hint="eastAsia" w:ascii="宋体" w:hAnsi="宋体" w:eastAsia="宋体" w:cs="宋体"/>
          <w:color w:val="auto"/>
          <w:sz w:val="24"/>
          <w:szCs w:val="21"/>
          <w:highlight w:val="none"/>
          <w:lang w:val="en-US" w:eastAsia="zh-CN"/>
        </w:rPr>
        <w:t>2.2.4（4）</w:t>
      </w:r>
      <w:r>
        <w:rPr>
          <w:rFonts w:hint="eastAsia" w:ascii="宋体" w:hAnsi="宋体" w:eastAsia="宋体" w:cs="宋体"/>
          <w:color w:val="auto"/>
          <w:sz w:val="24"/>
          <w:szCs w:val="21"/>
          <w:highlight w:val="none"/>
        </w:rPr>
        <w:t xml:space="preserve">           修改类型：删除</w:t>
      </w:r>
    </w:p>
    <w:p w14:paraId="4B4B5AF1">
      <w:pPr>
        <w:widowControl w:val="0"/>
        <w:shd w:val="clear"/>
        <w:autoSpaceDE/>
        <w:autoSpaceDN/>
        <w:adjustRightInd/>
        <w:spacing w:line="360" w:lineRule="auto"/>
        <w:ind w:firstLine="480" w:firstLineChars="200"/>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color w:val="auto"/>
          <w:sz w:val="24"/>
          <w:szCs w:val="21"/>
          <w:highlight w:val="none"/>
        </w:rPr>
        <w:t>原文：</w:t>
      </w:r>
      <w:r>
        <w:rPr>
          <w:rFonts w:hint="eastAsia" w:ascii="宋体" w:hAnsi="宋体" w:eastAsia="宋体" w:cs="宋体"/>
          <w:b/>
          <w:color w:val="auto"/>
          <w:sz w:val="24"/>
          <w:szCs w:val="24"/>
          <w:highlight w:val="none"/>
          <w:lang w:val="en-US" w:eastAsia="zh-CN" w:bidi="ar-SA"/>
        </w:rPr>
        <w:t>条款号：2.2.4（4）       修改类型：删除</w:t>
      </w:r>
    </w:p>
    <w:p w14:paraId="1590D4B4">
      <w:pPr>
        <w:widowControl/>
        <w:shd w:val="clear"/>
        <w:autoSpaceDE/>
        <w:autoSpaceDN/>
        <w:adjustRightInd/>
        <w:spacing w:line="360" w:lineRule="auto"/>
        <w:ind w:firstLine="482" w:firstLineChars="200"/>
        <w:jc w:val="both"/>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原文：2.2.4（4）</w:t>
      </w:r>
      <w:r>
        <w:rPr>
          <w:rFonts w:hint="eastAsia" w:ascii="宋体" w:hAnsi="宋体" w:eastAsia="宋体" w:cs="宋体"/>
          <w:b w:val="0"/>
          <w:bCs/>
          <w:color w:val="auto"/>
          <w:sz w:val="24"/>
          <w:szCs w:val="24"/>
          <w:highlight w:val="none"/>
          <w:lang w:val="en-US" w:eastAsia="zh-CN" w:bidi="ar-SA"/>
        </w:rPr>
        <w:t>诚信得分评分标准：见评标办法前附表。</w:t>
      </w:r>
    </w:p>
    <w:p w14:paraId="79012D20">
      <w:pPr>
        <w:widowControl/>
        <w:pBdr>
          <w:bottom w:val="single" w:color="auto" w:sz="4" w:space="0"/>
        </w:pBdr>
        <w:shd w:val="clear"/>
        <w:autoSpaceDE/>
        <w:autoSpaceDN/>
        <w:adjustRightInd/>
        <w:spacing w:line="360" w:lineRule="auto"/>
        <w:ind w:firstLine="480" w:firstLineChars="200"/>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注：投标人的诚信评价总分取自本项目招标公告发布第1天所在季度的上一季度的诚信综合评价分。</w:t>
      </w:r>
    </w:p>
    <w:p w14:paraId="024ECF57">
      <w:pPr>
        <w:spacing w:line="48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条款号：  </w:t>
      </w:r>
      <w:r>
        <w:rPr>
          <w:rFonts w:hint="eastAsia" w:ascii="宋体" w:hAnsi="宋体" w:eastAsia="宋体" w:cs="宋体"/>
          <w:color w:val="auto"/>
          <w:sz w:val="24"/>
          <w:szCs w:val="21"/>
          <w:highlight w:val="none"/>
          <w:lang w:val="en-US" w:eastAsia="zh-CN"/>
        </w:rPr>
        <w:t>3.2.1（2）</w:t>
      </w:r>
      <w:r>
        <w:rPr>
          <w:rFonts w:hint="eastAsia" w:ascii="宋体" w:hAnsi="宋体" w:eastAsia="宋体" w:cs="宋体"/>
          <w:color w:val="auto"/>
          <w:sz w:val="24"/>
          <w:szCs w:val="21"/>
          <w:highlight w:val="none"/>
        </w:rPr>
        <w:t xml:space="preserve">           修改类型：修改</w:t>
      </w:r>
    </w:p>
    <w:p w14:paraId="5B4B1141">
      <w:pPr>
        <w:widowControl/>
        <w:shd w:val="clear"/>
        <w:autoSpaceDE/>
        <w:autoSpaceDN/>
        <w:adjustRightInd/>
        <w:spacing w:line="360" w:lineRule="auto"/>
        <w:ind w:firstLine="480" w:firstLineChars="200"/>
        <w:jc w:val="both"/>
        <w:rPr>
          <w:rFonts w:hint="eastAsia" w:ascii="宋体" w:hAnsi="宋体" w:eastAsia="宋体" w:cs="宋体"/>
          <w:b/>
          <w:color w:val="auto"/>
          <w:sz w:val="24"/>
          <w:szCs w:val="24"/>
          <w:highlight w:val="none"/>
          <w:lang w:val="en-US" w:eastAsia="zh-CN" w:bidi="ar-SA"/>
        </w:rPr>
      </w:pPr>
      <w:r>
        <w:rPr>
          <w:rFonts w:hint="eastAsia" w:ascii="宋体" w:hAnsi="宋体" w:eastAsia="宋体" w:cs="宋体"/>
          <w:color w:val="auto"/>
          <w:sz w:val="24"/>
          <w:szCs w:val="21"/>
          <w:highlight w:val="none"/>
        </w:rPr>
        <w:t>原文：</w:t>
      </w:r>
      <w:r>
        <w:rPr>
          <w:rFonts w:hint="eastAsia" w:ascii="宋体" w:hAnsi="宋体" w:eastAsia="宋体" w:cs="宋体"/>
          <w:b/>
          <w:color w:val="auto"/>
          <w:sz w:val="24"/>
          <w:szCs w:val="24"/>
          <w:highlight w:val="none"/>
          <w:lang w:val="en-US" w:eastAsia="zh-CN" w:bidi="ar-SA"/>
        </w:rPr>
        <w:t>条款号：3.2.1（2）     修改类型：修改</w:t>
      </w:r>
    </w:p>
    <w:p w14:paraId="6561E894">
      <w:pPr>
        <w:widowControl w:val="0"/>
        <w:shd w:val="clear"/>
        <w:tabs>
          <w:tab w:val="left" w:pos="1343"/>
          <w:tab w:val="left" w:pos="2697"/>
          <w:tab w:val="left" w:pos="3264"/>
          <w:tab w:val="left" w:pos="4896"/>
          <w:tab w:val="left" w:pos="6005"/>
          <w:tab w:val="left" w:pos="7085"/>
          <w:tab w:val="left" w:pos="7498"/>
        </w:tabs>
        <w:kinsoku w:val="0"/>
        <w:overflowPunct w:val="0"/>
        <w:autoSpaceDE w:val="0"/>
        <w:autoSpaceDN w:val="0"/>
        <w:adjustRightInd/>
        <w:spacing w:line="360" w:lineRule="auto"/>
        <w:ind w:left="0" w:firstLine="482" w:firstLineChars="200"/>
        <w:jc w:val="both"/>
        <w:rPr>
          <w:rFonts w:hint="eastAsia" w:ascii="宋体" w:hAnsi="宋体" w:eastAsia="宋体" w:cs="宋体"/>
          <w:color w:val="auto"/>
          <w:sz w:val="24"/>
          <w:szCs w:val="21"/>
          <w:highlight w:val="none"/>
        </w:rPr>
      </w:pPr>
      <w:r>
        <w:rPr>
          <w:rFonts w:hint="eastAsia" w:ascii="宋体" w:hAnsi="宋体" w:eastAsia="宋体" w:cs="宋体"/>
          <w:b/>
          <w:color w:val="auto"/>
          <w:sz w:val="24"/>
          <w:szCs w:val="24"/>
          <w:highlight w:val="none"/>
          <w:lang w:val="en-US" w:eastAsia="zh-CN" w:bidi="ar-SA"/>
        </w:rPr>
        <w:t>原文：</w:t>
      </w:r>
      <w:r>
        <w:rPr>
          <w:rFonts w:hint="eastAsia" w:ascii="宋体" w:hAnsi="宋体" w:eastAsia="宋体" w:cs="宋体"/>
          <w:color w:val="auto"/>
          <w:sz w:val="24"/>
          <w:szCs w:val="21"/>
          <w:highlight w:val="none"/>
          <w:lang w:val="en-US" w:eastAsia="zh-CN"/>
        </w:rPr>
        <w:t>3.2.1（2）按本章第2.2.4（2）目规定的评审因素和分值对监理大纲部分计算出得分B，</w:t>
      </w:r>
      <w:r>
        <w:rPr>
          <w:rFonts w:hint="eastAsia" w:ascii="宋体" w:hAnsi="宋体" w:eastAsia="宋体" w:cs="宋体"/>
          <w:color w:val="auto"/>
          <w:sz w:val="24"/>
          <w:szCs w:val="21"/>
          <w:highlight w:val="none"/>
          <w:lang w:val="en-US" w:eastAsia="zh-CN"/>
        </w:rPr>
        <w:fldChar w:fldCharType="begin"/>
      </w:r>
      <w:r>
        <w:rPr>
          <w:rFonts w:hint="eastAsia" w:ascii="宋体" w:hAnsi="宋体" w:eastAsia="宋体" w:cs="宋体"/>
          <w:color w:val="auto"/>
          <w:sz w:val="24"/>
          <w:szCs w:val="21"/>
          <w:highlight w:val="none"/>
          <w:lang w:val="en-US" w:eastAsia="zh-CN"/>
        </w:rPr>
        <w:instrText xml:space="preserve"> = 1 \* GB3 \* MERGEFORMAT </w:instrText>
      </w:r>
      <w:r>
        <w:rPr>
          <w:rFonts w:hint="eastAsia" w:ascii="宋体" w:hAnsi="宋体" w:eastAsia="宋体" w:cs="宋体"/>
          <w:color w:val="auto"/>
          <w:sz w:val="24"/>
          <w:szCs w:val="21"/>
          <w:highlight w:val="none"/>
          <w:lang w:val="en-US" w:eastAsia="zh-CN"/>
        </w:rPr>
        <w:fldChar w:fldCharType="separate"/>
      </w:r>
      <w:r>
        <w:rPr>
          <w:rFonts w:hint="eastAsia" w:ascii="宋体" w:hAnsi="宋体" w:eastAsia="宋体" w:cs="宋体"/>
          <w:color w:val="auto"/>
          <w:sz w:val="24"/>
          <w:szCs w:val="21"/>
          <w:highlight w:val="none"/>
          <w:lang w:val="en-US" w:eastAsia="zh-CN"/>
        </w:rPr>
        <w:t>①</w:t>
      </w:r>
      <w:r>
        <w:rPr>
          <w:rFonts w:hint="eastAsia" w:ascii="宋体" w:hAnsi="宋体" w:eastAsia="宋体" w:cs="宋体"/>
          <w:color w:val="auto"/>
          <w:sz w:val="24"/>
          <w:szCs w:val="21"/>
          <w:highlight w:val="none"/>
          <w:lang w:val="en-US" w:eastAsia="zh-CN"/>
        </w:rPr>
        <w:fldChar w:fldCharType="end"/>
      </w:r>
      <w:r>
        <w:rPr>
          <w:rFonts w:hint="eastAsia" w:ascii="宋体" w:hAnsi="宋体" w:eastAsia="宋体" w:cs="宋体"/>
          <w:color w:val="auto"/>
          <w:sz w:val="24"/>
          <w:szCs w:val="21"/>
          <w:highlight w:val="none"/>
          <w:lang w:val="en-US" w:eastAsia="zh-CN"/>
        </w:rPr>
        <w:t>监理大纲部分评审得分B为从各评标专家打分中去掉一个最高分和去掉一个最低分后的剩余评标专家打分的算术平均值或</w:t>
      </w:r>
      <w:r>
        <w:rPr>
          <w:rFonts w:hint="eastAsia" w:ascii="宋体" w:hAnsi="宋体" w:eastAsia="宋体" w:cs="宋体"/>
          <w:color w:val="auto"/>
          <w:sz w:val="24"/>
          <w:szCs w:val="21"/>
          <w:highlight w:val="none"/>
          <w:lang w:val="en-US" w:eastAsia="zh-CN"/>
        </w:rPr>
        <w:fldChar w:fldCharType="begin"/>
      </w:r>
      <w:r>
        <w:rPr>
          <w:rFonts w:hint="eastAsia" w:ascii="宋体" w:hAnsi="宋体" w:eastAsia="宋体" w:cs="宋体"/>
          <w:color w:val="auto"/>
          <w:sz w:val="24"/>
          <w:szCs w:val="21"/>
          <w:highlight w:val="none"/>
          <w:lang w:val="en-US" w:eastAsia="zh-CN"/>
        </w:rPr>
        <w:instrText xml:space="preserve"> = 2 \* GB3 \* MERGEFORMAT </w:instrText>
      </w:r>
      <w:r>
        <w:rPr>
          <w:rFonts w:hint="eastAsia" w:ascii="宋体" w:hAnsi="宋体" w:eastAsia="宋体" w:cs="宋体"/>
          <w:color w:val="auto"/>
          <w:sz w:val="24"/>
          <w:szCs w:val="21"/>
          <w:highlight w:val="none"/>
          <w:lang w:val="en-US" w:eastAsia="zh-CN"/>
        </w:rPr>
        <w:fldChar w:fldCharType="separate"/>
      </w:r>
      <w:r>
        <w:rPr>
          <w:rFonts w:hint="eastAsia" w:ascii="宋体" w:hAnsi="宋体" w:eastAsia="宋体" w:cs="宋体"/>
          <w:color w:val="auto"/>
          <w:sz w:val="24"/>
          <w:szCs w:val="21"/>
          <w:highlight w:val="none"/>
          <w:lang w:val="en-US" w:eastAsia="zh-CN"/>
        </w:rPr>
        <w:t>②</w:t>
      </w:r>
      <w:r>
        <w:rPr>
          <w:rFonts w:hint="eastAsia" w:ascii="宋体" w:hAnsi="宋体" w:eastAsia="宋体" w:cs="宋体"/>
          <w:color w:val="auto"/>
          <w:sz w:val="24"/>
          <w:szCs w:val="21"/>
          <w:highlight w:val="none"/>
          <w:lang w:val="en-US" w:eastAsia="zh-CN"/>
        </w:rPr>
        <w:fldChar w:fldCharType="end"/>
      </w:r>
      <w:r>
        <w:rPr>
          <w:rFonts w:hint="eastAsia" w:ascii="宋体" w:hAnsi="宋体" w:eastAsia="宋体" w:cs="宋体"/>
          <w:color w:val="auto"/>
          <w:sz w:val="24"/>
          <w:szCs w:val="21"/>
          <w:highlight w:val="none"/>
          <w:lang w:val="en-US" w:eastAsia="zh-CN"/>
        </w:rPr>
        <w:t>监理大纲部分评审得分B为各评标专家打分的算术平均值（二选一，招标人自行选择）；</w:t>
      </w:r>
    </w:p>
    <w:p w14:paraId="407F5CE3">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default" w:cs="Times New Roman"/>
          <w:color w:val="auto"/>
          <w:sz w:val="24"/>
          <w:szCs w:val="24"/>
          <w:highlight w:val="none"/>
        </w:rPr>
      </w:pPr>
      <w:r>
        <w:rPr>
          <w:rFonts w:hint="eastAsia" w:ascii="宋体" w:hAnsi="宋体" w:eastAsia="宋体" w:cs="宋体"/>
          <w:color w:val="auto"/>
          <w:sz w:val="24"/>
          <w:szCs w:val="21"/>
          <w:highlight w:val="none"/>
        </w:rPr>
        <w:t>现文：3.2.1（2）（2）</w:t>
      </w:r>
      <w:r>
        <w:rPr>
          <w:rFonts w:hint="default" w:cs="Times New Roman"/>
          <w:color w:val="auto"/>
          <w:sz w:val="24"/>
          <w:szCs w:val="24"/>
          <w:highlight w:val="none"/>
        </w:rPr>
        <w:t>按本章第2.2.4（2）目规定的评审因素和分值对监理大纲部分计算出得分B</w:t>
      </w:r>
      <w:r>
        <w:rPr>
          <w:rFonts w:hint="default" w:cs="Times New Roman"/>
          <w:color w:val="auto"/>
          <w:sz w:val="24"/>
          <w:szCs w:val="24"/>
          <w:highlight w:val="none"/>
          <w:lang w:val="en-US" w:eastAsia="zh-CN"/>
        </w:rPr>
        <w:t>，</w:t>
      </w:r>
      <w:r>
        <w:rPr>
          <w:rFonts w:hint="default"/>
          <w:color w:val="auto"/>
          <w:sz w:val="24"/>
          <w:szCs w:val="24"/>
          <w:highlight w:val="none"/>
          <w:u w:val="single"/>
          <w:lang w:eastAsia="zh-CN"/>
        </w:rPr>
        <w:fldChar w:fldCharType="begin"/>
      </w:r>
      <w:r>
        <w:rPr>
          <w:rFonts w:hint="default"/>
          <w:color w:val="auto"/>
          <w:sz w:val="24"/>
          <w:szCs w:val="24"/>
          <w:highlight w:val="none"/>
          <w:u w:val="single"/>
          <w:lang w:eastAsia="zh-CN"/>
        </w:rPr>
        <w:instrText xml:space="preserve"> = 1 \* GB3 \* MERGEFORMAT </w:instrText>
      </w:r>
      <w:r>
        <w:rPr>
          <w:rFonts w:hint="default"/>
          <w:color w:val="auto"/>
          <w:sz w:val="24"/>
          <w:szCs w:val="24"/>
          <w:highlight w:val="none"/>
          <w:u w:val="single"/>
          <w:lang w:eastAsia="zh-CN"/>
        </w:rPr>
        <w:fldChar w:fldCharType="separate"/>
      </w:r>
      <w:r>
        <w:rPr>
          <w:rFonts w:hint="default"/>
          <w:color w:val="auto"/>
          <w:sz w:val="21"/>
          <w:szCs w:val="24"/>
          <w:highlight w:val="none"/>
          <w:u w:val="single"/>
        </w:rPr>
        <w:t>①</w:t>
      </w:r>
      <w:r>
        <w:rPr>
          <w:rFonts w:hint="default"/>
          <w:color w:val="auto"/>
          <w:sz w:val="21"/>
          <w:szCs w:val="24"/>
          <w:highlight w:val="none"/>
          <w:u w:val="single"/>
        </w:rPr>
        <w:fldChar w:fldCharType="end"/>
      </w:r>
      <w:r>
        <w:rPr>
          <w:rFonts w:hint="default" w:cs="Times New Roman"/>
          <w:color w:val="auto"/>
          <w:sz w:val="24"/>
          <w:szCs w:val="24"/>
          <w:highlight w:val="none"/>
          <w:u w:val="single"/>
          <w:lang w:eastAsia="zh-CN"/>
        </w:rPr>
        <w:t>监理大纲</w:t>
      </w:r>
      <w:r>
        <w:rPr>
          <w:rFonts w:hint="default" w:cs="Times New Roman"/>
          <w:color w:val="auto"/>
          <w:sz w:val="24"/>
          <w:szCs w:val="24"/>
          <w:highlight w:val="none"/>
          <w:u w:val="single"/>
        </w:rPr>
        <w:t>部分</w:t>
      </w:r>
      <w:r>
        <w:rPr>
          <w:rFonts w:hint="default"/>
          <w:color w:val="auto"/>
          <w:sz w:val="24"/>
          <w:szCs w:val="24"/>
          <w:highlight w:val="none"/>
          <w:u w:val="single"/>
        </w:rPr>
        <w:t>评审得分</w:t>
      </w:r>
      <w:r>
        <w:rPr>
          <w:rFonts w:hint="default" w:cs="Times New Roman"/>
          <w:color w:val="auto"/>
          <w:sz w:val="24"/>
          <w:szCs w:val="24"/>
          <w:highlight w:val="none"/>
        </w:rPr>
        <w:t>B</w:t>
      </w:r>
      <w:r>
        <w:rPr>
          <w:rFonts w:hint="default"/>
          <w:color w:val="auto"/>
          <w:sz w:val="24"/>
          <w:szCs w:val="24"/>
          <w:highlight w:val="none"/>
          <w:u w:val="single"/>
        </w:rPr>
        <w:t>为从各评标专家打分中去掉一个最高分和去掉一个最低分后的剩余评标专家打分的算术平均值</w:t>
      </w:r>
      <w:r>
        <w:rPr>
          <w:rFonts w:hint="default"/>
          <w:strike/>
          <w:color w:val="auto"/>
          <w:sz w:val="24"/>
          <w:szCs w:val="24"/>
          <w:highlight w:val="none"/>
          <w:u w:val="single"/>
          <w:lang w:eastAsia="zh-CN"/>
        </w:rPr>
        <w:t>或</w:t>
      </w:r>
      <w:r>
        <w:rPr>
          <w:rFonts w:hint="default"/>
          <w:strike/>
          <w:color w:val="auto"/>
          <w:sz w:val="24"/>
          <w:szCs w:val="24"/>
          <w:highlight w:val="none"/>
          <w:u w:val="single"/>
          <w:lang w:eastAsia="zh-CN"/>
        </w:rPr>
        <w:fldChar w:fldCharType="begin"/>
      </w:r>
      <w:r>
        <w:rPr>
          <w:rFonts w:hint="default"/>
          <w:strike/>
          <w:color w:val="auto"/>
          <w:sz w:val="24"/>
          <w:szCs w:val="24"/>
          <w:highlight w:val="none"/>
          <w:u w:val="single"/>
          <w:lang w:eastAsia="zh-CN"/>
        </w:rPr>
        <w:instrText xml:space="preserve"> = 2 \* GB3 \* MERGEFORMAT </w:instrText>
      </w:r>
      <w:r>
        <w:rPr>
          <w:rFonts w:hint="default"/>
          <w:strike/>
          <w:color w:val="auto"/>
          <w:sz w:val="24"/>
          <w:szCs w:val="24"/>
          <w:highlight w:val="none"/>
          <w:u w:val="single"/>
          <w:lang w:eastAsia="zh-CN"/>
        </w:rPr>
        <w:fldChar w:fldCharType="separate"/>
      </w:r>
      <w:r>
        <w:rPr>
          <w:rFonts w:hint="default"/>
          <w:strike/>
          <w:color w:val="auto"/>
          <w:sz w:val="21"/>
          <w:szCs w:val="24"/>
          <w:highlight w:val="none"/>
          <w:u w:val="single"/>
        </w:rPr>
        <w:t>②</w:t>
      </w:r>
      <w:r>
        <w:rPr>
          <w:rFonts w:hint="default"/>
          <w:strike/>
          <w:color w:val="auto"/>
          <w:sz w:val="21"/>
          <w:szCs w:val="24"/>
          <w:highlight w:val="none"/>
          <w:u w:val="single"/>
        </w:rPr>
        <w:fldChar w:fldCharType="end"/>
      </w:r>
      <w:r>
        <w:rPr>
          <w:rFonts w:hint="default" w:cs="Times New Roman"/>
          <w:strike/>
          <w:color w:val="auto"/>
          <w:sz w:val="24"/>
          <w:szCs w:val="24"/>
          <w:highlight w:val="none"/>
          <w:u w:val="single"/>
          <w:lang w:eastAsia="zh-CN"/>
        </w:rPr>
        <w:t>监理大纲</w:t>
      </w:r>
      <w:r>
        <w:rPr>
          <w:rFonts w:hint="default"/>
          <w:strike/>
          <w:color w:val="auto"/>
          <w:sz w:val="24"/>
          <w:szCs w:val="24"/>
          <w:highlight w:val="none"/>
          <w:u w:val="single"/>
          <w:lang w:eastAsia="zh-CN"/>
        </w:rPr>
        <w:t>部分</w:t>
      </w:r>
      <w:r>
        <w:rPr>
          <w:rFonts w:hint="default"/>
          <w:strike/>
          <w:color w:val="auto"/>
          <w:sz w:val="24"/>
          <w:szCs w:val="24"/>
          <w:highlight w:val="none"/>
          <w:u w:val="single"/>
        </w:rPr>
        <w:t>评审得分</w:t>
      </w:r>
      <w:r>
        <w:rPr>
          <w:rFonts w:hint="default" w:cs="Times New Roman"/>
          <w:strike/>
          <w:color w:val="auto"/>
          <w:sz w:val="24"/>
          <w:szCs w:val="24"/>
          <w:highlight w:val="none"/>
        </w:rPr>
        <w:t>B</w:t>
      </w:r>
      <w:r>
        <w:rPr>
          <w:rFonts w:hint="default"/>
          <w:strike/>
          <w:color w:val="auto"/>
          <w:sz w:val="24"/>
          <w:szCs w:val="24"/>
          <w:highlight w:val="none"/>
          <w:u w:val="single"/>
        </w:rPr>
        <w:t>为各评标专家打分的算术平均值</w:t>
      </w:r>
      <w:r>
        <w:rPr>
          <w:rFonts w:hint="default"/>
          <w:i/>
          <w:iCs/>
          <w:strike/>
          <w:color w:val="auto"/>
          <w:sz w:val="24"/>
          <w:szCs w:val="24"/>
          <w:highlight w:val="none"/>
          <w:u w:val="single"/>
          <w:lang w:eastAsia="zh-CN"/>
        </w:rPr>
        <w:t>（二选一，招标人自行选择）</w:t>
      </w:r>
      <w:r>
        <w:rPr>
          <w:rFonts w:hint="default" w:cs="Times New Roman"/>
          <w:color w:val="auto"/>
          <w:sz w:val="24"/>
          <w:szCs w:val="24"/>
          <w:highlight w:val="none"/>
        </w:rPr>
        <w:t>；</w:t>
      </w:r>
    </w:p>
    <w:p w14:paraId="217DFED9">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Times New Roman"/>
          <w:color w:val="auto"/>
          <w:sz w:val="24"/>
          <w:szCs w:val="24"/>
          <w:highlight w:val="none"/>
          <w:lang w:eastAsia="zh-CN"/>
        </w:rPr>
      </w:pP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-54610</wp:posOffset>
                </wp:positionH>
                <wp:positionV relativeFrom="paragraph">
                  <wp:posOffset>92075</wp:posOffset>
                </wp:positionV>
                <wp:extent cx="6000750" cy="0"/>
                <wp:effectExtent l="0" t="6350" r="0" b="6350"/>
                <wp:wrapNone/>
                <wp:docPr id="14" name="直接连接符 14"/>
                <wp:cNvGraphicFramePr/>
                <a:graphic xmlns:a="http://schemas.openxmlformats.org/drawingml/2006/main">
                  <a:graphicData uri="http://schemas.microsoft.com/office/word/2010/wordprocessingShape">
                    <wps:wsp>
                      <wps:cNvCnPr/>
                      <wps:spPr>
                        <a:xfrm>
                          <a:off x="845185" y="7413625"/>
                          <a:ext cx="6000750"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3pt;margin-top:7.25pt;height:0pt;width:472.5pt;z-index:251664384;mso-width-relative:page;mso-height-relative:page;" filled="f" stroked="t" coordsize="21600,21600" o:gfxdata="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nhUn/X&#10;AAAACAEAAA8AAAAAAAAAAQAgAAAAIgAAAGRycy9kb3ducmV2LnhtbFBLAQIUABQAAAAIAIdO4kA+&#10;fSUo6AEAAKgDAAAOAAAAAAAAAAEAIAAAACYBAABkcnMvZTJvRG9jLnhtbFBLBQYAAAAABgAGAFkB&#10;AACABQAAAAA=&#10;">
                <v:fill on="f" focussize="0,0"/>
                <v:stroke weight="1pt" color="#000000 [3213]" joinstyle="round"/>
                <v:imagedata o:title=""/>
                <o:lock v:ext="edit" aspectratio="f"/>
              </v:line>
            </w:pict>
          </mc:Fallback>
        </mc:AlternateContent>
      </w:r>
    </w:p>
    <w:p w14:paraId="376126FE">
      <w:pPr>
        <w:widowControl/>
        <w:shd w:val="clear"/>
        <w:autoSpaceDE/>
        <w:autoSpaceDN/>
        <w:adjustRightInd/>
        <w:spacing w:line="360" w:lineRule="auto"/>
        <w:ind w:firstLine="482" w:firstLineChars="20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条款号：3.2.1（4）     修改类型：删除</w:t>
      </w:r>
    </w:p>
    <w:p w14:paraId="58D80C11">
      <w:pPr>
        <w:widowControl/>
        <w:shd w:val="clear"/>
        <w:autoSpaceDE/>
        <w:autoSpaceDN/>
        <w:adjustRightInd/>
        <w:spacing w:line="360" w:lineRule="auto"/>
        <w:ind w:firstLine="480" w:firstLineChars="200"/>
        <w:jc w:val="both"/>
        <w:rPr>
          <w:rFonts w:hint="eastAsia" w:ascii="仿宋" w:hAnsi="仿宋" w:eastAsia="仿宋" w:cs="仿宋"/>
          <w:b w:val="0"/>
          <w:bCs/>
          <w:color w:val="auto"/>
          <w:sz w:val="24"/>
          <w:szCs w:val="24"/>
          <w:highlight w:val="none"/>
          <w:lang w:val="en-US" w:eastAsia="zh-CN" w:bidi="ar-SA"/>
        </w:rPr>
      </w:pPr>
      <w:r>
        <w:rPr>
          <w:color w:val="auto"/>
          <w:sz w:val="24"/>
          <w:highlight w:val="none"/>
        </w:rPr>
        <mc:AlternateContent>
          <mc:Choice Requires="wps">
            <w:drawing>
              <wp:anchor distT="0" distB="0" distL="114300" distR="114300" simplePos="0" relativeHeight="251672576" behindDoc="0" locked="0" layoutInCell="1" allowOverlap="1">
                <wp:simplePos x="0" y="0"/>
                <wp:positionH relativeFrom="column">
                  <wp:posOffset>-13970</wp:posOffset>
                </wp:positionH>
                <wp:positionV relativeFrom="paragraph">
                  <wp:posOffset>525145</wp:posOffset>
                </wp:positionV>
                <wp:extent cx="5879465" cy="8890"/>
                <wp:effectExtent l="0" t="0" r="0" b="0"/>
                <wp:wrapNone/>
                <wp:docPr id="25" name="直接连接符 25"/>
                <wp:cNvGraphicFramePr/>
                <a:graphic xmlns:a="http://schemas.openxmlformats.org/drawingml/2006/main">
                  <a:graphicData uri="http://schemas.microsoft.com/office/word/2010/wordprocessingShape">
                    <wps:wsp>
                      <wps:cNvCnPr/>
                      <wps:spPr>
                        <a:xfrm flipV="1">
                          <a:off x="885825" y="8432165"/>
                          <a:ext cx="5879465" cy="8890"/>
                        </a:xfrm>
                        <a:prstGeom prst="line">
                          <a:avLst/>
                        </a:prstGeom>
                        <a:ln w="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1pt;margin-top:41.35pt;height:0.7pt;width:462.95pt;z-index:251672576;mso-width-relative:page;mso-height-relative:page;" filled="f" stroked="t" coordsize="21600,21600" o:gfxdata="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SDHSzZAAAACAEAAA8AAAAAAAAAAQAgAAAAIgAAAGRycy9kb3ducmV2LnhtbFBLAQIUABQAAAAI&#10;AIdO4kCPlHiU7AEAALEDAAAOAAAAAAAAAAEAIAAAACgBAABkcnMvZTJvRG9jLnhtbFBLBQYAAAAA&#10;BgAGAFkBAACGBQAAAAA=&#10;">
                <v:fill on="f" focussize="0,0"/>
                <v:stroke weight="0pt" color="#000000 [3213]" joinstyle="round"/>
                <v:imagedata o:title=""/>
                <o:lock v:ext="edit" aspectratio="f"/>
              </v:line>
            </w:pict>
          </mc:Fallback>
        </mc:AlternateContent>
      </w:r>
      <w:r>
        <w:rPr>
          <w:rFonts w:hint="eastAsia" w:ascii="仿宋" w:hAnsi="仿宋" w:eastAsia="仿宋" w:cs="仿宋"/>
          <w:b/>
          <w:color w:val="auto"/>
          <w:sz w:val="24"/>
          <w:szCs w:val="24"/>
          <w:highlight w:val="none"/>
          <w:lang w:val="en-US" w:eastAsia="zh-CN" w:bidi="ar-SA"/>
        </w:rPr>
        <w:t>原文：</w:t>
      </w:r>
      <w:r>
        <w:rPr>
          <w:rFonts w:hint="eastAsia" w:ascii="仿宋" w:hAnsi="仿宋" w:eastAsia="仿宋" w:cs="仿宋"/>
          <w:b w:val="0"/>
          <w:bCs/>
          <w:color w:val="auto"/>
          <w:sz w:val="24"/>
          <w:szCs w:val="24"/>
          <w:highlight w:val="none"/>
          <w:lang w:val="en-US" w:eastAsia="zh-CN" w:bidi="ar-SA"/>
        </w:rPr>
        <w:t>3.2.1（4） 按本章第2.2.4（4）目规定的评审因素和分值对诚信评价计算出得分D。</w:t>
      </w:r>
    </w:p>
    <w:p w14:paraId="7D551271">
      <w:pPr>
        <w:spacing w:line="360" w:lineRule="auto"/>
        <w:ind w:firstLine="480" w:firstLineChars="200"/>
        <w:jc w:val="left"/>
        <w:rPr>
          <w:rFonts w:hint="eastAsia" w:ascii="宋体" w:hAnsi="宋体"/>
          <w:color w:val="auto"/>
          <w:sz w:val="24"/>
          <w:szCs w:val="21"/>
          <w:highlight w:val="none"/>
        </w:rPr>
      </w:pPr>
      <w:r>
        <w:rPr>
          <w:rFonts w:hint="eastAsia" w:ascii="宋体" w:hAnsi="宋体"/>
          <w:color w:val="auto"/>
          <w:sz w:val="24"/>
          <w:szCs w:val="21"/>
          <w:highlight w:val="none"/>
        </w:rPr>
        <w:t>条款号：3.2.3          修改类型：修改</w:t>
      </w:r>
    </w:p>
    <w:p w14:paraId="2E3A4A81">
      <w:pPr>
        <w:spacing w:line="360" w:lineRule="auto"/>
        <w:ind w:firstLine="480" w:firstLineChars="200"/>
        <w:jc w:val="left"/>
        <w:rPr>
          <w:rFonts w:hint="eastAsia" w:ascii="宋体" w:hAnsi="宋体"/>
          <w:color w:val="auto"/>
          <w:sz w:val="24"/>
          <w:szCs w:val="21"/>
          <w:highlight w:val="none"/>
        </w:rPr>
      </w:pPr>
      <w:r>
        <w:rPr>
          <w:rFonts w:hint="eastAsia" w:ascii="宋体" w:hAnsi="宋体"/>
          <w:color w:val="auto"/>
          <w:sz w:val="24"/>
          <w:szCs w:val="21"/>
          <w:highlight w:val="none"/>
        </w:rPr>
        <w:t>原文：3.2.3 投标人得分=A+B+C+D。</w:t>
      </w:r>
    </w:p>
    <w:p w14:paraId="75846B7F">
      <w:pPr>
        <w:spacing w:line="360" w:lineRule="auto"/>
        <w:ind w:firstLine="480" w:firstLineChars="200"/>
        <w:jc w:val="left"/>
        <w:rPr>
          <w:rFonts w:hint="eastAsia" w:ascii="宋体" w:hAnsi="宋体"/>
          <w:color w:val="auto"/>
          <w:sz w:val="24"/>
          <w:szCs w:val="21"/>
          <w:highlight w:val="none"/>
          <w:lang w:val="en-US" w:eastAsia="zh-CN"/>
        </w:rPr>
      </w:pPr>
      <w:r>
        <w:rPr>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235585</wp:posOffset>
                </wp:positionV>
                <wp:extent cx="5768340" cy="12065"/>
                <wp:effectExtent l="0" t="4445" r="3810" b="12065"/>
                <wp:wrapNone/>
                <wp:docPr id="16" name="直接连接符 16"/>
                <wp:cNvGraphicFramePr/>
                <a:graphic xmlns:a="http://schemas.openxmlformats.org/drawingml/2006/main">
                  <a:graphicData uri="http://schemas.microsoft.com/office/word/2010/wordprocessingShape">
                    <wps:wsp>
                      <wps:cNvCnPr/>
                      <wps:spPr>
                        <a:xfrm flipV="1">
                          <a:off x="949960" y="9493250"/>
                          <a:ext cx="5768340" cy="12065"/>
                        </a:xfrm>
                        <a:prstGeom prst="line">
                          <a:avLst/>
                        </a:prstGeom>
                        <a:ln w="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95pt;margin-top:18.55pt;height:0.95pt;width:454.2pt;z-index:251659264;mso-width-relative:page;mso-height-relative:page;" filled="f" stroked="t" coordsize="21600,21600" o:gfxdata="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98E&#10;FdYAAAAHAQAADwAAAAAAAAABACAAAAAiAAAAZHJzL2Rvd25yZXYueG1sUEsBAhQAFAAAAAgAh07i&#10;QCEGr4brAQAAsgMAAA4AAAAAAAAAAQAgAAAAJQEAAGRycy9lMm9Eb2MueG1sUEsFBgAAAAAGAAYA&#10;WQEAAIIFAAAAAA==&#10;">
                <v:fill on="f" focussize="0,0"/>
                <v:stroke weight="0pt" color="#000000 [3213]" joinstyle="round"/>
                <v:imagedata o:title=""/>
                <o:lock v:ext="edit" aspectratio="f"/>
              </v:line>
            </w:pict>
          </mc:Fallback>
        </mc:AlternateContent>
      </w:r>
      <w:r>
        <w:rPr>
          <w:rFonts w:hint="eastAsia" w:ascii="宋体" w:hAnsi="宋体"/>
          <w:color w:val="auto"/>
          <w:sz w:val="24"/>
          <w:szCs w:val="21"/>
          <w:highlight w:val="none"/>
        </w:rPr>
        <w:t>现文：3.2.3 投标人得分=A+B+</w:t>
      </w:r>
      <w:r>
        <w:rPr>
          <w:rFonts w:hint="eastAsia" w:ascii="宋体" w:hAnsi="宋体"/>
          <w:color w:val="auto"/>
          <w:sz w:val="24"/>
          <w:szCs w:val="21"/>
          <w:highlight w:val="none"/>
          <w:lang w:val="en-US" w:eastAsia="zh-CN"/>
        </w:rPr>
        <w:t>C。</w:t>
      </w:r>
    </w:p>
    <w:p w14:paraId="75431EED">
      <w:pPr>
        <w:spacing w:line="360" w:lineRule="auto"/>
        <w:ind w:firstLine="480" w:firstLineChars="200"/>
        <w:jc w:val="left"/>
        <w:rPr>
          <w:rFonts w:ascii="宋体" w:hAnsi="宋体"/>
          <w:color w:val="auto"/>
          <w:sz w:val="24"/>
          <w:szCs w:val="21"/>
          <w:highlight w:val="none"/>
        </w:rPr>
      </w:pPr>
      <w:r>
        <w:rPr>
          <w:rFonts w:hint="eastAsia" w:ascii="宋体" w:hAnsi="宋体"/>
          <w:color w:val="auto"/>
          <w:sz w:val="24"/>
          <w:szCs w:val="21"/>
          <w:highlight w:val="none"/>
        </w:rPr>
        <w:t>注：以上修改，仅限于本范本中有可供选择条</w:t>
      </w:r>
    </w:p>
    <w:p w14:paraId="0ED61867">
      <w:pPr>
        <w:pStyle w:val="25"/>
        <w:rPr>
          <w:rFonts w:hint="eastAsia" w:ascii="Microsoft JhengHei" w:hAnsi="Microsoft JhengHei" w:eastAsia="Microsoft JhengHei"/>
          <w:b w:val="0"/>
          <w:color w:val="auto"/>
          <w:sz w:val="30"/>
          <w:szCs w:val="24"/>
          <w:highlight w:val="none"/>
        </w:rPr>
      </w:pPr>
      <w:bookmarkStart w:id="31" w:name="_Toc10219"/>
      <w:r>
        <w:rPr>
          <w:rFonts w:hint="default" w:cs="宋体"/>
          <w:color w:val="auto"/>
          <w:sz w:val="24"/>
          <w:szCs w:val="24"/>
          <w:highlight w:val="none"/>
        </w:rPr>
        <w:t>1.评标方法</w:t>
      </w:r>
      <w:bookmarkEnd w:id="31"/>
    </w:p>
    <w:p w14:paraId="5A6A6D7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0E15F32B">
      <w:pPr>
        <w:pStyle w:val="4"/>
        <w:outlineLvl w:val="1"/>
        <w:rPr>
          <w:rFonts w:hint="eastAsia" w:ascii="Microsoft JhengHei" w:hAnsi="Microsoft JhengHei" w:eastAsia="Microsoft JhengHei"/>
          <w:b w:val="0"/>
          <w:color w:val="auto"/>
          <w:sz w:val="30"/>
          <w:szCs w:val="24"/>
          <w:highlight w:val="none"/>
        </w:rPr>
      </w:pPr>
      <w:r>
        <w:rPr>
          <w:rFonts w:hint="default" w:cs="宋体"/>
          <w:color w:val="auto"/>
          <w:sz w:val="24"/>
          <w:szCs w:val="24"/>
          <w:highlight w:val="none"/>
        </w:rPr>
        <w:t>2.评审标准</w:t>
      </w:r>
    </w:p>
    <w:p w14:paraId="3A064FC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2.1 初步评审标准</w:t>
      </w:r>
    </w:p>
    <w:p w14:paraId="382A9B7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2.1.</w:t>
      </w:r>
      <w:r>
        <w:rPr>
          <w:rFonts w:hint="default" w:cs="Times New Roman"/>
          <w:color w:val="auto"/>
          <w:sz w:val="24"/>
          <w:szCs w:val="24"/>
          <w:highlight w:val="none"/>
          <w:lang w:val="en-US" w:eastAsia="zh-CN"/>
        </w:rPr>
        <w:t>1</w:t>
      </w:r>
      <w:r>
        <w:rPr>
          <w:rFonts w:hint="default" w:cs="Times New Roman"/>
          <w:color w:val="auto"/>
          <w:sz w:val="24"/>
          <w:szCs w:val="24"/>
          <w:highlight w:val="none"/>
        </w:rPr>
        <w:t xml:space="preserve"> 资格评审标准：见评标办法前附表。</w:t>
      </w:r>
    </w:p>
    <w:p w14:paraId="783EAF4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2.1.</w:t>
      </w:r>
      <w:r>
        <w:rPr>
          <w:rFonts w:hint="default" w:cs="Times New Roman"/>
          <w:color w:val="auto"/>
          <w:sz w:val="24"/>
          <w:szCs w:val="24"/>
          <w:highlight w:val="none"/>
          <w:lang w:val="en-US" w:eastAsia="zh-CN"/>
        </w:rPr>
        <w:t>2</w:t>
      </w:r>
      <w:r>
        <w:rPr>
          <w:rFonts w:hint="default" w:cs="Times New Roman"/>
          <w:color w:val="auto"/>
          <w:sz w:val="24"/>
          <w:szCs w:val="24"/>
          <w:highlight w:val="none"/>
        </w:rPr>
        <w:t xml:space="preserve"> 形式评审标准：见评标办法前附表。</w:t>
      </w:r>
    </w:p>
    <w:p w14:paraId="71E8B4A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2.1.3 响应性评审标准：见评标办法前附表。</w:t>
      </w:r>
    </w:p>
    <w:p w14:paraId="1015129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2.2 分值构成与评分标准</w:t>
      </w:r>
    </w:p>
    <w:p w14:paraId="6B11622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2.2.1  分值构成</w:t>
      </w:r>
    </w:p>
    <w:p w14:paraId="42D04AF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（1）资信业绩部分：见评标办法前附表；</w:t>
      </w:r>
    </w:p>
    <w:p w14:paraId="64A497B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（2）监理大纲部分：见评标办法前附表；</w:t>
      </w:r>
    </w:p>
    <w:p w14:paraId="4DFEFD0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（3）投标报价：见评标办法前附表；</w:t>
      </w:r>
    </w:p>
    <w:p w14:paraId="73B138B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dstrike w:val="0"/>
          <w:color w:val="auto"/>
          <w:sz w:val="24"/>
          <w:szCs w:val="24"/>
          <w:highlight w:val="none"/>
        </w:rPr>
      </w:pPr>
      <w:r>
        <w:rPr>
          <w:rFonts w:hint="default" w:cs="Times New Roman"/>
          <w:strike/>
          <w:dstrike w:val="0"/>
          <w:color w:val="auto"/>
          <w:sz w:val="24"/>
          <w:szCs w:val="24"/>
          <w:highlight w:val="none"/>
        </w:rPr>
        <w:t>（4）</w:t>
      </w:r>
      <w:r>
        <w:rPr>
          <w:rFonts w:hint="default" w:cs="Times New Roman"/>
          <w:strike/>
          <w:dstrike w:val="0"/>
          <w:color w:val="auto"/>
          <w:sz w:val="24"/>
          <w:szCs w:val="24"/>
          <w:highlight w:val="none"/>
          <w:lang w:eastAsia="zh-CN"/>
        </w:rPr>
        <w:t>诚信得分</w:t>
      </w:r>
      <w:r>
        <w:rPr>
          <w:rFonts w:hint="default" w:cs="Times New Roman"/>
          <w:strike/>
          <w:dstrike w:val="0"/>
          <w:color w:val="auto"/>
          <w:sz w:val="24"/>
          <w:szCs w:val="24"/>
          <w:highlight w:val="none"/>
        </w:rPr>
        <w:t xml:space="preserve">：见评标办法前附表。 </w:t>
      </w:r>
    </w:p>
    <w:p w14:paraId="393FC8F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2.2.2 评标基准价计算评标基准价计算方法：见评标办法前附表。</w:t>
      </w:r>
    </w:p>
    <w:p w14:paraId="69083BF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2.2.3 投标报价的偏差率计算</w:t>
      </w:r>
    </w:p>
    <w:p w14:paraId="03B9237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投标报价的偏差率计算公式：见评标办法前附表。</w:t>
      </w:r>
    </w:p>
    <w:p w14:paraId="1059B75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2.2.4  评分标准</w:t>
      </w:r>
    </w:p>
    <w:p w14:paraId="4AE83EF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（1）资信业绩评分标准：见评标办法前附表；</w:t>
      </w:r>
    </w:p>
    <w:p w14:paraId="1037EB7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（2）监理大纲评分标准：见评标办法前附表；</w:t>
      </w:r>
    </w:p>
    <w:p w14:paraId="254F7AB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（3）投标报价评分标准：见评标办法前附表；</w:t>
      </w:r>
    </w:p>
    <w:p w14:paraId="4E20614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（4）</w:t>
      </w:r>
      <w:r>
        <w:rPr>
          <w:rFonts w:hint="default" w:cs="Times New Roman"/>
          <w:strike/>
          <w:color w:val="auto"/>
          <w:sz w:val="24"/>
          <w:szCs w:val="24"/>
          <w:highlight w:val="none"/>
          <w:lang w:eastAsia="zh-CN"/>
        </w:rPr>
        <w:t>诚信得分</w:t>
      </w:r>
      <w:r>
        <w:rPr>
          <w:rFonts w:hint="default" w:cs="Times New Roman"/>
          <w:strike/>
          <w:color w:val="auto"/>
          <w:sz w:val="24"/>
          <w:szCs w:val="24"/>
          <w:highlight w:val="none"/>
        </w:rPr>
        <w:t>评分标准：见评标办法前附表。</w:t>
      </w:r>
    </w:p>
    <w:p w14:paraId="6DB2537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hint="default" w:cs="Times New Roman"/>
          <w:strike/>
          <w:color w:val="auto"/>
          <w:sz w:val="21"/>
          <w:szCs w:val="21"/>
          <w:highlight w:val="none"/>
        </w:rPr>
      </w:pPr>
      <w:r>
        <w:rPr>
          <w:rFonts w:hint="default" w:cs="Times New Roman"/>
          <w:strike/>
          <w:color w:val="auto"/>
          <w:sz w:val="21"/>
          <w:szCs w:val="21"/>
          <w:highlight w:val="none"/>
        </w:rPr>
        <w:t>注：投标人的诚信评价总分取自本项目招标公告发布第1天所在季度的上一季度的诚信综合评价分。</w:t>
      </w:r>
    </w:p>
    <w:p w14:paraId="6EB50C1B">
      <w:pPr>
        <w:pStyle w:val="4"/>
        <w:outlineLvl w:val="1"/>
        <w:rPr>
          <w:rFonts w:hint="default" w:cs="宋体"/>
          <w:color w:val="auto"/>
          <w:sz w:val="24"/>
          <w:szCs w:val="24"/>
          <w:highlight w:val="none"/>
        </w:rPr>
      </w:pPr>
      <w:bookmarkStart w:id="32" w:name="_Toc15176"/>
      <w:r>
        <w:rPr>
          <w:rFonts w:hint="default" w:cs="宋体"/>
          <w:color w:val="auto"/>
          <w:sz w:val="24"/>
          <w:szCs w:val="24"/>
          <w:highlight w:val="none"/>
        </w:rPr>
        <w:t>3.评标程序</w:t>
      </w:r>
      <w:bookmarkEnd w:id="32"/>
    </w:p>
    <w:p w14:paraId="435A965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3.1  初步评审</w:t>
      </w:r>
    </w:p>
    <w:p w14:paraId="04906E8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670F9FD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3.1.2 投标人有以下情形之一的，评标委员会应当否决其投标：</w:t>
      </w:r>
    </w:p>
    <w:p w14:paraId="345C4BC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（1）投标文件没有对招标文件的实质性要求和条件作出响应，或者对招标文件的偏差超出招标文件规定的偏差范围或最高项数；</w:t>
      </w:r>
    </w:p>
    <w:p w14:paraId="0DCA5CA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（2）有串通投标、弄虚作假、行贿等违法行为。</w:t>
      </w:r>
    </w:p>
    <w:p w14:paraId="5941FCD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w:t>
      </w:r>
      <w:r>
        <w:rPr>
          <w:rFonts w:hint="default" w:cs="Times New Roman"/>
          <w:color w:val="auto"/>
          <w:sz w:val="24"/>
          <w:szCs w:val="24"/>
          <w:highlight w:val="none"/>
          <w:lang w:val="en-US" w:eastAsia="zh-CN"/>
        </w:rPr>
        <w:t>3</w:t>
      </w:r>
      <w:r>
        <w:rPr>
          <w:rFonts w:hint="default" w:cs="Times New Roman"/>
          <w:color w:val="auto"/>
          <w:sz w:val="24"/>
          <w:szCs w:val="24"/>
          <w:highlight w:val="none"/>
          <w:lang w:eastAsia="zh-CN"/>
        </w:rPr>
        <w:t>）两个（含两个）以上</w:t>
      </w:r>
      <w:r>
        <w:rPr>
          <w:rFonts w:hint="eastAsia" w:eastAsia="Times New Roman" w:cs="Times New Roman"/>
          <w:color w:val="auto"/>
          <w:sz w:val="24"/>
          <w:szCs w:val="24"/>
          <w:highlight w:val="none"/>
        </w:rPr>
        <w:t>投标人加密打包投标文件</w:t>
      </w:r>
      <w:r>
        <w:rPr>
          <w:rFonts w:hint="default" w:cs="Times New Roman"/>
          <w:color w:val="auto"/>
          <w:sz w:val="24"/>
          <w:szCs w:val="24"/>
          <w:highlight w:val="none"/>
          <w:lang w:eastAsia="zh-CN"/>
        </w:rPr>
        <w:t>工程量清单编制</w:t>
      </w:r>
      <w:r>
        <w:rPr>
          <w:rFonts w:hint="eastAsia" w:eastAsia="Times New Roman" w:cs="Times New Roman"/>
          <w:color w:val="auto"/>
          <w:sz w:val="24"/>
          <w:szCs w:val="24"/>
          <w:highlight w:val="none"/>
        </w:rPr>
        <w:t>机器</w:t>
      </w:r>
      <w:r>
        <w:rPr>
          <w:rFonts w:hint="default" w:cs="Times New Roman"/>
          <w:color w:val="auto"/>
          <w:sz w:val="24"/>
          <w:szCs w:val="24"/>
          <w:highlight w:val="none"/>
          <w:lang w:eastAsia="zh-CN"/>
        </w:rPr>
        <w:t>硬件信息</w:t>
      </w:r>
      <w:r>
        <w:rPr>
          <w:rFonts w:hint="eastAsia" w:eastAsia="Times New Roman" w:cs="Times New Roman"/>
          <w:color w:val="auto"/>
          <w:sz w:val="24"/>
          <w:szCs w:val="24"/>
          <w:highlight w:val="none"/>
        </w:rPr>
        <w:t>一致的</w:t>
      </w:r>
      <w:r>
        <w:rPr>
          <w:rFonts w:hint="default" w:cs="Times New Roman"/>
          <w:color w:val="auto"/>
          <w:sz w:val="24"/>
          <w:szCs w:val="24"/>
          <w:highlight w:val="none"/>
          <w:lang w:eastAsia="zh-CN"/>
        </w:rPr>
        <w:t>。</w:t>
      </w:r>
    </w:p>
    <w:p w14:paraId="3DD1276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74F6AB8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（1）投标文件中的大写金额与小写金额不一致的，以大写金额为准；</w:t>
      </w:r>
    </w:p>
    <w:p w14:paraId="1AD860F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（2）总价金额与单价金额不一致的，以单价金额为准，但单价金额小数点有明显错误的除外。</w:t>
      </w:r>
    </w:p>
    <w:p w14:paraId="1417FF0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3.2  详细评审</w:t>
      </w:r>
    </w:p>
    <w:p w14:paraId="05978F1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3.2.1 评标委员会按本章第 2.2 款规定的量化因素和分值进行打分，并计算出综合评估得分。</w:t>
      </w:r>
    </w:p>
    <w:p w14:paraId="312117AE">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（1）按本章第2.2.4（1）目规定的评审因素和分值对资信业绩部分计算出得分</w:t>
      </w:r>
      <w:r>
        <w:rPr>
          <w:rFonts w:hint="default" w:cs="Times New Roman"/>
          <w:color w:val="auto"/>
          <w:sz w:val="24"/>
          <w:szCs w:val="24"/>
          <w:highlight w:val="none"/>
          <w:lang w:val="en-US" w:eastAsia="zh-CN"/>
        </w:rPr>
        <w:t>A，</w:t>
      </w:r>
      <w:r>
        <w:rPr>
          <w:rFonts w:hint="default" w:cs="Times New Roman"/>
          <w:color w:val="auto"/>
          <w:sz w:val="24"/>
          <w:szCs w:val="24"/>
          <w:highlight w:val="none"/>
          <w:u w:val="single"/>
        </w:rPr>
        <w:t>资信业绩</w:t>
      </w:r>
      <w:r>
        <w:rPr>
          <w:rFonts w:hint="default"/>
          <w:color w:val="auto"/>
          <w:sz w:val="24"/>
          <w:szCs w:val="24"/>
          <w:highlight w:val="none"/>
          <w:u w:val="single"/>
          <w:lang w:eastAsia="zh-CN"/>
        </w:rPr>
        <w:t>部分</w:t>
      </w:r>
      <w:r>
        <w:rPr>
          <w:rFonts w:hint="default"/>
          <w:color w:val="auto"/>
          <w:sz w:val="24"/>
          <w:szCs w:val="24"/>
          <w:highlight w:val="none"/>
          <w:u w:val="single"/>
        </w:rPr>
        <w:t>评审得分A为各评标专家打分的算术平均值</w:t>
      </w:r>
      <w:r>
        <w:rPr>
          <w:rFonts w:hint="default" w:cs="Times New Roman"/>
          <w:color w:val="auto"/>
          <w:sz w:val="24"/>
          <w:szCs w:val="24"/>
          <w:highlight w:val="none"/>
        </w:rPr>
        <w:t>；</w:t>
      </w:r>
    </w:p>
    <w:p w14:paraId="08C985CE">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（2）按本章第2.2.4（2）目规定的评审因素和分值对监理大纲部分计算出得分B</w:t>
      </w:r>
      <w:r>
        <w:rPr>
          <w:rFonts w:hint="default" w:cs="Times New Roman"/>
          <w:color w:val="auto"/>
          <w:sz w:val="24"/>
          <w:szCs w:val="24"/>
          <w:highlight w:val="none"/>
          <w:lang w:val="en-US" w:eastAsia="zh-CN"/>
        </w:rPr>
        <w:t>，</w:t>
      </w:r>
      <w:r>
        <w:rPr>
          <w:rFonts w:hint="default"/>
          <w:color w:val="auto"/>
          <w:sz w:val="24"/>
          <w:szCs w:val="24"/>
          <w:highlight w:val="none"/>
          <w:u w:val="single"/>
          <w:lang w:eastAsia="zh-CN"/>
        </w:rPr>
        <w:fldChar w:fldCharType="begin"/>
      </w:r>
      <w:r>
        <w:rPr>
          <w:rFonts w:hint="default"/>
          <w:color w:val="auto"/>
          <w:sz w:val="24"/>
          <w:szCs w:val="24"/>
          <w:highlight w:val="none"/>
          <w:u w:val="single"/>
          <w:lang w:eastAsia="zh-CN"/>
        </w:rPr>
        <w:instrText xml:space="preserve"> = 1 \* GB3 \* MERGEFORMAT </w:instrText>
      </w:r>
      <w:r>
        <w:rPr>
          <w:rFonts w:hint="default"/>
          <w:color w:val="auto"/>
          <w:sz w:val="24"/>
          <w:szCs w:val="24"/>
          <w:highlight w:val="none"/>
          <w:u w:val="single"/>
          <w:lang w:eastAsia="zh-CN"/>
        </w:rPr>
        <w:fldChar w:fldCharType="separate"/>
      </w:r>
      <w:r>
        <w:rPr>
          <w:rFonts w:hint="default"/>
          <w:color w:val="auto"/>
          <w:sz w:val="21"/>
          <w:szCs w:val="24"/>
          <w:highlight w:val="none"/>
          <w:u w:val="single"/>
        </w:rPr>
        <w:t>①</w:t>
      </w:r>
      <w:r>
        <w:rPr>
          <w:rFonts w:hint="default"/>
          <w:color w:val="auto"/>
          <w:sz w:val="21"/>
          <w:szCs w:val="24"/>
          <w:highlight w:val="none"/>
          <w:u w:val="single"/>
        </w:rPr>
        <w:fldChar w:fldCharType="end"/>
      </w:r>
      <w:r>
        <w:rPr>
          <w:rFonts w:hint="default" w:cs="Times New Roman"/>
          <w:color w:val="auto"/>
          <w:sz w:val="24"/>
          <w:szCs w:val="24"/>
          <w:highlight w:val="none"/>
          <w:u w:val="single"/>
          <w:lang w:eastAsia="zh-CN"/>
        </w:rPr>
        <w:t>监理大纲</w:t>
      </w:r>
      <w:r>
        <w:rPr>
          <w:rFonts w:hint="default" w:cs="Times New Roman"/>
          <w:color w:val="auto"/>
          <w:sz w:val="24"/>
          <w:szCs w:val="24"/>
          <w:highlight w:val="none"/>
          <w:u w:val="single"/>
        </w:rPr>
        <w:t>部分</w:t>
      </w:r>
      <w:r>
        <w:rPr>
          <w:rFonts w:hint="default"/>
          <w:color w:val="auto"/>
          <w:sz w:val="24"/>
          <w:szCs w:val="24"/>
          <w:highlight w:val="none"/>
          <w:u w:val="single"/>
        </w:rPr>
        <w:t>评审得分</w:t>
      </w:r>
      <w:r>
        <w:rPr>
          <w:rFonts w:hint="default" w:cs="Times New Roman"/>
          <w:color w:val="auto"/>
          <w:sz w:val="24"/>
          <w:szCs w:val="24"/>
          <w:highlight w:val="none"/>
        </w:rPr>
        <w:t>B</w:t>
      </w:r>
      <w:r>
        <w:rPr>
          <w:rFonts w:hint="default"/>
          <w:color w:val="auto"/>
          <w:sz w:val="24"/>
          <w:szCs w:val="24"/>
          <w:highlight w:val="none"/>
          <w:u w:val="single"/>
        </w:rPr>
        <w:t>为从各评标专家打分中去掉一个最高分和去掉一个最低分后的剩余评标专家打分的算术平均值</w:t>
      </w:r>
      <w:r>
        <w:rPr>
          <w:rFonts w:hint="default"/>
          <w:strike/>
          <w:color w:val="auto"/>
          <w:sz w:val="24"/>
          <w:szCs w:val="24"/>
          <w:highlight w:val="none"/>
          <w:u w:val="single"/>
          <w:lang w:eastAsia="zh-CN"/>
        </w:rPr>
        <w:t>或</w:t>
      </w:r>
      <w:r>
        <w:rPr>
          <w:rFonts w:hint="default"/>
          <w:strike/>
          <w:color w:val="auto"/>
          <w:sz w:val="24"/>
          <w:szCs w:val="24"/>
          <w:highlight w:val="none"/>
          <w:u w:val="single"/>
          <w:lang w:eastAsia="zh-CN"/>
        </w:rPr>
        <w:fldChar w:fldCharType="begin"/>
      </w:r>
      <w:r>
        <w:rPr>
          <w:rFonts w:hint="default"/>
          <w:strike/>
          <w:color w:val="auto"/>
          <w:sz w:val="24"/>
          <w:szCs w:val="24"/>
          <w:highlight w:val="none"/>
          <w:u w:val="single"/>
          <w:lang w:eastAsia="zh-CN"/>
        </w:rPr>
        <w:instrText xml:space="preserve"> = 2 \* GB3 \* MERGEFORMAT </w:instrText>
      </w:r>
      <w:r>
        <w:rPr>
          <w:rFonts w:hint="default"/>
          <w:strike/>
          <w:color w:val="auto"/>
          <w:sz w:val="24"/>
          <w:szCs w:val="24"/>
          <w:highlight w:val="none"/>
          <w:u w:val="single"/>
          <w:lang w:eastAsia="zh-CN"/>
        </w:rPr>
        <w:fldChar w:fldCharType="separate"/>
      </w:r>
      <w:r>
        <w:rPr>
          <w:rFonts w:hint="default"/>
          <w:strike/>
          <w:color w:val="auto"/>
          <w:sz w:val="21"/>
          <w:szCs w:val="24"/>
          <w:highlight w:val="none"/>
          <w:u w:val="single"/>
        </w:rPr>
        <w:t>②</w:t>
      </w:r>
      <w:r>
        <w:rPr>
          <w:rFonts w:hint="default"/>
          <w:strike/>
          <w:color w:val="auto"/>
          <w:sz w:val="21"/>
          <w:szCs w:val="24"/>
          <w:highlight w:val="none"/>
          <w:u w:val="single"/>
        </w:rPr>
        <w:fldChar w:fldCharType="end"/>
      </w:r>
      <w:r>
        <w:rPr>
          <w:rFonts w:hint="default" w:cs="Times New Roman"/>
          <w:strike/>
          <w:color w:val="auto"/>
          <w:sz w:val="24"/>
          <w:szCs w:val="24"/>
          <w:highlight w:val="none"/>
          <w:u w:val="single"/>
          <w:lang w:eastAsia="zh-CN"/>
        </w:rPr>
        <w:t>监理大纲</w:t>
      </w:r>
      <w:r>
        <w:rPr>
          <w:rFonts w:hint="default"/>
          <w:strike/>
          <w:color w:val="auto"/>
          <w:sz w:val="24"/>
          <w:szCs w:val="24"/>
          <w:highlight w:val="none"/>
          <w:u w:val="single"/>
          <w:lang w:eastAsia="zh-CN"/>
        </w:rPr>
        <w:t>部分</w:t>
      </w:r>
      <w:r>
        <w:rPr>
          <w:rFonts w:hint="default"/>
          <w:strike/>
          <w:color w:val="auto"/>
          <w:sz w:val="24"/>
          <w:szCs w:val="24"/>
          <w:highlight w:val="none"/>
          <w:u w:val="single"/>
        </w:rPr>
        <w:t>评审得分</w:t>
      </w:r>
      <w:r>
        <w:rPr>
          <w:rFonts w:hint="default" w:cs="Times New Roman"/>
          <w:strike/>
          <w:color w:val="auto"/>
          <w:sz w:val="24"/>
          <w:szCs w:val="24"/>
          <w:highlight w:val="none"/>
        </w:rPr>
        <w:t>B</w:t>
      </w:r>
      <w:r>
        <w:rPr>
          <w:rFonts w:hint="default"/>
          <w:strike/>
          <w:color w:val="auto"/>
          <w:sz w:val="24"/>
          <w:szCs w:val="24"/>
          <w:highlight w:val="none"/>
          <w:u w:val="single"/>
        </w:rPr>
        <w:t>为各评标专家打分的算术平均值</w:t>
      </w:r>
      <w:r>
        <w:rPr>
          <w:rFonts w:hint="default"/>
          <w:i/>
          <w:iCs/>
          <w:strike/>
          <w:color w:val="auto"/>
          <w:sz w:val="24"/>
          <w:szCs w:val="24"/>
          <w:highlight w:val="none"/>
          <w:u w:val="single"/>
          <w:lang w:eastAsia="zh-CN"/>
        </w:rPr>
        <w:t>（二选一，招标人自行选择）</w:t>
      </w:r>
      <w:r>
        <w:rPr>
          <w:rFonts w:hint="default" w:cs="Times New Roman"/>
          <w:color w:val="auto"/>
          <w:sz w:val="24"/>
          <w:szCs w:val="24"/>
          <w:highlight w:val="none"/>
        </w:rPr>
        <w:t>；</w:t>
      </w:r>
    </w:p>
    <w:p w14:paraId="45001CF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（3）按本章第2.2.4（3）目规定的评审因素和分值对投标报价计算出得分C；</w:t>
      </w:r>
    </w:p>
    <w:p w14:paraId="6A47CB35">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default" w:cs="Times New Roman"/>
          <w:strike/>
          <w:color w:val="auto"/>
          <w:sz w:val="24"/>
          <w:szCs w:val="24"/>
          <w:highlight w:val="none"/>
          <w:lang w:eastAsia="zh-CN"/>
        </w:rPr>
      </w:pPr>
      <w:r>
        <w:rPr>
          <w:rFonts w:hint="default" w:cs="Times New Roman"/>
          <w:strike/>
          <w:color w:val="auto"/>
          <w:sz w:val="24"/>
          <w:szCs w:val="24"/>
          <w:highlight w:val="none"/>
        </w:rPr>
        <w:t>（4）按本章第2.2.4（4）目规定的评审因素和分值对</w:t>
      </w:r>
      <w:r>
        <w:rPr>
          <w:rFonts w:hint="default" w:cs="Times New Roman"/>
          <w:strike/>
          <w:color w:val="auto"/>
          <w:sz w:val="24"/>
          <w:szCs w:val="24"/>
          <w:highlight w:val="none"/>
          <w:lang w:eastAsia="zh-CN"/>
        </w:rPr>
        <w:t>诚信评价</w:t>
      </w:r>
      <w:r>
        <w:rPr>
          <w:rFonts w:hint="default" w:cs="Times New Roman"/>
          <w:strike/>
          <w:color w:val="auto"/>
          <w:sz w:val="24"/>
          <w:szCs w:val="24"/>
          <w:highlight w:val="none"/>
        </w:rPr>
        <w:t>计算出得分D</w:t>
      </w:r>
      <w:r>
        <w:rPr>
          <w:rFonts w:hint="default" w:cs="Times New Roman"/>
          <w:strike/>
          <w:color w:val="auto"/>
          <w:sz w:val="24"/>
          <w:szCs w:val="24"/>
          <w:highlight w:val="none"/>
          <w:lang w:eastAsia="zh-CN"/>
        </w:rPr>
        <w:t>。</w:t>
      </w:r>
    </w:p>
    <w:p w14:paraId="79304B5E">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default" w:cs="Times New Roman"/>
          <w:color w:val="auto"/>
          <w:sz w:val="24"/>
          <w:szCs w:val="24"/>
          <w:highlight w:val="none"/>
        </w:rPr>
      </w:pPr>
      <w:r>
        <w:rPr>
          <w:rFonts w:hint="default" w:cs="Times New Roman"/>
          <w:color w:val="auto"/>
          <w:sz w:val="24"/>
          <w:szCs w:val="24"/>
          <w:highlight w:val="none"/>
        </w:rPr>
        <w:t>3.2.2 评分分值计算保留小数点后两位，小数点后第三位“四舍五入”。</w:t>
      </w:r>
    </w:p>
    <w:p w14:paraId="4EB3497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3.2.3 投标人得分=A+B+C。</w:t>
      </w:r>
    </w:p>
    <w:p w14:paraId="59715B6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0F146BA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3.3  投标文件的澄清</w:t>
      </w:r>
    </w:p>
    <w:p w14:paraId="63AC5390">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3.3.1 在评标过程中，</w:t>
      </w:r>
      <w:r>
        <w:rPr>
          <w:rFonts w:hint="eastAsia" w:ascii="宋体" w:hAnsi="宋体"/>
          <w:color w:val="auto"/>
          <w:sz w:val="24"/>
          <w:highlight w:val="none"/>
        </w:rPr>
        <w:t>经评标委员会中两人以上（含两人）以书面形式提出动议，评标委员会</w:t>
      </w:r>
      <w:r>
        <w:rPr>
          <w:rFonts w:hint="default" w:cs="宋体"/>
          <w:color w:val="auto"/>
          <w:sz w:val="24"/>
          <w:szCs w:val="24"/>
          <w:highlight w:val="none"/>
        </w:rPr>
        <w:t>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14:paraId="65826D18">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3.3.2 澄清、说明或补正不得超出投标文件的范围且不得改变投标文件的实质性内容，并构成投标文件的组成部分。</w:t>
      </w:r>
    </w:p>
    <w:p w14:paraId="57852CE0">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3.3.3 评标委员会对投标人提交的澄清、说明或补正有疑问的，可以要求投标人进一步澄清、 说明或补正，直至满足评标委员会的要求。</w:t>
      </w:r>
    </w:p>
    <w:p w14:paraId="649AB55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color w:val="auto"/>
          <w:highlight w:val="none"/>
        </w:rPr>
      </w:pPr>
      <w:r>
        <w:rPr>
          <w:rFonts w:hint="default" w:ascii="宋体" w:hAnsi="宋体" w:eastAsia="宋体" w:cs="宋体"/>
          <w:color w:val="auto"/>
          <w:highlight w:val="none"/>
        </w:rPr>
        <w:t>3.4  评标结果</w:t>
      </w:r>
    </w:p>
    <w:p w14:paraId="170FB16D">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3.4.1 除第二章“投标人须知”前附表授权直接确定中标人外，评标委员会按照得分由高到低 的顺序推荐中标候选人，并标明排序。</w:t>
      </w:r>
    </w:p>
    <w:p w14:paraId="157B2309">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3.4.2 评标委员会完成评标后，应当向招标人提交书面评标报告和中标候选人名单。</w:t>
      </w:r>
    </w:p>
    <w:p w14:paraId="3A9F19CD">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sectPr>
          <w:headerReference r:id="rId8" w:type="default"/>
          <w:pgSz w:w="11905" w:h="16838"/>
          <w:pgMar w:top="1417" w:right="1417" w:bottom="1417" w:left="1417" w:header="992" w:footer="992" w:gutter="0"/>
          <w:lnNumType w:countBy="0" w:distance="360"/>
          <w:cols w:space="720" w:num="1"/>
        </w:sectPr>
      </w:pPr>
    </w:p>
    <w:p w14:paraId="7C9DA4AF">
      <w:pPr>
        <w:pStyle w:val="3"/>
        <w:outlineLvl w:val="0"/>
        <w:rPr>
          <w:rFonts w:hint="default" w:cs="宋体"/>
          <w:color w:val="auto"/>
          <w:sz w:val="44"/>
          <w:szCs w:val="24"/>
          <w:highlight w:val="none"/>
        </w:rPr>
      </w:pPr>
      <w:bookmarkStart w:id="33" w:name="_Toc27798"/>
      <w:r>
        <w:rPr>
          <w:rFonts w:hint="default" w:cs="宋体"/>
          <w:color w:val="auto"/>
          <w:sz w:val="44"/>
          <w:szCs w:val="24"/>
          <w:highlight w:val="none"/>
        </w:rPr>
        <w:t>第四章</w:t>
      </w:r>
      <w:r>
        <w:rPr>
          <w:rFonts w:hint="default" w:cs="宋体"/>
          <w:color w:val="auto"/>
          <w:sz w:val="44"/>
          <w:szCs w:val="24"/>
          <w:highlight w:val="none"/>
          <w:lang w:val="en-US" w:eastAsia="zh-CN"/>
        </w:rPr>
        <w:t xml:space="preserve"> </w:t>
      </w:r>
      <w:r>
        <w:rPr>
          <w:rFonts w:hint="default" w:cs="宋体"/>
          <w:color w:val="auto"/>
          <w:sz w:val="44"/>
          <w:szCs w:val="24"/>
          <w:highlight w:val="none"/>
        </w:rPr>
        <w:t>合同条款及格式</w:t>
      </w:r>
      <w:bookmarkEnd w:id="33"/>
    </w:p>
    <w:p w14:paraId="4BCABD1B">
      <w:pPr>
        <w:pStyle w:val="11"/>
        <w:kinsoku w:val="0"/>
        <w:overflowPunct w:val="0"/>
        <w:ind w:left="0"/>
        <w:rPr>
          <w:rFonts w:hint="eastAsia" w:ascii="Microsoft JhengHei" w:hAnsi="Microsoft JhengHei" w:eastAsia="Microsoft JhengHei"/>
          <w:b/>
          <w:color w:val="auto"/>
          <w:sz w:val="20"/>
          <w:szCs w:val="24"/>
          <w:highlight w:val="none"/>
        </w:rPr>
      </w:pPr>
    </w:p>
    <w:p w14:paraId="4FF96A75">
      <w:pPr>
        <w:pStyle w:val="11"/>
        <w:kinsoku w:val="0"/>
        <w:overflowPunct w:val="0"/>
        <w:spacing w:before="2"/>
        <w:ind w:left="0"/>
        <w:rPr>
          <w:rFonts w:hint="eastAsia" w:ascii="Microsoft JhengHei" w:hAnsi="Microsoft JhengHei" w:eastAsia="Microsoft JhengHei"/>
          <w:b/>
          <w:color w:val="auto"/>
          <w:sz w:val="29"/>
          <w:szCs w:val="24"/>
          <w:highlight w:val="none"/>
        </w:rPr>
      </w:pPr>
    </w:p>
    <w:p w14:paraId="6456B0B0">
      <w:pPr>
        <w:pStyle w:val="11"/>
        <w:kinsoku w:val="0"/>
        <w:overflowPunct w:val="0"/>
        <w:ind w:left="0"/>
        <w:jc w:val="center"/>
        <w:rPr>
          <w:rFonts w:hint="eastAsia" w:eastAsia="宋体"/>
          <w:b/>
          <w:bCs/>
          <w:color w:val="auto"/>
          <w:sz w:val="40"/>
          <w:szCs w:val="52"/>
          <w:highlight w:val="none"/>
          <w:lang w:eastAsia="zh-CN"/>
        </w:rPr>
        <w:sectPr>
          <w:headerReference r:id="rId9" w:type="default"/>
          <w:footerReference r:id="rId10" w:type="default"/>
          <w:pgSz w:w="11905" w:h="16838"/>
          <w:pgMar w:top="1417" w:right="1417" w:bottom="1417" w:left="1417" w:header="992" w:footer="992" w:gutter="0"/>
          <w:lnNumType w:countBy="0" w:distance="360"/>
          <w:cols w:space="720" w:num="1"/>
        </w:sectPr>
      </w:pPr>
      <w:r>
        <w:rPr>
          <w:rFonts w:hint="eastAsia"/>
          <w:b/>
          <w:bCs/>
          <w:color w:val="auto"/>
          <w:sz w:val="40"/>
          <w:szCs w:val="52"/>
          <w:highlight w:val="none"/>
          <w:lang w:eastAsia="zh-CN"/>
        </w:rPr>
        <w:t>另册</w:t>
      </w:r>
    </w:p>
    <w:p w14:paraId="09D5D21F">
      <w:pPr>
        <w:pStyle w:val="11"/>
        <w:kinsoku w:val="0"/>
        <w:overflowPunct w:val="0"/>
        <w:ind w:left="0"/>
        <w:rPr>
          <w:rFonts w:hint="default"/>
          <w:color w:val="auto"/>
          <w:sz w:val="20"/>
          <w:szCs w:val="24"/>
          <w:highlight w:val="none"/>
        </w:rPr>
      </w:pPr>
    </w:p>
    <w:p w14:paraId="4F8852FE">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color w:val="auto"/>
          <w:sz w:val="52"/>
          <w:szCs w:val="52"/>
          <w:highlight w:val="none"/>
        </w:rPr>
      </w:pPr>
      <w:bookmarkStart w:id="34" w:name="_Toc15759"/>
      <w:r>
        <w:rPr>
          <w:rFonts w:hint="eastAsia"/>
          <w:color w:val="auto"/>
          <w:sz w:val="52"/>
          <w:szCs w:val="52"/>
          <w:highlight w:val="none"/>
        </w:rPr>
        <w:t>第二卷</w:t>
      </w:r>
      <w:bookmarkEnd w:id="34"/>
    </w:p>
    <w:p w14:paraId="225B90E5">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outlineLvl w:val="9"/>
        <w:rPr>
          <w:rFonts w:hint="eastAsia"/>
          <w:color w:val="auto"/>
          <w:sz w:val="52"/>
          <w:szCs w:val="52"/>
          <w:highlight w:val="none"/>
        </w:rPr>
        <w:sectPr>
          <w:pgSz w:w="11905" w:h="16838"/>
          <w:pgMar w:top="1417" w:right="1417" w:bottom="1417" w:left="1417" w:header="992" w:footer="992" w:gutter="0"/>
          <w:lnNumType w:countBy="0" w:distance="360"/>
          <w:cols w:space="720" w:num="1"/>
        </w:sectPr>
      </w:pPr>
    </w:p>
    <w:p w14:paraId="0142E5FE">
      <w:pPr>
        <w:pStyle w:val="3"/>
        <w:spacing w:line="360" w:lineRule="auto"/>
        <w:outlineLvl w:val="0"/>
        <w:rPr>
          <w:rFonts w:hint="default"/>
          <w:color w:val="auto"/>
          <w:sz w:val="44"/>
          <w:szCs w:val="24"/>
          <w:highlight w:val="none"/>
        </w:rPr>
      </w:pPr>
      <w:bookmarkStart w:id="35" w:name="_Toc30626"/>
      <w:r>
        <w:rPr>
          <w:rFonts w:hint="default"/>
          <w:color w:val="auto"/>
          <w:sz w:val="44"/>
          <w:szCs w:val="24"/>
          <w:highlight w:val="none"/>
        </w:rPr>
        <w:t>第五章</w:t>
      </w:r>
      <w:r>
        <w:rPr>
          <w:rFonts w:hint="default"/>
          <w:color w:val="auto"/>
          <w:sz w:val="44"/>
          <w:szCs w:val="24"/>
          <w:highlight w:val="none"/>
          <w:lang w:val="en-US" w:eastAsia="zh-CN"/>
        </w:rPr>
        <w:t xml:space="preserve"> </w:t>
      </w:r>
      <w:r>
        <w:rPr>
          <w:rFonts w:hint="default"/>
          <w:color w:val="auto"/>
          <w:sz w:val="44"/>
          <w:szCs w:val="24"/>
          <w:highlight w:val="none"/>
        </w:rPr>
        <w:t>委托人要求</w:t>
      </w:r>
      <w:bookmarkEnd w:id="35"/>
    </w:p>
    <w:p w14:paraId="7A179A4C">
      <w:pPr>
        <w:spacing w:line="360" w:lineRule="auto"/>
        <w:jc w:val="center"/>
        <w:outlineLvl w:val="1"/>
        <w:rPr>
          <w:rFonts w:hint="default"/>
          <w:b/>
          <w:color w:val="auto"/>
          <w:sz w:val="32"/>
          <w:szCs w:val="24"/>
          <w:highlight w:val="none"/>
        </w:rPr>
      </w:pPr>
      <w:r>
        <w:rPr>
          <w:rFonts w:hint="default" w:ascii="宋体" w:hAnsi="Times New Roman" w:eastAsia="宋体"/>
          <w:b/>
          <w:color w:val="auto"/>
          <w:sz w:val="32"/>
          <w:szCs w:val="24"/>
          <w:highlight w:val="none"/>
        </w:rPr>
        <w:t>委托人要求</w:t>
      </w:r>
    </w:p>
    <w:p w14:paraId="790AD3CA">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cs="宋体"/>
          <w:color w:val="auto"/>
          <w:sz w:val="24"/>
          <w:szCs w:val="24"/>
          <w:highlight w:val="none"/>
        </w:rPr>
      </w:pPr>
      <w:r>
        <w:rPr>
          <w:rFonts w:hint="default" w:cs="宋体"/>
          <w:color w:val="auto"/>
          <w:sz w:val="24"/>
          <w:szCs w:val="24"/>
          <w:highlight w:val="none"/>
        </w:rPr>
        <w:t>委托人要求应尽可能清晰准确，对于可以进行定量评估的工作，委托人要求不仅应明确规 定其功能、用途、质量、环境、安全，并且要规定偏差的范围和计算方法，以及检验、试验、 试运行的具体要求。对于监理人负责提供的有关服务，在委托人要求中应一并明确规定。</w:t>
      </w:r>
    </w:p>
    <w:p w14:paraId="059AE996">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rPr>
          <w:rFonts w:hint="default"/>
          <w:color w:val="auto"/>
          <w:sz w:val="20"/>
          <w:szCs w:val="24"/>
          <w:highlight w:val="none"/>
        </w:rPr>
      </w:pPr>
      <w:r>
        <w:rPr>
          <w:rFonts w:hint="default" w:cs="宋体"/>
          <w:color w:val="auto"/>
          <w:sz w:val="24"/>
          <w:szCs w:val="24"/>
          <w:highlight w:val="none"/>
        </w:rPr>
        <w:t>委托人要求包括但不限于以下内容：</w:t>
      </w:r>
    </w:p>
    <w:p w14:paraId="22C12671">
      <w:pPr>
        <w:pStyle w:val="4"/>
        <w:outlineLvl w:val="1"/>
        <w:rPr>
          <w:rFonts w:hint="default"/>
          <w:color w:val="auto"/>
          <w:sz w:val="31"/>
          <w:szCs w:val="24"/>
          <w:highlight w:val="none"/>
        </w:rPr>
      </w:pPr>
      <w:bookmarkStart w:id="36" w:name="_Toc11038"/>
      <w:r>
        <w:rPr>
          <w:rFonts w:hint="default"/>
          <w:color w:val="auto"/>
          <w:sz w:val="24"/>
          <w:szCs w:val="24"/>
          <w:highlight w:val="none"/>
        </w:rPr>
        <w:t>一、监理要求</w:t>
      </w:r>
      <w:bookmarkEnd w:id="36"/>
    </w:p>
    <w:p w14:paraId="7B3B14F8">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40" w:firstLineChars="100"/>
        <w:jc w:val="both"/>
        <w:rPr>
          <w:rFonts w:hint="default" w:cs="宋体"/>
          <w:color w:val="auto"/>
          <w:sz w:val="24"/>
          <w:szCs w:val="24"/>
          <w:highlight w:val="none"/>
        </w:rPr>
      </w:pPr>
      <w:r>
        <w:rPr>
          <w:rFonts w:hint="default" w:cs="宋体"/>
          <w:color w:val="auto"/>
          <w:sz w:val="24"/>
          <w:szCs w:val="24"/>
          <w:highlight w:val="none"/>
        </w:rPr>
        <w:t>招标人应当根据项目情况在本章中明确相应的监理要求，一般应包括以下内容：</w:t>
      </w:r>
    </w:p>
    <w:p w14:paraId="679F5CD8">
      <w:pPr>
        <w:pStyle w:val="11"/>
        <w:numPr>
          <w:ilvl w:val="-1"/>
          <w:numId w:val="0"/>
        </w:numP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cs="宋体"/>
          <w:color w:val="auto"/>
          <w:sz w:val="24"/>
          <w:szCs w:val="24"/>
          <w:highlight w:val="none"/>
        </w:rPr>
      </w:pPr>
      <w:r>
        <w:rPr>
          <w:rFonts w:hint="eastAsia" w:cs="宋体"/>
          <w:color w:val="auto"/>
          <w:sz w:val="24"/>
          <w:szCs w:val="24"/>
          <w:highlight w:val="none"/>
          <w:lang w:val="en-US" w:eastAsia="zh-CN"/>
        </w:rPr>
        <w:t>1.</w:t>
      </w:r>
      <w:r>
        <w:rPr>
          <w:rFonts w:hint="default" w:cs="宋体"/>
          <w:color w:val="auto"/>
          <w:sz w:val="24"/>
          <w:szCs w:val="24"/>
          <w:highlight w:val="none"/>
        </w:rPr>
        <w:t xml:space="preserve">项目概况 </w:t>
      </w:r>
    </w:p>
    <w:p w14:paraId="33849D39">
      <w:pPr>
        <w:pStyle w:val="11"/>
        <w:numPr>
          <w:ilvl w:val="-1"/>
          <w:numId w:val="0"/>
        </w:numPr>
        <w:tabs>
          <w:tab w:val="left" w:pos="1343"/>
          <w:tab w:val="left" w:pos="2697"/>
          <w:tab w:val="left" w:pos="3264"/>
          <w:tab w:val="left" w:pos="4896"/>
          <w:tab w:val="left" w:pos="6005"/>
          <w:tab w:val="left" w:pos="7085"/>
          <w:tab w:val="left" w:pos="7498"/>
        </w:tabs>
        <w:kinsoku w:val="0"/>
        <w:overflowPunct w:val="0"/>
        <w:spacing w:line="360" w:lineRule="auto"/>
        <w:ind w:left="0" w:leftChars="0" w:firstLine="480" w:firstLineChars="200"/>
        <w:jc w:val="both"/>
        <w:rPr>
          <w:rFonts w:hint="default" w:cs="宋体"/>
          <w:color w:val="auto"/>
          <w:sz w:val="24"/>
          <w:szCs w:val="24"/>
          <w:highlight w:val="none"/>
          <w:lang w:eastAsia="zh-CN"/>
        </w:rPr>
      </w:pPr>
      <w:r>
        <w:rPr>
          <w:rFonts w:hint="default" w:cs="宋体"/>
          <w:color w:val="auto"/>
          <w:sz w:val="24"/>
          <w:szCs w:val="24"/>
          <w:highlight w:val="none"/>
          <w:lang w:eastAsia="zh-CN"/>
        </w:rPr>
        <w:t>项目名称：增城区中心城区净水厂污水处理设备更新改造项目施工监理服务</w:t>
      </w:r>
    </w:p>
    <w:p w14:paraId="71023932">
      <w:pPr>
        <w:pStyle w:val="11"/>
        <w:numPr>
          <w:ilvl w:val="-1"/>
          <w:numId w:val="0"/>
        </w:numPr>
        <w:tabs>
          <w:tab w:val="left" w:pos="1343"/>
          <w:tab w:val="left" w:pos="2697"/>
          <w:tab w:val="left" w:pos="3264"/>
          <w:tab w:val="left" w:pos="4896"/>
          <w:tab w:val="left" w:pos="6005"/>
          <w:tab w:val="left" w:pos="7085"/>
          <w:tab w:val="left" w:pos="7498"/>
        </w:tabs>
        <w:kinsoku w:val="0"/>
        <w:overflowPunct w:val="0"/>
        <w:spacing w:line="360" w:lineRule="auto"/>
        <w:ind w:left="0" w:leftChars="0" w:firstLine="480" w:firstLineChars="200"/>
        <w:jc w:val="both"/>
        <w:rPr>
          <w:rFonts w:hint="default" w:cs="宋体"/>
          <w:color w:val="auto"/>
          <w:sz w:val="24"/>
          <w:szCs w:val="24"/>
          <w:highlight w:val="none"/>
          <w:lang w:eastAsia="zh-CN"/>
        </w:rPr>
      </w:pPr>
      <w:r>
        <w:rPr>
          <w:rFonts w:hint="default" w:cs="宋体"/>
          <w:color w:val="auto"/>
          <w:sz w:val="24"/>
          <w:szCs w:val="24"/>
          <w:highlight w:val="none"/>
          <w:lang w:eastAsia="zh-CN"/>
        </w:rPr>
        <w:t>建设单位：广州市增城区供排水管理中心</w:t>
      </w:r>
    </w:p>
    <w:p w14:paraId="6A73EF47">
      <w:pPr>
        <w:tabs>
          <w:tab w:val="left" w:pos="7513"/>
        </w:tabs>
        <w:kinsoku/>
        <w:overflowPunct/>
        <w:spacing w:line="360" w:lineRule="auto"/>
        <w:ind w:firstLine="480" w:firstLineChars="200"/>
        <w:rPr>
          <w:rFonts w:hint="default" w:ascii="宋体" w:hAnsi="宋体" w:cs="宋体"/>
          <w:color w:val="auto"/>
          <w:sz w:val="24"/>
          <w:szCs w:val="24"/>
          <w:highlight w:val="none"/>
          <w:lang w:eastAsia="zh-CN"/>
        </w:rPr>
      </w:pPr>
      <w:r>
        <w:rPr>
          <w:rFonts w:hint="default" w:cs="宋体"/>
          <w:color w:val="auto"/>
          <w:sz w:val="24"/>
          <w:szCs w:val="24"/>
          <w:highlight w:val="none"/>
          <w:lang w:eastAsia="zh-CN"/>
        </w:rPr>
        <w:t>建设规模：</w:t>
      </w:r>
      <w:r>
        <w:rPr>
          <w:rFonts w:hint="default" w:ascii="宋体" w:hAnsi="宋体" w:eastAsia="宋体" w:cs="宋体"/>
          <w:i w:val="0"/>
          <w:iCs w:val="0"/>
          <w:color w:val="auto"/>
          <w:sz w:val="24"/>
          <w:szCs w:val="24"/>
          <w:highlight w:val="none"/>
        </w:rPr>
        <w:t>本项目在原污水处理厂基础上新增5万</w:t>
      </w:r>
      <w:r>
        <w:rPr>
          <w:rFonts w:hint="default" w:ascii="宋体" w:hAnsi="宋体" w:eastAsia="宋体" w:cs="宋体"/>
          <w:i w:val="0"/>
          <w:iCs w:val="0"/>
          <w:color w:val="auto"/>
          <w:position w:val="0"/>
          <w:sz w:val="24"/>
          <w:szCs w:val="24"/>
          <w:highlight w:val="none"/>
        </w:rPr>
        <w:object>
          <v:shape id="_x0000_i1025" o:spt="75" type="#_x0000_t75" style="height:16pt;width:16pt;" o:ole="t" filled="f" o:preferrelative="t" stroked="f" coordsize="21600,21600">
            <v:path/>
            <v:fill on="f" focussize="0,0"/>
            <v:stroke on="f"/>
            <v:imagedata r:id="rId25" o:title=""/>
            <o:lock v:ext="edit" aspectratio="t"/>
            <w10:wrap type="none"/>
            <w10:anchorlock/>
          </v:shape>
          <o:OLEObject Type="Embed" ProgID="Equation.KSEE3" ShapeID="_x0000_i1025" DrawAspect="Content" ObjectID="_1468075725" r:id="rId24">
            <o:LockedField>false</o:LockedField>
          </o:OLEObject>
        </w:object>
      </w:r>
      <w:r>
        <w:rPr>
          <w:rFonts w:hint="default" w:ascii="宋体" w:hAnsi="宋体" w:eastAsia="宋体" w:cs="宋体"/>
          <w:i w:val="0"/>
          <w:iCs w:val="0"/>
          <w:color w:val="auto"/>
          <w:sz w:val="24"/>
          <w:szCs w:val="24"/>
          <w:highlight w:val="none"/>
        </w:rPr>
        <w:t>/d，由15万</w:t>
      </w:r>
      <w:r>
        <w:rPr>
          <w:rFonts w:hint="default" w:ascii="宋体" w:hAnsi="宋体" w:eastAsia="宋体" w:cs="宋体"/>
          <w:i w:val="0"/>
          <w:iCs w:val="0"/>
          <w:color w:val="auto"/>
          <w:position w:val="0"/>
          <w:sz w:val="24"/>
          <w:szCs w:val="24"/>
          <w:highlight w:val="none"/>
        </w:rPr>
        <w:object>
          <v:shape id="_x0000_i1026" o:spt="75" type="#_x0000_t75" style="height:16pt;width:16pt;" o:ole="t" filled="f" o:preferrelative="t" stroked="f" coordsize="21600,21600">
            <v:path/>
            <v:fill on="f" focussize="0,0"/>
            <v:stroke on="f"/>
            <v:imagedata r:id="rId25" o:title=""/>
            <o:lock v:ext="edit" aspectratio="t"/>
            <w10:wrap type="none"/>
            <w10:anchorlock/>
          </v:shape>
          <o:OLEObject Type="Embed" ProgID="Equation.KSEE3" ShapeID="_x0000_i1026" DrawAspect="Content" ObjectID="_1468075726" r:id="rId26">
            <o:LockedField>false</o:LockedField>
          </o:OLEObject>
        </w:object>
      </w:r>
      <w:r>
        <w:rPr>
          <w:rFonts w:hint="default" w:ascii="宋体" w:hAnsi="宋体" w:eastAsia="宋体" w:cs="宋体"/>
          <w:i w:val="0"/>
          <w:iCs w:val="0"/>
          <w:color w:val="auto"/>
          <w:sz w:val="24"/>
          <w:szCs w:val="24"/>
          <w:highlight w:val="none"/>
        </w:rPr>
        <w:t>/d提升至20万</w:t>
      </w:r>
      <w:r>
        <w:rPr>
          <w:rFonts w:hint="default" w:ascii="宋体" w:hAnsi="宋体" w:eastAsia="宋体" w:cs="宋体"/>
          <w:i w:val="0"/>
          <w:iCs w:val="0"/>
          <w:color w:val="auto"/>
          <w:position w:val="0"/>
          <w:sz w:val="24"/>
          <w:szCs w:val="24"/>
          <w:highlight w:val="none"/>
        </w:rPr>
        <w:object>
          <v:shape id="_x0000_i1027" o:spt="75" type="#_x0000_t75" style="height:16pt;width:16pt;" o:ole="t" filled="f" o:preferrelative="t" stroked="f" coordsize="21600,21600">
            <v:path/>
            <v:fill on="f" focussize="0,0"/>
            <v:stroke on="f"/>
            <v:imagedata r:id="rId25" o:title=""/>
            <o:lock v:ext="edit" aspectratio="t"/>
            <w10:wrap type="none"/>
            <w10:anchorlock/>
          </v:shape>
          <o:OLEObject Type="Embed" ProgID="Equation.KSEE3" ShapeID="_x0000_i1027" DrawAspect="Content" ObjectID="_1468075727" r:id="rId27">
            <o:LockedField>false</o:LockedField>
          </o:OLEObject>
        </w:object>
      </w:r>
      <w:r>
        <w:rPr>
          <w:rFonts w:hint="default" w:ascii="宋体" w:hAnsi="宋体" w:eastAsia="宋体" w:cs="宋体"/>
          <w:i w:val="0"/>
          <w:iCs w:val="0"/>
          <w:color w:val="auto"/>
          <w:sz w:val="24"/>
          <w:szCs w:val="24"/>
          <w:highlight w:val="none"/>
        </w:rPr>
        <w:t>/d，</w:t>
      </w:r>
      <w:r>
        <w:rPr>
          <w:rFonts w:hint="default" w:ascii="宋体" w:hAnsi="宋体" w:cs="宋体"/>
          <w:i w:val="0"/>
          <w:iCs w:val="0"/>
          <w:color w:val="auto"/>
          <w:sz w:val="24"/>
          <w:szCs w:val="24"/>
          <w:highlight w:val="none"/>
          <w:lang w:eastAsia="zh-CN"/>
        </w:rPr>
        <w:t>同时</w:t>
      </w:r>
      <w:r>
        <w:rPr>
          <w:rFonts w:hint="default" w:ascii="宋体" w:hAnsi="宋体" w:eastAsia="宋体" w:cs="宋体"/>
          <w:i w:val="0"/>
          <w:iCs w:val="0"/>
          <w:color w:val="auto"/>
          <w:sz w:val="24"/>
          <w:szCs w:val="24"/>
          <w:highlight w:val="none"/>
        </w:rPr>
        <w:t>增加设备将荔城泵站规模由10万m/d提升至20万</w:t>
      </w:r>
      <w:r>
        <w:rPr>
          <w:rFonts w:hint="default" w:ascii="宋体" w:hAnsi="宋体" w:eastAsia="宋体" w:cs="宋体"/>
          <w:i w:val="0"/>
          <w:iCs w:val="0"/>
          <w:color w:val="auto"/>
          <w:position w:val="0"/>
          <w:sz w:val="24"/>
          <w:szCs w:val="24"/>
          <w:highlight w:val="none"/>
        </w:rPr>
        <w:object>
          <v:shape id="_x0000_i1028" o:spt="75" type="#_x0000_t75" style="height:16pt;width:16pt;" o:ole="t" filled="f" o:preferrelative="t" stroked="f" coordsize="21600,21600">
            <v:path/>
            <v:fill on="f" focussize="0,0"/>
            <v:stroke on="f"/>
            <v:imagedata r:id="rId25" o:title=""/>
            <o:lock v:ext="edit" aspectratio="t"/>
            <w10:wrap type="none"/>
            <w10:anchorlock/>
          </v:shape>
          <o:OLEObject Type="Embed" ProgID="Equation.KSEE3" ShapeID="_x0000_i1028" DrawAspect="Content" ObjectID="_1468075728" r:id="rId28">
            <o:LockedField>false</o:LockedField>
          </o:OLEObject>
        </w:object>
      </w:r>
      <w:r>
        <w:rPr>
          <w:rFonts w:hint="default" w:ascii="宋体" w:hAnsi="宋体" w:eastAsia="宋体" w:cs="宋体"/>
          <w:i w:val="0"/>
          <w:iCs w:val="0"/>
          <w:color w:val="auto"/>
          <w:sz w:val="24"/>
          <w:szCs w:val="24"/>
          <w:highlight w:val="none"/>
        </w:rPr>
        <w:t>/d</w:t>
      </w:r>
      <w:r>
        <w:rPr>
          <w:rFonts w:hint="default" w:ascii="宋体" w:hAnsi="宋体" w:cs="宋体"/>
          <w:i w:val="0"/>
          <w:iCs w:val="0"/>
          <w:color w:val="auto"/>
          <w:sz w:val="24"/>
          <w:szCs w:val="24"/>
          <w:highlight w:val="none"/>
          <w:lang w:eastAsia="zh-CN"/>
        </w:rPr>
        <w:t>。</w:t>
      </w:r>
      <w:r>
        <w:rPr>
          <w:rFonts w:hint="default" w:ascii="宋体" w:hAnsi="宋体" w:cs="宋体"/>
          <w:i w:val="0"/>
          <w:iCs w:val="0"/>
          <w:color w:val="auto"/>
          <w:sz w:val="24"/>
          <w:szCs w:val="24"/>
          <w:highlight w:val="none"/>
          <w:lang w:val="en-US" w:eastAsia="zh-CN"/>
        </w:rPr>
        <w:t>主要建设内容包括：①通过更新改造中心城区净水厂污水处理设备，将污水处理厂由15万</w:t>
      </w:r>
      <w:r>
        <w:rPr>
          <w:rFonts w:hint="default" w:ascii="宋体" w:hAnsi="宋体" w:eastAsia="宋体" w:cs="宋体"/>
          <w:i w:val="0"/>
          <w:iCs w:val="0"/>
          <w:color w:val="auto"/>
          <w:position w:val="0"/>
          <w:sz w:val="24"/>
          <w:szCs w:val="24"/>
          <w:highlight w:val="none"/>
        </w:rPr>
        <w:object>
          <v:shape id="_x0000_i1029" o:spt="75" type="#_x0000_t75" style="height:16pt;width:16pt;" o:ole="t" filled="f" o:preferrelative="t" stroked="f" coordsize="21600,21600">
            <v:path/>
            <v:fill on="f" focussize="0,0"/>
            <v:stroke on="f"/>
            <v:imagedata r:id="rId25" o:title=""/>
            <o:lock v:ext="edit" aspectratio="t"/>
            <w10:wrap type="none"/>
            <w10:anchorlock/>
          </v:shape>
          <o:OLEObject Type="Embed" ProgID="Equation.KSEE3" ShapeID="_x0000_i1029" DrawAspect="Content" ObjectID="_1468075729" r:id="rId29">
            <o:LockedField>false</o:LockedField>
          </o:OLEObject>
        </w:object>
      </w:r>
      <w:r>
        <w:rPr>
          <w:rFonts w:hint="default" w:ascii="宋体" w:hAnsi="宋体" w:cs="宋体"/>
          <w:i w:val="0"/>
          <w:iCs w:val="0"/>
          <w:color w:val="auto"/>
          <w:sz w:val="24"/>
          <w:szCs w:val="24"/>
          <w:highlight w:val="none"/>
          <w:lang w:val="en-US" w:eastAsia="zh-CN"/>
        </w:rPr>
        <w:t>/d提升至20万</w:t>
      </w:r>
      <w:r>
        <w:rPr>
          <w:rFonts w:hint="default" w:ascii="宋体" w:hAnsi="宋体" w:eastAsia="宋体" w:cs="宋体"/>
          <w:i w:val="0"/>
          <w:iCs w:val="0"/>
          <w:color w:val="auto"/>
          <w:position w:val="0"/>
          <w:sz w:val="24"/>
          <w:szCs w:val="24"/>
          <w:highlight w:val="none"/>
        </w:rPr>
        <w:object>
          <v:shape id="_x0000_i1030" o:spt="75" type="#_x0000_t75" style="height:16pt;width:16pt;" o:ole="t" filled="f" o:preferrelative="t" stroked="f" coordsize="21600,21600">
            <v:path/>
            <v:fill on="f" focussize="0,0"/>
            <v:stroke on="f"/>
            <v:imagedata r:id="rId25" o:title=""/>
            <o:lock v:ext="edit" aspectratio="t"/>
            <w10:wrap type="none"/>
            <w10:anchorlock/>
          </v:shape>
          <o:OLEObject Type="Embed" ProgID="Equation.KSEE3" ShapeID="_x0000_i1030" DrawAspect="Content" ObjectID="_1468075730" r:id="rId30">
            <o:LockedField>false</o:LockedField>
          </o:OLEObject>
        </w:object>
      </w:r>
      <w:r>
        <w:rPr>
          <w:rFonts w:hint="default" w:ascii="宋体" w:hAnsi="宋体" w:cs="宋体"/>
          <w:i w:val="0"/>
          <w:iCs w:val="0"/>
          <w:color w:val="auto"/>
          <w:sz w:val="24"/>
          <w:szCs w:val="24"/>
          <w:highlight w:val="none"/>
          <w:lang w:val="en-US" w:eastAsia="zh-CN"/>
        </w:rPr>
        <w:t>/d，同时通过增加设备将荔城泵站规模由10万</w:t>
      </w:r>
      <w:r>
        <w:rPr>
          <w:rFonts w:hint="default" w:ascii="宋体" w:hAnsi="宋体" w:eastAsia="宋体" w:cs="宋体"/>
          <w:i w:val="0"/>
          <w:iCs w:val="0"/>
          <w:color w:val="auto"/>
          <w:position w:val="0"/>
          <w:sz w:val="24"/>
          <w:szCs w:val="24"/>
          <w:highlight w:val="none"/>
        </w:rPr>
        <w:object>
          <v:shape id="_x0000_i1031" o:spt="75" type="#_x0000_t75" style="height:16pt;width:16pt;" o:ole="t" filled="f" o:preferrelative="t" stroked="f" coordsize="21600,21600">
            <v:path/>
            <v:fill on="f" focussize="0,0"/>
            <v:stroke on="f"/>
            <v:imagedata r:id="rId25" o:title=""/>
            <o:lock v:ext="edit" aspectratio="t"/>
            <w10:wrap type="none"/>
            <w10:anchorlock/>
          </v:shape>
          <o:OLEObject Type="Embed" ProgID="Equation.KSEE3" ShapeID="_x0000_i1031" DrawAspect="Content" ObjectID="_1468075731" r:id="rId31">
            <o:LockedField>false</o:LockedField>
          </o:OLEObject>
        </w:object>
      </w:r>
      <w:r>
        <w:rPr>
          <w:rFonts w:hint="default" w:ascii="宋体" w:hAnsi="宋体" w:cs="宋体"/>
          <w:i w:val="0"/>
          <w:iCs w:val="0"/>
          <w:color w:val="auto"/>
          <w:sz w:val="24"/>
          <w:szCs w:val="24"/>
          <w:highlight w:val="none"/>
          <w:lang w:val="en-US" w:eastAsia="zh-CN"/>
        </w:rPr>
        <w:t>/d提升至20万</w:t>
      </w:r>
      <w:r>
        <w:rPr>
          <w:rFonts w:hint="default" w:ascii="宋体" w:hAnsi="宋体" w:eastAsia="宋体" w:cs="宋体"/>
          <w:i w:val="0"/>
          <w:iCs w:val="0"/>
          <w:color w:val="auto"/>
          <w:position w:val="0"/>
          <w:sz w:val="24"/>
          <w:szCs w:val="24"/>
          <w:highlight w:val="none"/>
        </w:rPr>
        <w:object>
          <v:shape id="_x0000_i1032" o:spt="75" type="#_x0000_t75" style="height:16pt;width:16pt;" o:ole="t" filled="f" o:preferrelative="t" stroked="f" coordsize="21600,21600">
            <v:path/>
            <v:fill on="f" focussize="0,0"/>
            <v:stroke on="f"/>
            <v:imagedata r:id="rId25" o:title=""/>
            <o:lock v:ext="edit" aspectratio="t"/>
            <w10:wrap type="none"/>
            <w10:anchorlock/>
          </v:shape>
          <o:OLEObject Type="Embed" ProgID="Equation.KSEE3" ShapeID="_x0000_i1032" DrawAspect="Content" ObjectID="_1468075732" r:id="rId32">
            <o:LockedField>false</o:LockedField>
          </o:OLEObject>
        </w:object>
      </w:r>
      <w:r>
        <w:rPr>
          <w:rFonts w:hint="default" w:ascii="宋体" w:hAnsi="宋体" w:cs="宋体"/>
          <w:i w:val="0"/>
          <w:iCs w:val="0"/>
          <w:color w:val="auto"/>
          <w:sz w:val="24"/>
          <w:szCs w:val="24"/>
          <w:highlight w:val="none"/>
          <w:lang w:val="en-US" w:eastAsia="zh-CN"/>
        </w:rPr>
        <w:t>/d。②中心厂内主要建设内容包括粗格栅增加设备、细格栅升级改造、泵房增加设备、生化池设备更新改造、高效沉淀池改造及辅助设备用房改造等内容。③荔城泵站改造主要建设内容包括:增加粗格栅及提升泵设备、电气改造等内容。</w:t>
      </w:r>
      <w:r>
        <w:rPr>
          <w:rFonts w:hint="default" w:ascii="宋体" w:hAnsi="宋体" w:eastAsia="宋体" w:cs="宋体"/>
          <w:i w:val="0"/>
          <w:iCs w:val="0"/>
          <w:color w:val="auto"/>
          <w:sz w:val="24"/>
          <w:szCs w:val="24"/>
          <w:highlight w:val="none"/>
        </w:rPr>
        <w:t>（</w:t>
      </w:r>
      <w:r>
        <w:rPr>
          <w:rFonts w:hint="default" w:ascii="宋体" w:hAnsi="宋体" w:eastAsia="宋体" w:cs="宋体"/>
          <w:color w:val="auto"/>
          <w:sz w:val="24"/>
          <w:szCs w:val="24"/>
          <w:highlight w:val="none"/>
        </w:rPr>
        <w:t>具体工作量以经审图单位审查的施工图设计文件及工程量清单为准。）</w:t>
      </w:r>
    </w:p>
    <w:p w14:paraId="635D4727">
      <w:pPr>
        <w:pStyle w:val="11"/>
        <w:numPr>
          <w:ilvl w:val="-1"/>
          <w:numId w:val="0"/>
        </w:numPr>
        <w:tabs>
          <w:tab w:val="left" w:pos="1343"/>
          <w:tab w:val="left" w:pos="2697"/>
          <w:tab w:val="left" w:pos="3264"/>
          <w:tab w:val="left" w:pos="4896"/>
          <w:tab w:val="left" w:pos="6005"/>
          <w:tab w:val="left" w:pos="7085"/>
          <w:tab w:val="left" w:pos="7498"/>
        </w:tabs>
        <w:kinsoku w:val="0"/>
        <w:overflowPunct w:val="0"/>
        <w:spacing w:line="360" w:lineRule="auto"/>
        <w:ind w:left="0" w:leftChars="0" w:firstLine="480" w:firstLineChars="200"/>
        <w:jc w:val="both"/>
        <w:rPr>
          <w:rFonts w:hint="default" w:cs="宋体"/>
          <w:color w:val="auto"/>
          <w:sz w:val="24"/>
          <w:szCs w:val="24"/>
          <w:highlight w:val="none"/>
          <w:lang w:eastAsia="zh-CN"/>
        </w:rPr>
      </w:pPr>
      <w:r>
        <w:rPr>
          <w:rFonts w:hint="default" w:cs="宋体"/>
          <w:color w:val="auto"/>
          <w:sz w:val="24"/>
          <w:szCs w:val="24"/>
          <w:highlight w:val="none"/>
          <w:lang w:eastAsia="zh-CN"/>
        </w:rPr>
        <w:t xml:space="preserve">项目地理位置：本项目位于二环东路北侧，与萝岗村预留用地距离为40m，与增江防汛公路堤角距离为30m，距二环东路南侧的现状荔城污水厂约240m的荔城泵站红线内。项目具体位置在石滩镇江龙工业区内，海纳川项目南侧，红海货运站东侧增城区中心城区污水处理厂红线内。 </w:t>
      </w:r>
    </w:p>
    <w:p w14:paraId="30F5F6CD">
      <w:pPr>
        <w:pStyle w:val="11"/>
        <w:numPr>
          <w:ilvl w:val="-1"/>
          <w:numId w:val="0"/>
        </w:numPr>
        <w:tabs>
          <w:tab w:val="left" w:pos="1343"/>
          <w:tab w:val="left" w:pos="2697"/>
          <w:tab w:val="left" w:pos="3264"/>
          <w:tab w:val="left" w:pos="4896"/>
          <w:tab w:val="left" w:pos="6005"/>
          <w:tab w:val="left" w:pos="7085"/>
          <w:tab w:val="left" w:pos="7498"/>
        </w:tabs>
        <w:kinsoku w:val="0"/>
        <w:overflowPunct w:val="0"/>
        <w:spacing w:line="360" w:lineRule="auto"/>
        <w:ind w:left="0" w:leftChars="0" w:firstLine="480" w:firstLineChars="200"/>
        <w:jc w:val="both"/>
        <w:rPr>
          <w:rFonts w:hint="default" w:cs="宋体"/>
          <w:color w:val="auto"/>
          <w:sz w:val="24"/>
          <w:szCs w:val="24"/>
          <w:highlight w:val="none"/>
          <w:lang w:eastAsia="zh-CN"/>
        </w:rPr>
      </w:pPr>
      <w:r>
        <w:rPr>
          <w:rFonts w:hint="default" w:cs="宋体"/>
          <w:color w:val="auto"/>
          <w:sz w:val="24"/>
          <w:szCs w:val="24"/>
          <w:highlight w:val="none"/>
          <w:lang w:eastAsia="zh-CN"/>
        </w:rPr>
        <w:t>周边环境：项目位于增城区中心城区污水处理厂红线内，在一期现状围墙内完成二期技改扩容工程。</w:t>
      </w:r>
    </w:p>
    <w:p w14:paraId="115C9CB7">
      <w:pPr>
        <w:pStyle w:val="11"/>
        <w:numPr>
          <w:ilvl w:val="-1"/>
          <w:numId w:val="0"/>
        </w:numPr>
        <w:tabs>
          <w:tab w:val="left" w:pos="1343"/>
          <w:tab w:val="left" w:pos="2697"/>
          <w:tab w:val="left" w:pos="3264"/>
          <w:tab w:val="left" w:pos="4896"/>
          <w:tab w:val="left" w:pos="6005"/>
          <w:tab w:val="left" w:pos="7085"/>
          <w:tab w:val="left" w:pos="7498"/>
        </w:tabs>
        <w:kinsoku w:val="0"/>
        <w:overflowPunct w:val="0"/>
        <w:spacing w:line="360" w:lineRule="auto"/>
        <w:ind w:left="0" w:leftChars="0" w:firstLine="480" w:firstLineChars="200"/>
        <w:jc w:val="both"/>
        <w:rPr>
          <w:rFonts w:hint="default" w:cs="宋体"/>
          <w:color w:val="auto"/>
          <w:sz w:val="24"/>
          <w:szCs w:val="24"/>
          <w:highlight w:val="none"/>
          <w:lang w:eastAsia="zh-CN"/>
        </w:rPr>
      </w:pPr>
      <w:r>
        <w:rPr>
          <w:rFonts w:hint="default" w:cs="宋体"/>
          <w:color w:val="auto"/>
          <w:sz w:val="24"/>
          <w:szCs w:val="24"/>
          <w:highlight w:val="none"/>
        </w:rPr>
        <w:t>树木情况</w:t>
      </w:r>
      <w:r>
        <w:rPr>
          <w:rFonts w:hint="default" w:cs="宋体"/>
          <w:color w:val="auto"/>
          <w:sz w:val="24"/>
          <w:szCs w:val="24"/>
          <w:highlight w:val="none"/>
          <w:lang w:eastAsia="zh-CN"/>
        </w:rPr>
        <w:t>：项目位于增城区中心城区污水处理厂红线内，在一期现状围墙内完成二期技改扩容工程。不涉及到树木保护情况。</w:t>
      </w:r>
    </w:p>
    <w:p w14:paraId="694E09D0">
      <w:pPr>
        <w:pStyle w:val="11"/>
        <w:numPr>
          <w:ilvl w:val="-1"/>
          <w:numId w:val="0"/>
        </w:numPr>
        <w:tabs>
          <w:tab w:val="left" w:pos="1343"/>
          <w:tab w:val="left" w:pos="2697"/>
          <w:tab w:val="left" w:pos="3264"/>
          <w:tab w:val="left" w:pos="4896"/>
          <w:tab w:val="left" w:pos="6005"/>
          <w:tab w:val="left" w:pos="7085"/>
          <w:tab w:val="left" w:pos="7498"/>
        </w:tabs>
        <w:kinsoku w:val="0"/>
        <w:overflowPunct w:val="0"/>
        <w:spacing w:line="360" w:lineRule="auto"/>
        <w:ind w:left="0" w:leftChars="0" w:firstLine="480" w:firstLineChars="200"/>
        <w:jc w:val="both"/>
        <w:rPr>
          <w:rFonts w:hint="default" w:cs="宋体"/>
          <w:color w:val="auto"/>
          <w:sz w:val="24"/>
          <w:szCs w:val="24"/>
          <w:highlight w:val="none"/>
          <w:lang w:eastAsia="zh-CN"/>
        </w:rPr>
      </w:pPr>
      <w:r>
        <w:rPr>
          <w:rFonts w:hint="default" w:cs="宋体"/>
          <w:color w:val="auto"/>
          <w:sz w:val="24"/>
          <w:szCs w:val="24"/>
          <w:highlight w:val="none"/>
        </w:rPr>
        <w:t>地址地貌</w:t>
      </w:r>
      <w:r>
        <w:rPr>
          <w:rFonts w:hint="default" w:cs="宋体"/>
          <w:color w:val="auto"/>
          <w:sz w:val="24"/>
          <w:szCs w:val="24"/>
          <w:highlight w:val="none"/>
          <w:lang w:eastAsia="zh-CN"/>
        </w:rPr>
        <w:t>：增城区地形北高南低，北部山地面积约占全市面积的 8.3%；丘陵主要分布在中部，约占全市面积的 35.1%；低丘和台地集中在中南部，约占全市面积的 23.2%；南部是广阔而典型的三角洲平原，加上河谷平原，约占全市面积的 33.4%。</w:t>
      </w:r>
    </w:p>
    <w:p w14:paraId="0CBB7BFA">
      <w:pPr>
        <w:pStyle w:val="11"/>
        <w:numPr>
          <w:ilvl w:val="-1"/>
          <w:numId w:val="0"/>
        </w:numPr>
        <w:tabs>
          <w:tab w:val="left" w:pos="1343"/>
          <w:tab w:val="left" w:pos="2697"/>
          <w:tab w:val="left" w:pos="3264"/>
          <w:tab w:val="left" w:pos="4896"/>
          <w:tab w:val="left" w:pos="6005"/>
          <w:tab w:val="left" w:pos="7085"/>
          <w:tab w:val="left" w:pos="7498"/>
        </w:tabs>
        <w:kinsoku w:val="0"/>
        <w:overflowPunct w:val="0"/>
        <w:spacing w:line="360" w:lineRule="auto"/>
        <w:ind w:left="0" w:leftChars="0" w:firstLine="480" w:firstLineChars="200"/>
        <w:jc w:val="both"/>
        <w:rPr>
          <w:rFonts w:hint="default" w:eastAsia="宋体" w:cs="宋体"/>
          <w:color w:val="auto"/>
          <w:sz w:val="24"/>
          <w:szCs w:val="24"/>
          <w:highlight w:val="none"/>
          <w:lang w:eastAsia="zh-CN"/>
        </w:rPr>
      </w:pPr>
      <w:r>
        <w:rPr>
          <w:rFonts w:hint="default" w:cs="宋体"/>
          <w:color w:val="auto"/>
          <w:sz w:val="24"/>
          <w:szCs w:val="24"/>
          <w:highlight w:val="none"/>
        </w:rPr>
        <w:t>气候及气象条件</w:t>
      </w:r>
      <w:r>
        <w:rPr>
          <w:rFonts w:hint="default" w:cs="宋体"/>
          <w:color w:val="auto"/>
          <w:sz w:val="24"/>
          <w:szCs w:val="24"/>
          <w:highlight w:val="none"/>
          <w:lang w:eastAsia="zh-CN"/>
        </w:rPr>
        <w:t>：增城区地处南亚热带，属海洋性季风气候，炎热多雨，长夏无冬。春季受冷暖空气交替影响，天气多变，阴雨多，阳光少，空气潮湿；夏季由于热带海洋风增强，常受副热带高压控制，天气闷热；冬季受北方干冷空气影响，气温下降。</w:t>
      </w:r>
    </w:p>
    <w:p w14:paraId="12786C57">
      <w:pPr>
        <w:pStyle w:val="11"/>
        <w:numPr>
          <w:ilvl w:val="-1"/>
          <w:numId w:val="0"/>
        </w:numPr>
        <w:tabs>
          <w:tab w:val="left" w:pos="1343"/>
          <w:tab w:val="left" w:pos="2697"/>
          <w:tab w:val="left" w:pos="3264"/>
          <w:tab w:val="left" w:pos="4896"/>
          <w:tab w:val="left" w:pos="6005"/>
          <w:tab w:val="left" w:pos="7085"/>
          <w:tab w:val="left" w:pos="7498"/>
        </w:tabs>
        <w:kinsoku w:val="0"/>
        <w:overflowPunct w:val="0"/>
        <w:spacing w:line="360" w:lineRule="auto"/>
        <w:ind w:left="0" w:leftChars="0" w:firstLine="480" w:firstLineChars="200"/>
        <w:jc w:val="both"/>
        <w:rPr>
          <w:rFonts w:hint="default" w:cs="宋体"/>
          <w:color w:val="auto"/>
          <w:sz w:val="24"/>
          <w:szCs w:val="24"/>
          <w:highlight w:val="none"/>
          <w:lang w:eastAsia="zh-CN"/>
        </w:rPr>
      </w:pPr>
      <w:r>
        <w:rPr>
          <w:rFonts w:hint="default" w:cs="宋体"/>
          <w:color w:val="auto"/>
          <w:sz w:val="24"/>
          <w:szCs w:val="24"/>
          <w:highlight w:val="none"/>
        </w:rPr>
        <w:t>道路交通状况</w:t>
      </w:r>
      <w:r>
        <w:rPr>
          <w:rFonts w:hint="default" w:cs="宋体"/>
          <w:color w:val="auto"/>
          <w:sz w:val="24"/>
          <w:szCs w:val="24"/>
          <w:highlight w:val="none"/>
          <w:lang w:eastAsia="zh-CN"/>
        </w:rPr>
        <w:t>：污水厂增城区石滩镇江龙工业区内，厂址西侧现状有一条宽约 8m 的水泥路通向现状水泥搅拌站，沿此路向西 620m 与荔三公路相接，交通便利。</w:t>
      </w:r>
    </w:p>
    <w:p w14:paraId="7CEFC94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color w:val="auto"/>
          <w:sz w:val="24"/>
          <w:szCs w:val="24"/>
          <w:highlight w:val="none"/>
          <w:lang w:eastAsia="zh-CN"/>
        </w:rPr>
      </w:pPr>
      <w:r>
        <w:rPr>
          <w:rFonts w:hint="default" w:cs="宋体"/>
          <w:color w:val="auto"/>
          <w:sz w:val="24"/>
          <w:szCs w:val="24"/>
          <w:highlight w:val="none"/>
        </w:rPr>
        <w:t>2.  监理范围及内容</w:t>
      </w:r>
      <w:r>
        <w:rPr>
          <w:rFonts w:hint="eastAsia" w:cs="宋体"/>
          <w:color w:val="auto"/>
          <w:sz w:val="24"/>
          <w:szCs w:val="24"/>
          <w:highlight w:val="none"/>
          <w:lang w:eastAsia="zh-CN"/>
        </w:rPr>
        <w:t>：负责本项目施工准备阶段、施工阶段、工程收尾阶段（包括但不限于竣工验收、整改、工程移交、工程结算等）设备生产和安装、保修阶段（缺陷责任期）的质量控制、职业健康、安全生产及环境监督管理、设备采购、试验、安装、投资控制、进度控制、合同管理、信息管理、组织协调、运营调试等全过程监理工作。</w:t>
      </w:r>
    </w:p>
    <w:p w14:paraId="61BA4E0A">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lang w:eastAsia="zh-CN"/>
        </w:rPr>
      </w:pPr>
      <w:r>
        <w:rPr>
          <w:rFonts w:hint="default" w:cs="宋体"/>
          <w:color w:val="auto"/>
          <w:sz w:val="24"/>
          <w:szCs w:val="24"/>
          <w:highlight w:val="none"/>
        </w:rPr>
        <w:t>3.  监理依据</w:t>
      </w:r>
      <w:r>
        <w:rPr>
          <w:rFonts w:hint="eastAsia" w:cs="宋体"/>
          <w:color w:val="auto"/>
          <w:sz w:val="24"/>
          <w:szCs w:val="24"/>
          <w:highlight w:val="none"/>
          <w:lang w:eastAsia="zh-CN"/>
        </w:rPr>
        <w:t>：（1）中华人民共和国的法律、法规、本合同约定的部门规章及工程所在地的地方法规和规章；（2）《建设工程监理规范》（GB/T 50319-2013）；（3）国家和地方现行的建设工程质量评定标准、设计及施工验收规范；（4）经批准的施工图纸及说明，以及经图纸会审确定的修改设计通知书；（5）本合同工程的设计、施工、安装等的招投标文件及合同；（6）委托人发出的有关本合同工程建设的指令；（7）委托人制定的有关本合同工程建设的管理制度。详见监理合同</w:t>
      </w:r>
    </w:p>
    <w:p w14:paraId="68D317B9">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lang w:eastAsia="zh-CN"/>
        </w:rPr>
      </w:pPr>
      <w:r>
        <w:rPr>
          <w:rFonts w:hint="default" w:cs="宋体"/>
          <w:color w:val="auto"/>
          <w:sz w:val="24"/>
          <w:szCs w:val="24"/>
          <w:highlight w:val="none"/>
        </w:rPr>
        <w:t>4. 监理人员和试验检测仪器设备要求</w:t>
      </w:r>
      <w:r>
        <w:rPr>
          <w:rFonts w:hint="eastAsia" w:cs="宋体"/>
          <w:color w:val="auto"/>
          <w:sz w:val="24"/>
          <w:szCs w:val="24"/>
          <w:highlight w:val="none"/>
          <w:lang w:eastAsia="zh-CN"/>
        </w:rPr>
        <w:t>：</w:t>
      </w:r>
    </w:p>
    <w:p w14:paraId="0A557946">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lang w:val="en-US" w:eastAsia="zh-CN"/>
        </w:rPr>
        <w:t>4.1</w:t>
      </w:r>
      <w:r>
        <w:rPr>
          <w:rFonts w:hint="eastAsia" w:cs="宋体"/>
          <w:color w:val="auto"/>
          <w:sz w:val="24"/>
          <w:szCs w:val="24"/>
          <w:highlight w:val="none"/>
          <w:lang w:eastAsia="zh-CN"/>
        </w:rPr>
        <w:t>监理人员要求：监理部总监理工程师、专业监理工程师、监理员等均纳入现场被考勤范围，以上人员必须是监理企业投标文件及合同备案时所承诺配置的监理部管理人员，不得挂名虚设，不得随意更换，现场管理组核实管理架构内是否有无岗位证书、无资格证人员。具体要求详见下表：</w:t>
      </w:r>
    </w:p>
    <w:p w14:paraId="33ABB581">
      <w:pPr>
        <w:rPr>
          <w:rFonts w:hint="eastAsia"/>
          <w:color w:val="auto"/>
          <w:highlight w:val="none"/>
        </w:rPr>
      </w:pPr>
      <w:r>
        <w:rPr>
          <w:rFonts w:hint="eastAsia"/>
          <w:color w:val="auto"/>
          <w:highlight w:val="none"/>
        </w:rPr>
        <w:t>附表：监理机构人员配备要求：</w:t>
      </w:r>
    </w:p>
    <w:tbl>
      <w:tblPr>
        <w:tblStyle w:val="2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433"/>
        <w:gridCol w:w="4529"/>
        <w:gridCol w:w="1829"/>
      </w:tblGrid>
      <w:tr w14:paraId="6F39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Align w:val="center"/>
          </w:tcPr>
          <w:p w14:paraId="0F67BAB5">
            <w:pPr>
              <w:jc w:val="center"/>
              <w:rPr>
                <w:rFonts w:hint="eastAsia"/>
                <w:b/>
                <w:bCs/>
                <w:color w:val="auto"/>
                <w:szCs w:val="21"/>
                <w:highlight w:val="none"/>
              </w:rPr>
            </w:pPr>
            <w:r>
              <w:rPr>
                <w:rFonts w:hint="eastAsia"/>
                <w:b/>
                <w:bCs/>
                <w:color w:val="auto"/>
                <w:szCs w:val="21"/>
                <w:highlight w:val="none"/>
              </w:rPr>
              <w:t>岗位</w:t>
            </w:r>
          </w:p>
        </w:tc>
        <w:tc>
          <w:tcPr>
            <w:tcW w:w="1433" w:type="dxa"/>
            <w:vAlign w:val="center"/>
          </w:tcPr>
          <w:p w14:paraId="3EA03C16">
            <w:pPr>
              <w:jc w:val="center"/>
              <w:rPr>
                <w:rFonts w:hint="eastAsia"/>
                <w:b/>
                <w:bCs/>
                <w:color w:val="auto"/>
                <w:szCs w:val="21"/>
                <w:highlight w:val="none"/>
              </w:rPr>
            </w:pPr>
            <w:r>
              <w:rPr>
                <w:rFonts w:hint="eastAsia"/>
                <w:b/>
                <w:bCs/>
                <w:color w:val="auto"/>
                <w:szCs w:val="21"/>
                <w:highlight w:val="none"/>
              </w:rPr>
              <w:t>人员要求</w:t>
            </w:r>
          </w:p>
        </w:tc>
        <w:tc>
          <w:tcPr>
            <w:tcW w:w="6358" w:type="dxa"/>
            <w:gridSpan w:val="2"/>
            <w:vAlign w:val="center"/>
          </w:tcPr>
          <w:p w14:paraId="3D5A5EEC">
            <w:pPr>
              <w:jc w:val="center"/>
              <w:rPr>
                <w:rFonts w:hint="eastAsia"/>
                <w:b/>
                <w:bCs/>
                <w:color w:val="auto"/>
                <w:szCs w:val="21"/>
                <w:highlight w:val="none"/>
              </w:rPr>
            </w:pPr>
            <w:r>
              <w:rPr>
                <w:rFonts w:hint="eastAsia"/>
                <w:b/>
                <w:bCs/>
                <w:color w:val="auto"/>
                <w:szCs w:val="21"/>
                <w:highlight w:val="none"/>
              </w:rPr>
              <w:t>持证上岗要求</w:t>
            </w:r>
          </w:p>
        </w:tc>
      </w:tr>
      <w:tr w14:paraId="0397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560" w:type="dxa"/>
            <w:vAlign w:val="center"/>
          </w:tcPr>
          <w:p w14:paraId="77139E56">
            <w:pPr>
              <w:spacing w:line="276" w:lineRule="auto"/>
              <w:jc w:val="center"/>
              <w:rPr>
                <w:rFonts w:hint="eastAsia"/>
                <w:color w:val="auto"/>
                <w:szCs w:val="21"/>
                <w:highlight w:val="none"/>
              </w:rPr>
            </w:pPr>
            <w:r>
              <w:rPr>
                <w:rFonts w:hint="eastAsia"/>
                <w:color w:val="auto"/>
                <w:szCs w:val="21"/>
                <w:highlight w:val="none"/>
              </w:rPr>
              <w:t>总监理</w:t>
            </w:r>
          </w:p>
          <w:p w14:paraId="194DD156">
            <w:pPr>
              <w:spacing w:line="276" w:lineRule="auto"/>
              <w:jc w:val="center"/>
              <w:rPr>
                <w:rFonts w:hint="eastAsia"/>
                <w:color w:val="auto"/>
                <w:szCs w:val="21"/>
                <w:highlight w:val="none"/>
              </w:rPr>
            </w:pPr>
            <w:r>
              <w:rPr>
                <w:rFonts w:hint="eastAsia"/>
                <w:color w:val="auto"/>
                <w:szCs w:val="21"/>
                <w:highlight w:val="none"/>
              </w:rPr>
              <w:t>工程师</w:t>
            </w:r>
          </w:p>
        </w:tc>
        <w:tc>
          <w:tcPr>
            <w:tcW w:w="1433" w:type="dxa"/>
            <w:vAlign w:val="center"/>
          </w:tcPr>
          <w:p w14:paraId="0570E94B">
            <w:pPr>
              <w:spacing w:line="276" w:lineRule="auto"/>
              <w:jc w:val="center"/>
              <w:rPr>
                <w:rFonts w:hint="eastAsia"/>
                <w:color w:val="auto"/>
                <w:szCs w:val="21"/>
                <w:highlight w:val="none"/>
              </w:rPr>
            </w:pPr>
            <w:r>
              <w:rPr>
                <w:rFonts w:hint="eastAsia"/>
                <w:color w:val="auto"/>
                <w:szCs w:val="21"/>
                <w:highlight w:val="none"/>
              </w:rPr>
              <w:t>1名</w:t>
            </w:r>
          </w:p>
        </w:tc>
        <w:tc>
          <w:tcPr>
            <w:tcW w:w="6358" w:type="dxa"/>
            <w:gridSpan w:val="2"/>
            <w:vAlign w:val="center"/>
          </w:tcPr>
          <w:p w14:paraId="02DEE7B3">
            <w:pPr>
              <w:spacing w:line="276" w:lineRule="auto"/>
              <w:rPr>
                <w:rFonts w:hint="eastAsia"/>
                <w:color w:val="auto"/>
                <w:highlight w:val="none"/>
              </w:rPr>
            </w:pPr>
            <w:r>
              <w:rPr>
                <w:rFonts w:hint="eastAsia"/>
                <w:color w:val="auto"/>
                <w:highlight w:val="none"/>
              </w:rPr>
              <w:t>要求为注册监理工程师、注册专业为市政公用工程；或备案的业务范围相当于注册监理工程师的香港专业人士。</w:t>
            </w:r>
          </w:p>
        </w:tc>
      </w:tr>
      <w:tr w14:paraId="1170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560" w:type="dxa"/>
            <w:vAlign w:val="center"/>
          </w:tcPr>
          <w:p w14:paraId="2E86F5E4">
            <w:pPr>
              <w:spacing w:line="276" w:lineRule="auto"/>
              <w:jc w:val="center"/>
              <w:rPr>
                <w:rFonts w:hint="eastAsia"/>
                <w:color w:val="auto"/>
                <w:szCs w:val="21"/>
                <w:highlight w:val="none"/>
              </w:rPr>
            </w:pPr>
            <w:r>
              <w:rPr>
                <w:rFonts w:hint="eastAsia"/>
                <w:color w:val="auto"/>
                <w:szCs w:val="21"/>
                <w:highlight w:val="none"/>
              </w:rPr>
              <w:t>总监理工程师代表</w:t>
            </w:r>
          </w:p>
        </w:tc>
        <w:tc>
          <w:tcPr>
            <w:tcW w:w="1433" w:type="dxa"/>
            <w:vAlign w:val="center"/>
          </w:tcPr>
          <w:p w14:paraId="5E9C2435">
            <w:pPr>
              <w:spacing w:line="276" w:lineRule="auto"/>
              <w:jc w:val="center"/>
              <w:rPr>
                <w:rFonts w:hint="eastAsia"/>
                <w:color w:val="auto"/>
                <w:szCs w:val="21"/>
                <w:highlight w:val="none"/>
              </w:rPr>
            </w:pPr>
            <w:r>
              <w:rPr>
                <w:rFonts w:hint="eastAsia"/>
                <w:color w:val="auto"/>
                <w:szCs w:val="21"/>
                <w:highlight w:val="none"/>
              </w:rPr>
              <w:t>1名</w:t>
            </w:r>
          </w:p>
        </w:tc>
        <w:tc>
          <w:tcPr>
            <w:tcW w:w="6358" w:type="dxa"/>
            <w:gridSpan w:val="2"/>
            <w:vAlign w:val="center"/>
          </w:tcPr>
          <w:p w14:paraId="50357EA0">
            <w:pPr>
              <w:spacing w:line="276" w:lineRule="auto"/>
              <w:rPr>
                <w:rFonts w:hint="eastAsia"/>
                <w:color w:val="auto"/>
                <w:szCs w:val="21"/>
                <w:highlight w:val="none"/>
              </w:rPr>
            </w:pPr>
            <w:r>
              <w:rPr>
                <w:rFonts w:hint="eastAsia"/>
                <w:color w:val="auto"/>
                <w:szCs w:val="21"/>
                <w:highlight w:val="none"/>
              </w:rPr>
              <w:t>要求为注册监理工程师、注册专业为市政公用工程 。</w:t>
            </w:r>
          </w:p>
        </w:tc>
      </w:tr>
      <w:tr w14:paraId="4D0C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1560" w:type="dxa"/>
            <w:vAlign w:val="center"/>
          </w:tcPr>
          <w:p w14:paraId="49B38913">
            <w:pPr>
              <w:spacing w:line="276" w:lineRule="auto"/>
              <w:jc w:val="center"/>
              <w:rPr>
                <w:rFonts w:hint="eastAsia"/>
                <w:color w:val="auto"/>
                <w:szCs w:val="21"/>
                <w:highlight w:val="none"/>
              </w:rPr>
            </w:pPr>
            <w:r>
              <w:rPr>
                <w:rFonts w:hint="eastAsia"/>
                <w:color w:val="auto"/>
                <w:szCs w:val="21"/>
                <w:highlight w:val="none"/>
              </w:rPr>
              <w:t>专业监理工程师（工程师或以上职称）</w:t>
            </w:r>
          </w:p>
        </w:tc>
        <w:tc>
          <w:tcPr>
            <w:tcW w:w="1433" w:type="dxa"/>
            <w:vAlign w:val="center"/>
          </w:tcPr>
          <w:p w14:paraId="430E0CA4">
            <w:pPr>
              <w:spacing w:line="276" w:lineRule="auto"/>
              <w:jc w:val="center"/>
              <w:rPr>
                <w:rFonts w:hint="eastAsia"/>
                <w:color w:val="auto"/>
                <w:szCs w:val="21"/>
                <w:highlight w:val="none"/>
              </w:rPr>
            </w:pPr>
            <w:r>
              <w:rPr>
                <w:rFonts w:hint="eastAsia"/>
                <w:color w:val="auto"/>
                <w:szCs w:val="21"/>
                <w:highlight w:val="none"/>
              </w:rPr>
              <w:t>不少于2名</w:t>
            </w:r>
          </w:p>
        </w:tc>
        <w:tc>
          <w:tcPr>
            <w:tcW w:w="4529" w:type="dxa"/>
            <w:vAlign w:val="center"/>
          </w:tcPr>
          <w:p w14:paraId="0F1558CB">
            <w:pPr>
              <w:spacing w:line="276" w:lineRule="auto"/>
              <w:jc w:val="center"/>
              <w:rPr>
                <w:rFonts w:hint="eastAsia"/>
                <w:color w:val="auto"/>
                <w:szCs w:val="21"/>
                <w:highlight w:val="none"/>
              </w:rPr>
            </w:pPr>
            <w:r>
              <w:rPr>
                <w:rFonts w:hint="eastAsia"/>
                <w:color w:val="auto"/>
                <w:szCs w:val="21"/>
                <w:highlight w:val="none"/>
              </w:rPr>
              <w:t>市政工程专业1名、机电专业1名</w:t>
            </w:r>
          </w:p>
          <w:p w14:paraId="04C607C6">
            <w:pPr>
              <w:spacing w:line="276" w:lineRule="auto"/>
              <w:rPr>
                <w:rFonts w:hint="eastAsia"/>
                <w:color w:val="auto"/>
                <w:szCs w:val="21"/>
                <w:highlight w:val="none"/>
              </w:rPr>
            </w:pPr>
          </w:p>
        </w:tc>
        <w:tc>
          <w:tcPr>
            <w:tcW w:w="1829" w:type="dxa"/>
            <w:vAlign w:val="center"/>
          </w:tcPr>
          <w:p w14:paraId="26290527">
            <w:pPr>
              <w:spacing w:line="276" w:lineRule="auto"/>
              <w:jc w:val="center"/>
              <w:rPr>
                <w:rFonts w:hint="eastAsia"/>
                <w:color w:val="auto"/>
                <w:szCs w:val="21"/>
                <w:highlight w:val="none"/>
              </w:rPr>
            </w:pPr>
            <w:r>
              <w:rPr>
                <w:rFonts w:hint="eastAsia"/>
                <w:color w:val="auto"/>
                <w:szCs w:val="21"/>
                <w:highlight w:val="none"/>
              </w:rPr>
              <w:t>专业以监理工程师注册证或专业监理工程师证或职称证或毕业证中的专业名称（含相近专业）为准；</w:t>
            </w:r>
          </w:p>
        </w:tc>
      </w:tr>
      <w:tr w14:paraId="08D9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60" w:type="dxa"/>
            <w:vAlign w:val="center"/>
          </w:tcPr>
          <w:p w14:paraId="635B9EB3">
            <w:pPr>
              <w:spacing w:line="276" w:lineRule="auto"/>
              <w:jc w:val="center"/>
              <w:rPr>
                <w:rFonts w:hint="eastAsia"/>
                <w:color w:val="auto"/>
                <w:szCs w:val="21"/>
                <w:highlight w:val="none"/>
              </w:rPr>
            </w:pPr>
            <w:r>
              <w:rPr>
                <w:rFonts w:hint="eastAsia"/>
                <w:color w:val="auto"/>
                <w:szCs w:val="21"/>
                <w:highlight w:val="none"/>
              </w:rPr>
              <w:t>造价工程师</w:t>
            </w:r>
          </w:p>
        </w:tc>
        <w:tc>
          <w:tcPr>
            <w:tcW w:w="1433" w:type="dxa"/>
            <w:vAlign w:val="center"/>
          </w:tcPr>
          <w:p w14:paraId="223DE444">
            <w:pPr>
              <w:spacing w:line="276" w:lineRule="auto"/>
              <w:jc w:val="center"/>
              <w:rPr>
                <w:rFonts w:hint="eastAsia"/>
                <w:color w:val="auto"/>
                <w:szCs w:val="21"/>
                <w:highlight w:val="none"/>
              </w:rPr>
            </w:pPr>
            <w:r>
              <w:rPr>
                <w:rFonts w:hint="eastAsia"/>
                <w:color w:val="auto"/>
                <w:szCs w:val="21"/>
                <w:highlight w:val="none"/>
                <w:u w:val="single"/>
              </w:rPr>
              <w:t>1</w:t>
            </w:r>
            <w:r>
              <w:rPr>
                <w:rFonts w:hint="eastAsia"/>
                <w:color w:val="auto"/>
                <w:szCs w:val="21"/>
                <w:highlight w:val="none"/>
              </w:rPr>
              <w:t>名</w:t>
            </w:r>
          </w:p>
        </w:tc>
        <w:tc>
          <w:tcPr>
            <w:tcW w:w="6358" w:type="dxa"/>
            <w:gridSpan w:val="2"/>
            <w:vAlign w:val="center"/>
          </w:tcPr>
          <w:p w14:paraId="7E7ABBEE">
            <w:pPr>
              <w:spacing w:line="276" w:lineRule="auto"/>
              <w:jc w:val="center"/>
              <w:rPr>
                <w:rFonts w:hint="eastAsia" w:eastAsia="宋体"/>
                <w:color w:val="auto"/>
                <w:szCs w:val="21"/>
                <w:highlight w:val="none"/>
                <w:lang w:eastAsia="zh-CN"/>
              </w:rPr>
            </w:pPr>
          </w:p>
        </w:tc>
      </w:tr>
      <w:tr w14:paraId="7510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560" w:type="dxa"/>
            <w:vAlign w:val="center"/>
          </w:tcPr>
          <w:p w14:paraId="13797839">
            <w:pPr>
              <w:spacing w:line="276" w:lineRule="auto"/>
              <w:jc w:val="center"/>
              <w:rPr>
                <w:rFonts w:hint="eastAsia"/>
                <w:color w:val="auto"/>
                <w:szCs w:val="21"/>
                <w:highlight w:val="none"/>
              </w:rPr>
            </w:pPr>
            <w:r>
              <w:rPr>
                <w:rFonts w:hint="eastAsia"/>
                <w:color w:val="auto"/>
                <w:szCs w:val="21"/>
                <w:highlight w:val="none"/>
              </w:rPr>
              <w:t>监理员</w:t>
            </w:r>
          </w:p>
        </w:tc>
        <w:tc>
          <w:tcPr>
            <w:tcW w:w="1433" w:type="dxa"/>
            <w:vAlign w:val="center"/>
          </w:tcPr>
          <w:p w14:paraId="11C904D8">
            <w:pPr>
              <w:spacing w:line="276" w:lineRule="auto"/>
              <w:jc w:val="center"/>
              <w:rPr>
                <w:rFonts w:hint="eastAsia"/>
                <w:color w:val="auto"/>
                <w:szCs w:val="21"/>
                <w:highlight w:val="none"/>
              </w:rPr>
            </w:pPr>
            <w:r>
              <w:rPr>
                <w:rFonts w:hint="eastAsia"/>
                <w:color w:val="auto"/>
                <w:szCs w:val="21"/>
                <w:highlight w:val="none"/>
              </w:rPr>
              <w:t>2名</w:t>
            </w:r>
          </w:p>
        </w:tc>
        <w:tc>
          <w:tcPr>
            <w:tcW w:w="6358" w:type="dxa"/>
            <w:gridSpan w:val="2"/>
            <w:vAlign w:val="center"/>
          </w:tcPr>
          <w:p w14:paraId="6D77F547">
            <w:pPr>
              <w:spacing w:line="276" w:lineRule="auto"/>
              <w:jc w:val="center"/>
              <w:rPr>
                <w:rFonts w:hint="eastAsia"/>
                <w:color w:val="auto"/>
                <w:szCs w:val="21"/>
                <w:highlight w:val="none"/>
              </w:rPr>
            </w:pPr>
            <w:r>
              <w:rPr>
                <w:rFonts w:hint="eastAsia"/>
                <w:color w:val="auto"/>
                <w:szCs w:val="21"/>
                <w:highlight w:val="none"/>
              </w:rPr>
              <w:t>具备监理员证</w:t>
            </w:r>
          </w:p>
        </w:tc>
      </w:tr>
      <w:tr w14:paraId="5AEB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60" w:type="dxa"/>
            <w:vAlign w:val="center"/>
          </w:tcPr>
          <w:p w14:paraId="3683536C">
            <w:pPr>
              <w:spacing w:line="276" w:lineRule="auto"/>
              <w:jc w:val="center"/>
              <w:rPr>
                <w:rFonts w:hint="eastAsia"/>
                <w:color w:val="auto"/>
                <w:szCs w:val="21"/>
                <w:highlight w:val="none"/>
              </w:rPr>
            </w:pPr>
            <w:r>
              <w:rPr>
                <w:rFonts w:hint="eastAsia"/>
                <w:color w:val="auto"/>
                <w:szCs w:val="21"/>
                <w:highlight w:val="none"/>
              </w:rPr>
              <w:t>安全员</w:t>
            </w:r>
          </w:p>
        </w:tc>
        <w:tc>
          <w:tcPr>
            <w:tcW w:w="1433" w:type="dxa"/>
            <w:vAlign w:val="center"/>
          </w:tcPr>
          <w:p w14:paraId="2B5D0FF8">
            <w:pPr>
              <w:spacing w:line="276" w:lineRule="auto"/>
              <w:jc w:val="center"/>
              <w:rPr>
                <w:rFonts w:hint="eastAsia"/>
                <w:color w:val="auto"/>
                <w:szCs w:val="21"/>
                <w:highlight w:val="none"/>
                <w:u w:val="single"/>
              </w:rPr>
            </w:pPr>
            <w:r>
              <w:rPr>
                <w:rFonts w:hint="eastAsia"/>
                <w:color w:val="auto"/>
                <w:szCs w:val="21"/>
                <w:highlight w:val="none"/>
                <w:u w:val="single"/>
              </w:rPr>
              <w:t>1</w:t>
            </w:r>
            <w:r>
              <w:rPr>
                <w:rFonts w:hint="eastAsia"/>
                <w:color w:val="auto"/>
                <w:szCs w:val="21"/>
                <w:highlight w:val="none"/>
              </w:rPr>
              <w:t>名</w:t>
            </w:r>
          </w:p>
        </w:tc>
        <w:tc>
          <w:tcPr>
            <w:tcW w:w="6358" w:type="dxa"/>
            <w:gridSpan w:val="2"/>
            <w:vAlign w:val="center"/>
          </w:tcPr>
          <w:p w14:paraId="58FFA5B3">
            <w:pPr>
              <w:spacing w:line="276" w:lineRule="auto"/>
              <w:jc w:val="center"/>
              <w:rPr>
                <w:rFonts w:hint="eastAsia"/>
                <w:color w:val="auto"/>
                <w:szCs w:val="21"/>
                <w:highlight w:val="none"/>
              </w:rPr>
            </w:pPr>
            <w:r>
              <w:rPr>
                <w:rFonts w:hint="eastAsia"/>
                <w:color w:val="auto"/>
                <w:szCs w:val="21"/>
                <w:highlight w:val="none"/>
              </w:rPr>
              <w:t>具备安全监理员证</w:t>
            </w:r>
          </w:p>
        </w:tc>
      </w:tr>
      <w:tr w14:paraId="0212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60" w:type="dxa"/>
            <w:vAlign w:val="center"/>
          </w:tcPr>
          <w:p w14:paraId="60A945DE">
            <w:pPr>
              <w:spacing w:line="276" w:lineRule="auto"/>
              <w:jc w:val="center"/>
              <w:rPr>
                <w:rFonts w:hint="eastAsia"/>
                <w:color w:val="auto"/>
                <w:szCs w:val="21"/>
                <w:highlight w:val="none"/>
              </w:rPr>
            </w:pPr>
            <w:r>
              <w:rPr>
                <w:rFonts w:hint="eastAsia"/>
                <w:color w:val="auto"/>
                <w:szCs w:val="21"/>
                <w:highlight w:val="none"/>
              </w:rPr>
              <w:t>总计</w:t>
            </w:r>
          </w:p>
        </w:tc>
        <w:tc>
          <w:tcPr>
            <w:tcW w:w="1433" w:type="dxa"/>
            <w:vAlign w:val="center"/>
          </w:tcPr>
          <w:p w14:paraId="443D2D7F">
            <w:pPr>
              <w:spacing w:line="276" w:lineRule="auto"/>
              <w:jc w:val="center"/>
              <w:rPr>
                <w:rFonts w:hint="eastAsia"/>
                <w:color w:val="auto"/>
                <w:szCs w:val="21"/>
                <w:highlight w:val="none"/>
              </w:rPr>
            </w:pPr>
            <w:r>
              <w:rPr>
                <w:rFonts w:hint="eastAsia"/>
                <w:color w:val="auto"/>
                <w:szCs w:val="21"/>
                <w:highlight w:val="none"/>
              </w:rPr>
              <w:t>不少于</w:t>
            </w:r>
            <w:r>
              <w:rPr>
                <w:rFonts w:hint="eastAsia"/>
                <w:color w:val="auto"/>
                <w:szCs w:val="21"/>
                <w:highlight w:val="none"/>
                <w:u w:val="single"/>
              </w:rPr>
              <w:t>8</w:t>
            </w:r>
            <w:r>
              <w:rPr>
                <w:rFonts w:hint="eastAsia"/>
                <w:color w:val="auto"/>
                <w:szCs w:val="21"/>
                <w:highlight w:val="none"/>
              </w:rPr>
              <w:t>名</w:t>
            </w:r>
          </w:p>
        </w:tc>
        <w:tc>
          <w:tcPr>
            <w:tcW w:w="6358" w:type="dxa"/>
            <w:gridSpan w:val="2"/>
            <w:vAlign w:val="center"/>
          </w:tcPr>
          <w:p w14:paraId="417A4B08">
            <w:pPr>
              <w:spacing w:line="276" w:lineRule="auto"/>
              <w:jc w:val="center"/>
              <w:rPr>
                <w:rFonts w:hint="eastAsia"/>
                <w:color w:val="auto"/>
                <w:szCs w:val="21"/>
                <w:highlight w:val="none"/>
              </w:rPr>
            </w:pPr>
          </w:p>
        </w:tc>
      </w:tr>
    </w:tbl>
    <w:p w14:paraId="42AD985F">
      <w:pPr>
        <w:tabs>
          <w:tab w:val="left" w:pos="540"/>
          <w:tab w:val="left" w:pos="720"/>
        </w:tabs>
        <w:snapToGrid w:val="0"/>
        <w:ind w:firstLine="480" w:firstLineChars="200"/>
        <w:rPr>
          <w:rFonts w:hint="eastAsia"/>
          <w:color w:val="auto"/>
          <w:szCs w:val="21"/>
          <w:highlight w:val="none"/>
        </w:rPr>
      </w:pPr>
    </w:p>
    <w:p w14:paraId="5EEE925F">
      <w:pPr>
        <w:pStyle w:val="11"/>
        <w:numPr>
          <w:ilvl w:val="-1"/>
          <w:numId w:val="0"/>
        </w:numPr>
        <w:tabs>
          <w:tab w:val="left" w:pos="1343"/>
          <w:tab w:val="left" w:pos="2697"/>
          <w:tab w:val="left" w:pos="3264"/>
          <w:tab w:val="left" w:pos="4896"/>
          <w:tab w:val="left" w:pos="6005"/>
          <w:tab w:val="left" w:pos="7085"/>
          <w:tab w:val="left" w:pos="7498"/>
        </w:tabs>
        <w:kinsoku w:val="0"/>
        <w:overflowPunct w:val="0"/>
        <w:spacing w:line="360" w:lineRule="auto"/>
        <w:ind w:left="0" w:leftChars="0" w:firstLine="480" w:firstLineChars="200"/>
        <w:jc w:val="both"/>
        <w:rPr>
          <w:rFonts w:hint="default" w:cs="宋体"/>
          <w:b w:val="0"/>
          <w:color w:val="auto"/>
          <w:sz w:val="24"/>
          <w:highlight w:val="none"/>
          <w:lang w:eastAsia="zh-CN"/>
        </w:rPr>
      </w:pPr>
      <w:r>
        <w:rPr>
          <w:rFonts w:hint="default" w:cs="宋体"/>
          <w:color w:val="auto"/>
          <w:sz w:val="24"/>
          <w:szCs w:val="24"/>
          <w:highlight w:val="none"/>
          <w:lang w:eastAsia="zh-CN"/>
        </w:rPr>
        <w:t>注：1、本表不作为响应性审查依据。表中所列人员配备为最低限度要求，中标单位可根据实际工作需要及时投入人员，所有监理人员均须身体健康。投标人提供的人员须为投标人在职员工，投标人提供的人员须为投标人在职员工，</w:t>
      </w:r>
      <w:r>
        <w:rPr>
          <w:rFonts w:hint="default" w:cs="宋体"/>
          <w:color w:val="auto"/>
          <w:sz w:val="24"/>
          <w:highlight w:val="none"/>
          <w:lang w:eastAsia="zh-CN"/>
        </w:rPr>
        <w:t>。</w:t>
      </w:r>
      <w:r>
        <w:rPr>
          <w:rFonts w:hint="default" w:cs="宋体"/>
          <w:color w:val="auto"/>
          <w:sz w:val="24"/>
          <w:szCs w:val="24"/>
          <w:highlight w:val="none"/>
          <w:lang w:eastAsia="zh-CN"/>
        </w:rPr>
        <w:t>确定中标人后，招标人将采取有效措施，核实后续中标人管理团队的社保补缴情况。</w:t>
      </w:r>
    </w:p>
    <w:p w14:paraId="2FBF1726">
      <w:pPr>
        <w:pStyle w:val="11"/>
        <w:numPr>
          <w:ilvl w:val="-1"/>
          <w:numId w:val="0"/>
        </w:numPr>
        <w:tabs>
          <w:tab w:val="left" w:pos="1343"/>
          <w:tab w:val="left" w:pos="2697"/>
          <w:tab w:val="left" w:pos="3264"/>
          <w:tab w:val="left" w:pos="4896"/>
          <w:tab w:val="left" w:pos="6005"/>
          <w:tab w:val="left" w:pos="7085"/>
          <w:tab w:val="left" w:pos="7498"/>
        </w:tabs>
        <w:kinsoku w:val="0"/>
        <w:overflowPunct w:val="0"/>
        <w:spacing w:line="360" w:lineRule="auto"/>
        <w:ind w:left="0" w:leftChars="0" w:firstLine="480" w:firstLineChars="200"/>
        <w:jc w:val="both"/>
        <w:rPr>
          <w:rFonts w:hint="default" w:cs="宋体"/>
          <w:color w:val="auto"/>
          <w:sz w:val="24"/>
          <w:highlight w:val="none"/>
          <w:lang w:eastAsia="zh-CN"/>
        </w:rPr>
      </w:pPr>
      <w:r>
        <w:rPr>
          <w:rFonts w:hint="default" w:cs="宋体"/>
          <w:color w:val="auto"/>
          <w:sz w:val="24"/>
          <w:highlight w:val="none"/>
          <w:lang w:eastAsia="zh-CN"/>
        </w:rPr>
        <w:t>2、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14:paraId="57AFCD4D">
      <w:pPr>
        <w:spacing w:line="360" w:lineRule="auto"/>
        <w:rPr>
          <w:rFonts w:ascii="宋体" w:hAnsi="宋体" w:cs="宋体"/>
          <w:b/>
          <w:color w:val="auto"/>
          <w:highlight w:val="none"/>
          <w:lang w:bidi="ar"/>
        </w:rPr>
      </w:pPr>
      <w:r>
        <w:rPr>
          <w:rFonts w:hint="eastAsia" w:ascii="宋体" w:hAnsi="宋体" w:cs="宋体"/>
          <w:b/>
          <w:color w:val="auto"/>
          <w:highlight w:val="none"/>
          <w:lang w:bidi="ar"/>
        </w:rPr>
        <w:t>4.2试验检测仪器设备</w:t>
      </w:r>
      <w:r>
        <w:rPr>
          <w:rFonts w:ascii="宋体" w:hAnsi="宋体" w:cs="宋体"/>
          <w:b/>
          <w:color w:val="auto"/>
          <w:highlight w:val="none"/>
          <w:lang w:bidi="ar"/>
        </w:rPr>
        <w:t>基本要求</w:t>
      </w:r>
      <w:r>
        <w:rPr>
          <w:rFonts w:hint="eastAsia" w:ascii="宋体" w:hAnsi="宋体" w:cs="宋体"/>
          <w:b/>
          <w:color w:val="auto"/>
          <w:highlight w:val="none"/>
          <w:lang w:bidi="ar"/>
        </w:rPr>
        <w:t>：</w:t>
      </w:r>
    </w:p>
    <w:tbl>
      <w:tblPr>
        <w:tblStyle w:val="2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857"/>
        <w:gridCol w:w="1857"/>
        <w:gridCol w:w="1858"/>
        <w:gridCol w:w="1858"/>
      </w:tblGrid>
      <w:tr w14:paraId="2801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57" w:type="dxa"/>
            <w:vAlign w:val="center"/>
          </w:tcPr>
          <w:p w14:paraId="44EFED61">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序号</w:t>
            </w:r>
          </w:p>
        </w:tc>
        <w:tc>
          <w:tcPr>
            <w:tcW w:w="1857" w:type="dxa"/>
            <w:vAlign w:val="center"/>
          </w:tcPr>
          <w:p w14:paraId="510D4368">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仪器设备名称</w:t>
            </w:r>
          </w:p>
        </w:tc>
        <w:tc>
          <w:tcPr>
            <w:tcW w:w="1857" w:type="dxa"/>
            <w:vAlign w:val="center"/>
          </w:tcPr>
          <w:p w14:paraId="4275570B">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规格</w:t>
            </w:r>
          </w:p>
        </w:tc>
        <w:tc>
          <w:tcPr>
            <w:tcW w:w="1858" w:type="dxa"/>
            <w:vAlign w:val="center"/>
          </w:tcPr>
          <w:p w14:paraId="130ABA77">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数量</w:t>
            </w:r>
          </w:p>
        </w:tc>
        <w:tc>
          <w:tcPr>
            <w:tcW w:w="1858" w:type="dxa"/>
            <w:vAlign w:val="center"/>
          </w:tcPr>
          <w:p w14:paraId="4F170FFB">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备注</w:t>
            </w:r>
          </w:p>
        </w:tc>
      </w:tr>
      <w:tr w14:paraId="4B2B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57" w:type="dxa"/>
            <w:vAlign w:val="center"/>
          </w:tcPr>
          <w:p w14:paraId="7E3EFAFE">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1</w:t>
            </w:r>
          </w:p>
        </w:tc>
        <w:tc>
          <w:tcPr>
            <w:tcW w:w="1857" w:type="dxa"/>
            <w:vAlign w:val="center"/>
          </w:tcPr>
          <w:p w14:paraId="7C995D3F">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回弹仪</w:t>
            </w:r>
          </w:p>
        </w:tc>
        <w:tc>
          <w:tcPr>
            <w:tcW w:w="1857" w:type="dxa"/>
            <w:vAlign w:val="center"/>
          </w:tcPr>
          <w:p w14:paraId="783BF89A">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w:t>
            </w:r>
          </w:p>
        </w:tc>
        <w:tc>
          <w:tcPr>
            <w:tcW w:w="1858" w:type="dxa"/>
            <w:vAlign w:val="center"/>
          </w:tcPr>
          <w:p w14:paraId="6AB59FD9">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1</w:t>
            </w:r>
          </w:p>
        </w:tc>
        <w:tc>
          <w:tcPr>
            <w:tcW w:w="1858" w:type="dxa"/>
            <w:vAlign w:val="center"/>
          </w:tcPr>
          <w:p w14:paraId="430910B7">
            <w:pPr>
              <w:spacing w:line="240" w:lineRule="auto"/>
              <w:jc w:val="center"/>
              <w:rPr>
                <w:rFonts w:ascii="Times New Roman" w:hAnsi="Times New Roman" w:cs="Times New Roman"/>
                <w:bCs w:val="0"/>
                <w:color w:val="auto"/>
                <w:highlight w:val="none"/>
                <w:lang w:bidi="ar"/>
              </w:rPr>
            </w:pPr>
          </w:p>
        </w:tc>
      </w:tr>
      <w:tr w14:paraId="2456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57" w:type="dxa"/>
            <w:vAlign w:val="center"/>
          </w:tcPr>
          <w:p w14:paraId="05C3A877">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2</w:t>
            </w:r>
          </w:p>
        </w:tc>
        <w:tc>
          <w:tcPr>
            <w:tcW w:w="1857" w:type="dxa"/>
            <w:vAlign w:val="center"/>
          </w:tcPr>
          <w:p w14:paraId="225EC0D0">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砼坍落度筒</w:t>
            </w:r>
          </w:p>
        </w:tc>
        <w:tc>
          <w:tcPr>
            <w:tcW w:w="1857" w:type="dxa"/>
            <w:vAlign w:val="center"/>
          </w:tcPr>
          <w:p w14:paraId="15FA8CA9">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w:t>
            </w:r>
          </w:p>
        </w:tc>
        <w:tc>
          <w:tcPr>
            <w:tcW w:w="1858" w:type="dxa"/>
            <w:vAlign w:val="center"/>
          </w:tcPr>
          <w:p w14:paraId="3008A522">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1</w:t>
            </w:r>
          </w:p>
        </w:tc>
        <w:tc>
          <w:tcPr>
            <w:tcW w:w="1858" w:type="dxa"/>
            <w:vAlign w:val="center"/>
          </w:tcPr>
          <w:p w14:paraId="42F000C0">
            <w:pPr>
              <w:spacing w:line="240" w:lineRule="auto"/>
              <w:jc w:val="center"/>
              <w:rPr>
                <w:rFonts w:ascii="Times New Roman" w:hAnsi="Times New Roman" w:cs="Times New Roman"/>
                <w:bCs w:val="0"/>
                <w:color w:val="auto"/>
                <w:highlight w:val="none"/>
                <w:lang w:bidi="ar"/>
              </w:rPr>
            </w:pPr>
          </w:p>
        </w:tc>
      </w:tr>
      <w:tr w14:paraId="54FC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57" w:type="dxa"/>
            <w:vAlign w:val="center"/>
          </w:tcPr>
          <w:p w14:paraId="19682000">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3</w:t>
            </w:r>
          </w:p>
        </w:tc>
        <w:tc>
          <w:tcPr>
            <w:tcW w:w="1857" w:type="dxa"/>
            <w:vAlign w:val="center"/>
          </w:tcPr>
          <w:p w14:paraId="029DD474">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检测尺</w:t>
            </w:r>
          </w:p>
        </w:tc>
        <w:tc>
          <w:tcPr>
            <w:tcW w:w="1857" w:type="dxa"/>
            <w:vAlign w:val="center"/>
          </w:tcPr>
          <w:p w14:paraId="1D0325D0">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w:t>
            </w:r>
          </w:p>
        </w:tc>
        <w:tc>
          <w:tcPr>
            <w:tcW w:w="1858" w:type="dxa"/>
            <w:vAlign w:val="center"/>
          </w:tcPr>
          <w:p w14:paraId="3BBD3F35">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1</w:t>
            </w:r>
          </w:p>
        </w:tc>
        <w:tc>
          <w:tcPr>
            <w:tcW w:w="1858" w:type="dxa"/>
            <w:vAlign w:val="center"/>
          </w:tcPr>
          <w:p w14:paraId="2EF2ECB0">
            <w:pPr>
              <w:spacing w:line="240" w:lineRule="auto"/>
              <w:jc w:val="center"/>
              <w:rPr>
                <w:rFonts w:ascii="Times New Roman" w:hAnsi="Times New Roman" w:cs="Times New Roman"/>
                <w:bCs w:val="0"/>
                <w:color w:val="auto"/>
                <w:highlight w:val="none"/>
                <w:lang w:bidi="ar"/>
              </w:rPr>
            </w:pPr>
          </w:p>
        </w:tc>
      </w:tr>
      <w:tr w14:paraId="01C3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857" w:type="dxa"/>
            <w:vAlign w:val="center"/>
          </w:tcPr>
          <w:p w14:paraId="1869FFCC">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4</w:t>
            </w:r>
          </w:p>
        </w:tc>
        <w:tc>
          <w:tcPr>
            <w:tcW w:w="1857" w:type="dxa"/>
            <w:vAlign w:val="center"/>
          </w:tcPr>
          <w:p w14:paraId="24840671">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卷尺</w:t>
            </w:r>
          </w:p>
        </w:tc>
        <w:tc>
          <w:tcPr>
            <w:tcW w:w="1857" w:type="dxa"/>
            <w:vAlign w:val="center"/>
          </w:tcPr>
          <w:p w14:paraId="7E46F75B">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w:t>
            </w:r>
          </w:p>
        </w:tc>
        <w:tc>
          <w:tcPr>
            <w:tcW w:w="1858" w:type="dxa"/>
            <w:vAlign w:val="center"/>
          </w:tcPr>
          <w:p w14:paraId="723CA427">
            <w:pPr>
              <w:spacing w:line="240" w:lineRule="auto"/>
              <w:jc w:val="center"/>
              <w:rPr>
                <w:rFonts w:ascii="Times New Roman" w:hAnsi="Times New Roman" w:cs="Times New Roman"/>
                <w:bCs w:val="0"/>
                <w:color w:val="auto"/>
                <w:highlight w:val="none"/>
                <w:lang w:bidi="ar"/>
              </w:rPr>
            </w:pPr>
            <w:r>
              <w:rPr>
                <w:rFonts w:ascii="Times New Roman" w:hAnsi="Times New Roman" w:cs="Times New Roman"/>
                <w:bCs w:val="0"/>
                <w:color w:val="auto"/>
                <w:highlight w:val="none"/>
                <w:lang w:bidi="ar"/>
              </w:rPr>
              <w:t>1</w:t>
            </w:r>
          </w:p>
        </w:tc>
        <w:tc>
          <w:tcPr>
            <w:tcW w:w="1858" w:type="dxa"/>
            <w:vAlign w:val="center"/>
          </w:tcPr>
          <w:p w14:paraId="7E738607">
            <w:pPr>
              <w:spacing w:line="240" w:lineRule="auto"/>
              <w:jc w:val="center"/>
              <w:rPr>
                <w:rFonts w:ascii="Times New Roman" w:hAnsi="Times New Roman" w:cs="Times New Roman"/>
                <w:bCs w:val="0"/>
                <w:color w:val="auto"/>
                <w:highlight w:val="none"/>
                <w:lang w:bidi="ar"/>
              </w:rPr>
            </w:pPr>
          </w:p>
        </w:tc>
      </w:tr>
    </w:tbl>
    <w:p w14:paraId="2BD38D14">
      <w:pPr>
        <w:pStyle w:val="11"/>
        <w:numPr>
          <w:ilvl w:val="0"/>
          <w:numId w:val="3"/>
        </w:numP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lang w:eastAsia="zh-CN"/>
        </w:rPr>
      </w:pPr>
      <w:r>
        <w:rPr>
          <w:rFonts w:hint="default" w:cs="宋体"/>
          <w:color w:val="auto"/>
          <w:sz w:val="24"/>
          <w:szCs w:val="24"/>
          <w:highlight w:val="none"/>
        </w:rPr>
        <w:t>其他要求</w:t>
      </w:r>
      <w:r>
        <w:rPr>
          <w:rFonts w:hint="eastAsia" w:cs="宋体"/>
          <w:color w:val="auto"/>
          <w:sz w:val="24"/>
          <w:szCs w:val="24"/>
          <w:highlight w:val="none"/>
          <w:lang w:eastAsia="zh-CN"/>
        </w:rPr>
        <w:t>：</w:t>
      </w:r>
    </w:p>
    <w:p w14:paraId="3149F781">
      <w:pPr>
        <w:pStyle w:val="11"/>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5.1施工监理内容和服务期限</w:t>
      </w:r>
    </w:p>
    <w:p w14:paraId="1F819A79">
      <w:pPr>
        <w:pStyle w:val="11"/>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firstLine="480" w:firstLineChars="200"/>
        <w:jc w:val="both"/>
        <w:rPr>
          <w:rFonts w:hint="eastAsia" w:cs="宋体"/>
          <w:color w:val="auto"/>
          <w:sz w:val="24"/>
          <w:szCs w:val="24"/>
          <w:highlight w:val="none"/>
          <w:lang w:eastAsia="zh-CN"/>
        </w:rPr>
      </w:pPr>
      <w:r>
        <w:rPr>
          <w:rFonts w:hint="eastAsia" w:cs="宋体"/>
          <w:color w:val="auto"/>
          <w:sz w:val="24"/>
          <w:szCs w:val="24"/>
          <w:highlight w:val="none"/>
          <w:lang w:eastAsia="zh-CN"/>
        </w:rPr>
        <w:t>从中标人收到招标人中标通知或参加由招标人组织的进场动员会开始算起，至本项目工程质量保修期结束且本合同工程结算金额经政府主管部门或特许经营权单位审定之日止。</w:t>
      </w:r>
    </w:p>
    <w:p w14:paraId="5DCDE89B">
      <w:pPr>
        <w:pStyle w:val="11"/>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5.2质量目标、职业健康安全管理目标、环境管理目标</w:t>
      </w:r>
    </w:p>
    <w:p w14:paraId="0455B083">
      <w:pPr>
        <w:pStyle w:val="11"/>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1. 质量目标：达到施工合同确定的质量目标；一次性验收合格，符合国家现行质量验收标准。</w:t>
      </w:r>
    </w:p>
    <w:p w14:paraId="380FFEF2">
      <w:pPr>
        <w:pStyle w:val="11"/>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2. 职业健康安全管理目标：合格且无一般安全责任事故</w:t>
      </w:r>
    </w:p>
    <w:p w14:paraId="65C2C8C3">
      <w:pPr>
        <w:pStyle w:val="11"/>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3. 环境目标：严格执行《广州市建设工程现场文明施工管理办法》（穗建质〔2008〕937号）、《广州市建设工程文明施工管理规定》（广州市人民政府令第62号令）、《关于进一步规范建设工程施工现场围蔽的通知》（穗建质〔2008〕1008号）。</w:t>
      </w:r>
    </w:p>
    <w:p w14:paraId="6E972184">
      <w:pPr>
        <w:pStyle w:val="11"/>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default" w:cs="宋体"/>
          <w:color w:val="auto"/>
          <w:sz w:val="24"/>
          <w:szCs w:val="24"/>
          <w:highlight w:val="none"/>
          <w:lang w:val="en-US" w:eastAsia="zh-CN"/>
        </w:rPr>
      </w:pPr>
      <w:r>
        <w:rPr>
          <w:rFonts w:hint="eastAsia" w:cs="宋体"/>
          <w:color w:val="auto"/>
          <w:sz w:val="24"/>
          <w:szCs w:val="24"/>
          <w:highlight w:val="none"/>
          <w:lang w:val="en-US" w:eastAsia="zh-CN"/>
        </w:rPr>
        <w:t xml:space="preserve">4.文明施工管理目标：合格且不因工地文明施工管理问题受到有关政府、行业职能管理部门处罚 </w:t>
      </w:r>
    </w:p>
    <w:p w14:paraId="08E6F792">
      <w:pPr>
        <w:pStyle w:val="11"/>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5.3监理管理工作总体要求</w:t>
      </w:r>
    </w:p>
    <w:p w14:paraId="336736ED">
      <w:pPr>
        <w:pStyle w:val="11"/>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1.按照“守法、诚信、公正、科学”的准则执业。正确执行国家法律法规、行业及地方有关工程建设的法规、规章和规程、规范、标准和制度，履行监理合同规定的职责。</w:t>
      </w:r>
    </w:p>
    <w:p w14:paraId="7DAB4064">
      <w:pPr>
        <w:pStyle w:val="11"/>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2.坚持独立、公正、科学、廉洁的原则开展监理工作，对工程项目建设具有高度的责任感。严格按照工程承包合同和工程施工监理合同积极主动、独立自立、公正公平地开展各项监理工作。在项目建设过程中加强质量、安全、进度、投资、信息、环境等方面的管理。</w:t>
      </w:r>
    </w:p>
    <w:p w14:paraId="7B969827">
      <w:pPr>
        <w:pStyle w:val="11"/>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3.熟悉监理业务，对有关的合同文件、设计文件、技术规范、施工程序、施工工艺、安全措施、验收规程、材料和工程质量检验、工程质量评定标准等，应认真学习、理解，并能正确操作。</w:t>
      </w:r>
    </w:p>
    <w:p w14:paraId="657BFA14">
      <w:pPr>
        <w:pStyle w:val="11"/>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4.不得在本工程的承包人、设备制造和材料供应人任职或兼职。</w:t>
      </w:r>
    </w:p>
    <w:p w14:paraId="581CA7DE">
      <w:pPr>
        <w:pStyle w:val="11"/>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5.不得指定施工分包单位、设备材料以及建筑构件配件等供应商。</w:t>
      </w:r>
    </w:p>
    <w:p w14:paraId="0C7473A8">
      <w:pPr>
        <w:pStyle w:val="11"/>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6.不得收受被监理单位的任何酬礼，不得接受可能导致判断不公正的报酬。</w:t>
      </w:r>
    </w:p>
    <w:p w14:paraId="30EFE797">
      <w:pPr>
        <w:pStyle w:val="11"/>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7.不得泄露本项目各方认为尚需保密的事项。</w:t>
      </w:r>
    </w:p>
    <w:p w14:paraId="287AD3DF">
      <w:pPr>
        <w:pStyle w:val="11"/>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5.4监理管理人员架构要求</w:t>
      </w:r>
    </w:p>
    <w:p w14:paraId="4036DC18">
      <w:pPr>
        <w:pStyle w:val="11"/>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项目监理架构组成人员应符合招投标文件、合同的要求，如因特殊情况部分投标人员不能到位应向建设单位项目管理机构书面提出人员更换申请，得到批准并按合同要求办理相应变更手续后方可进行人员更换；人员的更换应在施工准备阶段完成，经备案后的项目监理架构人员不允许随便变更。</w:t>
      </w:r>
    </w:p>
    <w:p w14:paraId="335153F6">
      <w:pPr>
        <w:pStyle w:val="11"/>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5.5监理人员考勤管理要点</w:t>
      </w:r>
    </w:p>
    <w:p w14:paraId="57A0B493">
      <w:pPr>
        <w:pStyle w:val="11"/>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严格实行请假制度；在非重要部位施工时，需要请假的，监理部人员需向广州市增城区供排水管理中心项目负责人书面请假，请假严格按合同、招投标文件进行审批。请假条获得批准后，可不列入缺勤天数。总监理工程师在工程关键部位、关键环节施工时段均不得请假外出。</w:t>
      </w:r>
    </w:p>
    <w:p w14:paraId="6C96475F">
      <w:pPr>
        <w:pStyle w:val="11"/>
        <w:numPr>
          <w:ilvl w:val="0"/>
          <w:numId w:val="0"/>
        </w:numPr>
        <w:tabs>
          <w:tab w:val="left" w:pos="1343"/>
          <w:tab w:val="left" w:pos="2697"/>
          <w:tab w:val="left" w:pos="3264"/>
          <w:tab w:val="left" w:pos="4896"/>
          <w:tab w:val="left" w:pos="6005"/>
          <w:tab w:val="left" w:pos="7085"/>
          <w:tab w:val="left" w:pos="7498"/>
        </w:tabs>
        <w:kinsoku w:val="0"/>
        <w:overflowPunct w:val="0"/>
        <w:spacing w:line="360" w:lineRule="auto"/>
        <w:ind w:leftChars="200"/>
        <w:jc w:val="both"/>
        <w:rPr>
          <w:rFonts w:hint="eastAsia" w:cs="宋体"/>
          <w:color w:val="auto"/>
          <w:sz w:val="24"/>
          <w:szCs w:val="24"/>
          <w:highlight w:val="none"/>
          <w:lang w:eastAsia="zh-CN"/>
        </w:rPr>
      </w:pPr>
      <w:r>
        <w:rPr>
          <w:rFonts w:hint="eastAsia" w:cs="宋体"/>
          <w:color w:val="auto"/>
          <w:sz w:val="24"/>
          <w:szCs w:val="24"/>
          <w:highlight w:val="none"/>
          <w:lang w:eastAsia="zh-CN"/>
        </w:rPr>
        <w:t>按照相关法律法规规定，在高大模板现场浇注、深基坑和沟槽开挖及按规定其它须在岗的危险源、重点时段、关键环节等重大危险源、施工作业处于重点时段和关键环节的，监理部总监或安全监理工程师（员）等必须保证在岗在位，不得请假离开施工现场。</w:t>
      </w:r>
    </w:p>
    <w:p w14:paraId="76C0BC98">
      <w:pPr>
        <w:pStyle w:val="4"/>
        <w:outlineLvl w:val="1"/>
        <w:rPr>
          <w:rFonts w:hint="default"/>
          <w:color w:val="auto"/>
          <w:sz w:val="24"/>
          <w:szCs w:val="24"/>
          <w:highlight w:val="none"/>
        </w:rPr>
      </w:pPr>
      <w:bookmarkStart w:id="37" w:name="_Toc2533"/>
      <w:r>
        <w:rPr>
          <w:rFonts w:hint="default"/>
          <w:color w:val="auto"/>
          <w:sz w:val="24"/>
          <w:szCs w:val="24"/>
          <w:highlight w:val="none"/>
        </w:rPr>
        <w:t>二、适用规范标准</w:t>
      </w:r>
      <w:bookmarkEnd w:id="37"/>
    </w:p>
    <w:p w14:paraId="397957BD">
      <w:pPr>
        <w:pStyle w:val="4"/>
        <w:ind w:firstLine="480" w:firstLineChars="200"/>
        <w:outlineLvl w:val="1"/>
        <w:rPr>
          <w:rFonts w:hint="default"/>
          <w:b w:val="0"/>
          <w:bCs/>
          <w:color w:val="auto"/>
          <w:sz w:val="24"/>
          <w:szCs w:val="24"/>
          <w:highlight w:val="none"/>
        </w:rPr>
      </w:pPr>
      <w:bookmarkStart w:id="38" w:name="_Toc28391"/>
      <w:r>
        <w:rPr>
          <w:rFonts w:hint="default"/>
          <w:b w:val="0"/>
          <w:bCs/>
          <w:color w:val="auto"/>
          <w:sz w:val="24"/>
          <w:szCs w:val="24"/>
          <w:highlight w:val="none"/>
        </w:rPr>
        <w:t>本工程的监理过程必须符合国家有关工程建设标准强制性条文、现行的标准、规范、规程、定额、办法、示例，以及招标项目所在地关于工程监理方面的文件、规定、规范、标准、规程。</w:t>
      </w:r>
    </w:p>
    <w:p w14:paraId="244BC904">
      <w:pPr>
        <w:pStyle w:val="4"/>
        <w:ind w:firstLine="480" w:firstLineChars="200"/>
        <w:outlineLvl w:val="1"/>
        <w:rPr>
          <w:rFonts w:hint="default"/>
          <w:b w:val="0"/>
          <w:bCs/>
          <w:color w:val="auto"/>
          <w:sz w:val="24"/>
          <w:szCs w:val="24"/>
          <w:highlight w:val="none"/>
        </w:rPr>
      </w:pPr>
      <w:r>
        <w:rPr>
          <w:rFonts w:hint="default"/>
          <w:b w:val="0"/>
          <w:bCs/>
          <w:color w:val="auto"/>
          <w:sz w:val="24"/>
          <w:szCs w:val="24"/>
          <w:highlight w:val="none"/>
        </w:rPr>
        <w:t>在监理过程中，如果国家或有关部门颁布了新的技术标准或规范，则监理人应按照新的标准和规范进行监理。</w:t>
      </w:r>
    </w:p>
    <w:p w14:paraId="3A089C28">
      <w:pPr>
        <w:pStyle w:val="4"/>
        <w:outlineLvl w:val="1"/>
        <w:rPr>
          <w:rFonts w:hint="default"/>
          <w:color w:val="auto"/>
          <w:sz w:val="24"/>
          <w:szCs w:val="24"/>
          <w:highlight w:val="none"/>
        </w:rPr>
      </w:pPr>
      <w:r>
        <w:rPr>
          <w:rFonts w:hint="default"/>
          <w:color w:val="auto"/>
          <w:sz w:val="24"/>
          <w:szCs w:val="24"/>
          <w:highlight w:val="none"/>
        </w:rPr>
        <w:t>三、成果文件要求</w:t>
      </w:r>
      <w:bookmarkEnd w:id="38"/>
    </w:p>
    <w:p w14:paraId="19564BFC">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lang w:eastAsia="zh-CN"/>
        </w:rPr>
      </w:pPr>
      <w:r>
        <w:rPr>
          <w:rFonts w:hint="default" w:cs="宋体"/>
          <w:color w:val="auto"/>
          <w:sz w:val="24"/>
          <w:szCs w:val="24"/>
          <w:highlight w:val="none"/>
        </w:rPr>
        <w:t>1.  成果文件的组成</w:t>
      </w:r>
      <w:r>
        <w:rPr>
          <w:rFonts w:hint="eastAsia" w:cs="宋体"/>
          <w:color w:val="auto"/>
          <w:sz w:val="24"/>
          <w:szCs w:val="24"/>
          <w:highlight w:val="none"/>
          <w:lang w:eastAsia="zh-CN"/>
        </w:rPr>
        <w:t>：</w:t>
      </w:r>
    </w:p>
    <w:p w14:paraId="58CC1AEB">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1</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勘察设计文件、建设工程监理合同及其他合同文件；</w:t>
      </w:r>
    </w:p>
    <w:p w14:paraId="2770AE7B">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2</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监理规划、监理实施细则；</w:t>
      </w:r>
    </w:p>
    <w:p w14:paraId="652A1EED">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3</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设计交底和图纸会审会议纪要；</w:t>
      </w:r>
    </w:p>
    <w:p w14:paraId="28DAA2A4">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4</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施工组织设计、（专项）施工方案、施工进度计划报审文件资料；</w:t>
      </w:r>
    </w:p>
    <w:p w14:paraId="2A4A8FA4">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5</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分包单位资格报审文件资料；</w:t>
      </w:r>
    </w:p>
    <w:p w14:paraId="1C6E688F">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6</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施工控制测量成果报验文件资料；</w:t>
      </w:r>
    </w:p>
    <w:p w14:paraId="19665779">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7</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总监理工程师任命书、工程开工令、暂停令、复工令、开工或复工报审文件资料；</w:t>
      </w:r>
    </w:p>
    <w:p w14:paraId="5F9E23C5">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8</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工程材料、设备、构配件报验文件资料；</w:t>
      </w:r>
    </w:p>
    <w:p w14:paraId="44EDC6DD">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9</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见证取样和平行检验文件资料；</w:t>
      </w:r>
    </w:p>
    <w:p w14:paraId="031C8575">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10</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工程质量检查报验资料及工程有关验收资料；</w:t>
      </w:r>
    </w:p>
    <w:p w14:paraId="0C3FC3A3">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11</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工程变更、费用索赔及工程延期文件资料；</w:t>
      </w:r>
    </w:p>
    <w:p w14:paraId="7375B3AE">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12</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工程计量、工程款支付文件资料；</w:t>
      </w:r>
    </w:p>
    <w:p w14:paraId="320DF6B5">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13</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监理通知单、工作联系单与监理报告；</w:t>
      </w:r>
    </w:p>
    <w:p w14:paraId="6C758594">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14</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第一次工地会议、监理例会、专题会议等会议纪要；</w:t>
      </w:r>
    </w:p>
    <w:p w14:paraId="09F90B6A">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15</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监理月报、监理日志、旁站记录；</w:t>
      </w:r>
    </w:p>
    <w:p w14:paraId="565A5448">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16</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工程质量或生产安全事故处理文件资料；</w:t>
      </w:r>
    </w:p>
    <w:p w14:paraId="1123D740">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17</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工程质量评估报告及竣工验收监理文件资料；</w:t>
      </w:r>
    </w:p>
    <w:p w14:paraId="400F3D07">
      <w:pPr>
        <w:autoSpaceDE/>
        <w:autoSpaceDN/>
        <w:adjustRightInd/>
        <w:spacing w:line="360" w:lineRule="auto"/>
        <w:ind w:firstLine="480" w:firstLineChars="200"/>
        <w:jc w:val="both"/>
        <w:rPr>
          <w:rFonts w:ascii="宋体" w:hAnsi="宋体" w:cs="宋体"/>
          <w:color w:val="auto"/>
          <w:kern w:val="2"/>
          <w:highlight w:val="none"/>
          <w:u w:val="single"/>
        </w:rPr>
      </w:pP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lang w:val="en-US" w:eastAsia="zh-CN"/>
        </w:rPr>
        <w:t>18</w:t>
      </w:r>
      <w:r>
        <w:rPr>
          <w:rFonts w:hint="eastAsia" w:ascii="宋体" w:hAnsi="宋体" w:cs="宋体"/>
          <w:color w:val="auto"/>
          <w:kern w:val="2"/>
          <w:highlight w:val="none"/>
          <w:u w:val="single"/>
          <w:lang w:eastAsia="zh-CN"/>
        </w:rPr>
        <w:t>）</w:t>
      </w:r>
      <w:r>
        <w:rPr>
          <w:rFonts w:hint="eastAsia" w:ascii="宋体" w:hAnsi="宋体" w:cs="宋体"/>
          <w:color w:val="auto"/>
          <w:kern w:val="2"/>
          <w:highlight w:val="none"/>
          <w:u w:val="single"/>
        </w:rPr>
        <w:t>监理工作总结。</w:t>
      </w:r>
    </w:p>
    <w:p w14:paraId="26973E26">
      <w:pPr>
        <w:autoSpaceDE/>
        <w:autoSpaceDN/>
        <w:adjustRightInd/>
        <w:spacing w:line="360" w:lineRule="auto"/>
        <w:ind w:firstLine="480" w:firstLineChars="200"/>
        <w:jc w:val="both"/>
        <w:rPr>
          <w:rFonts w:ascii="宋体" w:hAnsi="宋体" w:cs="宋体"/>
          <w:color w:val="auto"/>
          <w:kern w:val="2"/>
          <w:highlight w:val="none"/>
        </w:rPr>
      </w:pPr>
      <w:r>
        <w:rPr>
          <w:rFonts w:hint="default" w:cs="宋体"/>
          <w:color w:val="auto"/>
          <w:sz w:val="24"/>
          <w:szCs w:val="24"/>
          <w:highlight w:val="none"/>
        </w:rPr>
        <w:t>2.  成果文件的深度</w:t>
      </w:r>
      <w:r>
        <w:rPr>
          <w:rFonts w:hint="eastAsia" w:cs="宋体"/>
          <w:color w:val="auto"/>
          <w:sz w:val="24"/>
          <w:szCs w:val="24"/>
          <w:highlight w:val="none"/>
          <w:lang w:eastAsia="zh-CN"/>
        </w:rPr>
        <w:t>：</w:t>
      </w:r>
      <w:r>
        <w:rPr>
          <w:rFonts w:hint="eastAsia" w:ascii="宋体" w:hAnsi="宋体" w:cs="宋体"/>
          <w:color w:val="auto"/>
          <w:kern w:val="2"/>
          <w:highlight w:val="none"/>
          <w:u w:val="single"/>
        </w:rPr>
        <w:t>满足本项目监理服务要求。</w:t>
      </w:r>
    </w:p>
    <w:p w14:paraId="206422F8">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color w:val="auto"/>
          <w:sz w:val="24"/>
          <w:szCs w:val="24"/>
          <w:highlight w:val="none"/>
          <w:lang w:eastAsia="zh-CN"/>
        </w:rPr>
      </w:pPr>
      <w:r>
        <w:rPr>
          <w:rFonts w:hint="default" w:cs="宋体"/>
          <w:color w:val="auto"/>
          <w:sz w:val="24"/>
          <w:szCs w:val="24"/>
          <w:highlight w:val="none"/>
        </w:rPr>
        <w:t>3. 成果文件的格式要求</w:t>
      </w:r>
      <w:r>
        <w:rPr>
          <w:rFonts w:hint="eastAsia" w:cs="宋体"/>
          <w:color w:val="auto"/>
          <w:sz w:val="24"/>
          <w:szCs w:val="24"/>
          <w:highlight w:val="none"/>
          <w:lang w:eastAsia="zh-CN"/>
        </w:rPr>
        <w:t>：</w:t>
      </w:r>
      <w:r>
        <w:rPr>
          <w:rFonts w:hint="eastAsia" w:ascii="宋体" w:hAnsi="宋体" w:cs="宋体"/>
          <w:color w:val="auto"/>
          <w:kern w:val="2"/>
          <w:highlight w:val="none"/>
          <w:u w:val="single"/>
        </w:rPr>
        <w:t>满足本项目监理服务要求。</w:t>
      </w:r>
    </w:p>
    <w:p w14:paraId="0F579738">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color w:val="auto"/>
          <w:sz w:val="24"/>
          <w:szCs w:val="24"/>
          <w:highlight w:val="none"/>
          <w:lang w:eastAsia="zh-CN"/>
        </w:rPr>
      </w:pPr>
      <w:r>
        <w:rPr>
          <w:rFonts w:hint="default" w:cs="宋体"/>
          <w:color w:val="auto"/>
          <w:sz w:val="24"/>
          <w:szCs w:val="24"/>
          <w:highlight w:val="none"/>
        </w:rPr>
        <w:t>4. 成果文件的份数要求</w:t>
      </w:r>
      <w:r>
        <w:rPr>
          <w:rFonts w:hint="eastAsia" w:cs="宋体"/>
          <w:color w:val="auto"/>
          <w:sz w:val="24"/>
          <w:szCs w:val="24"/>
          <w:highlight w:val="none"/>
          <w:lang w:eastAsia="zh-CN"/>
        </w:rPr>
        <w:t>：</w:t>
      </w:r>
      <w:r>
        <w:rPr>
          <w:rFonts w:hint="eastAsia" w:ascii="宋体" w:hAnsi="宋体" w:cs="宋体"/>
          <w:color w:val="auto"/>
          <w:kern w:val="2"/>
          <w:highlight w:val="none"/>
          <w:u w:val="single"/>
        </w:rPr>
        <w:t>一式六份</w:t>
      </w:r>
    </w:p>
    <w:p w14:paraId="47E55794">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cs="宋体"/>
          <w:color w:val="auto"/>
          <w:sz w:val="24"/>
          <w:szCs w:val="24"/>
          <w:highlight w:val="none"/>
        </w:rPr>
      </w:pPr>
      <w:r>
        <w:rPr>
          <w:rFonts w:hint="default" w:cs="宋体"/>
          <w:color w:val="auto"/>
          <w:sz w:val="24"/>
          <w:szCs w:val="24"/>
          <w:highlight w:val="none"/>
        </w:rPr>
        <w:t>5. 成果文件的载体要求</w:t>
      </w:r>
    </w:p>
    <w:p w14:paraId="59745956">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cs="宋体"/>
          <w:color w:val="auto"/>
          <w:sz w:val="24"/>
          <w:szCs w:val="24"/>
          <w:highlight w:val="none"/>
        </w:rPr>
      </w:pPr>
      <w:r>
        <w:rPr>
          <w:rFonts w:hint="default" w:cs="宋体"/>
          <w:color w:val="auto"/>
          <w:sz w:val="24"/>
          <w:szCs w:val="24"/>
          <w:highlight w:val="none"/>
        </w:rPr>
        <w:t>（1）纸质版的要求</w:t>
      </w:r>
      <w:r>
        <w:rPr>
          <w:rFonts w:hint="eastAsia" w:cs="宋体"/>
          <w:color w:val="auto"/>
          <w:sz w:val="24"/>
          <w:szCs w:val="24"/>
          <w:highlight w:val="none"/>
          <w:lang w:eastAsia="zh-CN"/>
        </w:rPr>
        <w:t>：</w:t>
      </w:r>
      <w:r>
        <w:rPr>
          <w:rFonts w:hint="default" w:cs="宋体"/>
          <w:color w:val="auto"/>
          <w:sz w:val="24"/>
          <w:szCs w:val="24"/>
          <w:highlight w:val="none"/>
        </w:rPr>
        <w:t xml:space="preserve"> 一式六份；</w:t>
      </w:r>
    </w:p>
    <w:p w14:paraId="01A4F378">
      <w:pPr>
        <w:autoSpaceDE/>
        <w:autoSpaceDN/>
        <w:adjustRightInd/>
        <w:spacing w:line="360" w:lineRule="auto"/>
        <w:ind w:firstLine="480" w:firstLineChars="200"/>
        <w:jc w:val="both"/>
        <w:rPr>
          <w:rFonts w:hint="eastAsia" w:eastAsia="宋体" w:cs="宋体"/>
          <w:color w:val="auto"/>
          <w:sz w:val="24"/>
          <w:szCs w:val="24"/>
          <w:highlight w:val="none"/>
          <w:lang w:eastAsia="zh-CN"/>
        </w:rPr>
      </w:pPr>
      <w:r>
        <w:rPr>
          <w:rFonts w:hint="default" w:cs="宋体"/>
          <w:color w:val="auto"/>
          <w:sz w:val="24"/>
          <w:szCs w:val="24"/>
          <w:highlight w:val="none"/>
        </w:rPr>
        <w:t>（2）电子版的要求</w:t>
      </w:r>
      <w:r>
        <w:rPr>
          <w:rFonts w:hint="eastAsia" w:cs="宋体"/>
          <w:color w:val="auto"/>
          <w:sz w:val="24"/>
          <w:szCs w:val="24"/>
          <w:highlight w:val="none"/>
          <w:lang w:eastAsia="zh-CN"/>
        </w:rPr>
        <w:t>：</w:t>
      </w:r>
      <w:r>
        <w:rPr>
          <w:rFonts w:hint="eastAsia" w:ascii="宋体" w:hAnsi="宋体" w:cs="宋体"/>
          <w:color w:val="auto"/>
          <w:kern w:val="2"/>
          <w:highlight w:val="none"/>
          <w:u w:val="single"/>
        </w:rPr>
        <w:t xml:space="preserve"> 与纸质版一致的电子版文件</w:t>
      </w:r>
    </w:p>
    <w:p w14:paraId="4C05740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color w:val="auto"/>
          <w:sz w:val="24"/>
          <w:szCs w:val="24"/>
          <w:highlight w:val="none"/>
          <w:lang w:eastAsia="zh-CN"/>
        </w:rPr>
      </w:pPr>
      <w:r>
        <w:rPr>
          <w:rFonts w:hint="default" w:cs="宋体"/>
          <w:color w:val="auto"/>
          <w:sz w:val="24"/>
          <w:szCs w:val="24"/>
          <w:highlight w:val="none"/>
        </w:rPr>
        <w:t>（3）其他要求</w:t>
      </w:r>
      <w:r>
        <w:rPr>
          <w:rFonts w:hint="eastAsia" w:cs="宋体"/>
          <w:color w:val="auto"/>
          <w:sz w:val="24"/>
          <w:szCs w:val="24"/>
          <w:highlight w:val="none"/>
          <w:lang w:eastAsia="zh-CN"/>
        </w:rPr>
        <w:t>：无</w:t>
      </w:r>
    </w:p>
    <w:p w14:paraId="3851E254">
      <w:pPr>
        <w:kinsoku w:val="0"/>
        <w:overflowPunct w:val="0"/>
        <w:spacing w:beforeAutospacing="1" w:afterAutospacing="1" w:line="360" w:lineRule="auto"/>
        <w:ind w:firstLine="480" w:firstLineChars="200"/>
        <w:jc w:val="both"/>
        <w:rPr>
          <w:rFonts w:ascii="宋体" w:hAnsi="宋体" w:cs="宋体"/>
          <w:color w:val="auto"/>
          <w:highlight w:val="none"/>
          <w:u w:val="single"/>
          <w:lang w:bidi="ar"/>
        </w:rPr>
      </w:pPr>
      <w:bookmarkStart w:id="39" w:name="_Toc1573"/>
      <w:r>
        <w:rPr>
          <w:rFonts w:hint="default" w:cs="宋体"/>
          <w:color w:val="auto"/>
          <w:sz w:val="24"/>
          <w:szCs w:val="24"/>
          <w:highlight w:val="none"/>
        </w:rPr>
        <w:t>6. 成果文件的其他要求</w:t>
      </w:r>
      <w:bookmarkEnd w:id="39"/>
      <w:r>
        <w:rPr>
          <w:rFonts w:hint="eastAsia" w:cs="宋体"/>
          <w:color w:val="auto"/>
          <w:sz w:val="24"/>
          <w:szCs w:val="24"/>
          <w:highlight w:val="none"/>
          <w:lang w:eastAsia="zh-CN"/>
        </w:rPr>
        <w:t>：</w:t>
      </w:r>
      <w:r>
        <w:rPr>
          <w:rFonts w:hint="eastAsia" w:ascii="宋体" w:hAnsi="宋体" w:cs="宋体"/>
          <w:color w:val="auto"/>
          <w:kern w:val="2"/>
          <w:highlight w:val="none"/>
          <w:u w:val="single"/>
        </w:rPr>
        <w:t>满足本项目监理服务要求</w:t>
      </w:r>
    </w:p>
    <w:p w14:paraId="4686713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color w:val="auto"/>
          <w:sz w:val="24"/>
          <w:szCs w:val="24"/>
          <w:highlight w:val="none"/>
          <w:lang w:eastAsia="zh-CN"/>
        </w:rPr>
      </w:pPr>
    </w:p>
    <w:p w14:paraId="0CFBC611">
      <w:pPr>
        <w:pStyle w:val="4"/>
        <w:outlineLvl w:val="1"/>
        <w:rPr>
          <w:rFonts w:hint="default"/>
          <w:color w:val="auto"/>
          <w:sz w:val="24"/>
          <w:szCs w:val="24"/>
          <w:highlight w:val="none"/>
        </w:rPr>
      </w:pPr>
      <w:bookmarkStart w:id="40" w:name="_Toc10447"/>
      <w:r>
        <w:rPr>
          <w:rFonts w:hint="default"/>
          <w:color w:val="auto"/>
          <w:sz w:val="24"/>
          <w:szCs w:val="24"/>
          <w:highlight w:val="none"/>
        </w:rPr>
        <w:t>四、委托人财产清单</w:t>
      </w:r>
      <w:bookmarkEnd w:id="40"/>
    </w:p>
    <w:p w14:paraId="5FEC61B5">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cs="宋体"/>
          <w:color w:val="auto"/>
          <w:sz w:val="24"/>
          <w:szCs w:val="24"/>
          <w:highlight w:val="none"/>
          <w:lang w:eastAsia="zh-CN"/>
        </w:rPr>
      </w:pPr>
      <w:r>
        <w:rPr>
          <w:rFonts w:hint="default" w:cs="宋体"/>
          <w:color w:val="auto"/>
          <w:sz w:val="24"/>
          <w:szCs w:val="24"/>
          <w:highlight w:val="none"/>
        </w:rPr>
        <w:t>（一）委托人提供的设备、设施</w:t>
      </w:r>
      <w:r>
        <w:rPr>
          <w:rFonts w:hint="default" w:cs="宋体"/>
          <w:color w:val="auto"/>
          <w:sz w:val="24"/>
          <w:szCs w:val="24"/>
          <w:highlight w:val="none"/>
          <w:lang w:eastAsia="zh-CN"/>
        </w:rPr>
        <w:t>（若有）</w:t>
      </w:r>
    </w:p>
    <w:p w14:paraId="6DAB007D">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lang w:bidi="ar"/>
        </w:rPr>
        <w:t>1. 委托人提供的办公房屋及冷暖设施：</w:t>
      </w:r>
      <w:r>
        <w:rPr>
          <w:rFonts w:hint="eastAsia" w:ascii="宋体" w:hAnsi="宋体" w:cs="宋体"/>
          <w:color w:val="auto"/>
          <w:highlight w:val="none"/>
          <w:u w:val="single"/>
          <w:lang w:bidi="ar"/>
        </w:rPr>
        <w:t>根据项目实际情况需求提供。</w:t>
      </w:r>
    </w:p>
    <w:p w14:paraId="3BC24A27">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lang w:bidi="ar"/>
        </w:rPr>
        <w:t>2. 委托人提供的设备清单：</w:t>
      </w:r>
      <w:r>
        <w:rPr>
          <w:rFonts w:hint="eastAsia" w:ascii="宋体" w:hAnsi="宋体" w:cs="宋体"/>
          <w:color w:val="auto"/>
          <w:highlight w:val="none"/>
          <w:u w:val="single"/>
          <w:lang w:bidi="ar"/>
        </w:rPr>
        <w:t>无。</w:t>
      </w:r>
    </w:p>
    <w:p w14:paraId="2C3690EF">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lang w:bidi="ar"/>
        </w:rPr>
        <w:t>3. 委托人提供的设施清单：</w:t>
      </w:r>
      <w:r>
        <w:rPr>
          <w:rFonts w:hint="eastAsia" w:ascii="宋体" w:hAnsi="宋体" w:cs="宋体"/>
          <w:color w:val="auto"/>
          <w:highlight w:val="none"/>
          <w:u w:val="single"/>
          <w:lang w:bidi="ar"/>
        </w:rPr>
        <w:t>无。</w:t>
      </w:r>
    </w:p>
    <w:p w14:paraId="20E1910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cs="宋体"/>
          <w:color w:val="auto"/>
          <w:sz w:val="24"/>
          <w:szCs w:val="24"/>
          <w:highlight w:val="none"/>
        </w:rPr>
      </w:pPr>
      <w:r>
        <w:rPr>
          <w:rFonts w:hint="default" w:cs="宋体"/>
          <w:color w:val="auto"/>
          <w:sz w:val="24"/>
          <w:szCs w:val="24"/>
          <w:highlight w:val="none"/>
        </w:rPr>
        <w:t>（二）委托人提供的资料</w:t>
      </w:r>
    </w:p>
    <w:p w14:paraId="2B67E7D0">
      <w:pPr>
        <w:spacing w:line="360" w:lineRule="auto"/>
        <w:ind w:firstLine="480" w:firstLineChars="200"/>
        <w:rPr>
          <w:rFonts w:hint="eastAsia" w:ascii="宋体" w:hAnsi="宋体" w:eastAsia="宋体"/>
          <w:color w:val="auto"/>
          <w:kern w:val="2"/>
          <w:highlight w:val="none"/>
          <w:u w:val="single"/>
          <w:lang w:val="en-US" w:eastAsia="zh-CN"/>
        </w:rPr>
      </w:pPr>
      <w:r>
        <w:rPr>
          <w:rFonts w:hint="eastAsia" w:ascii="宋体" w:hAnsi="宋体" w:cs="宋体"/>
          <w:color w:val="auto"/>
          <w:highlight w:val="none"/>
          <w:u w:val="single"/>
          <w:lang w:bidi="ar"/>
        </w:rPr>
        <w:t>1. 施工场地及毗邻区域内的供水、排水、供电、供气、供热、通信、广播电视等地下管线资料、气象和水文观测资料，相邻建筑物和构筑物、地下工程的有关资料，以及其他与建设工程有关的原始资料</w:t>
      </w:r>
      <w:r>
        <w:rPr>
          <w:rFonts w:hint="eastAsia" w:ascii="宋体" w:hAnsi="宋体" w:cs="宋体"/>
          <w:color w:val="auto"/>
          <w:highlight w:val="none"/>
          <w:u w:val="single"/>
          <w:lang w:eastAsia="zh-CN" w:bidi="ar"/>
        </w:rPr>
        <w:t>。</w:t>
      </w:r>
    </w:p>
    <w:p w14:paraId="4275865D">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u w:val="single"/>
          <w:lang w:bidi="ar"/>
        </w:rPr>
        <w:t>2. 定位放线的基准点、基准线和基准标高</w:t>
      </w:r>
    </w:p>
    <w:p w14:paraId="4D5FEFB5">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u w:val="single"/>
          <w:lang w:bidi="ar"/>
        </w:rPr>
        <w:t>3. 委托人取得的有关审批、核准和备案材料</w:t>
      </w:r>
    </w:p>
    <w:p w14:paraId="46D998D9">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u w:val="single"/>
          <w:lang w:bidi="ar"/>
        </w:rPr>
        <w:t>4. 勘察文件、设计文件等资料</w:t>
      </w:r>
    </w:p>
    <w:p w14:paraId="29F485B5">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u w:val="single"/>
          <w:lang w:bidi="ar"/>
        </w:rPr>
        <w:t>5. 技术标准、规范</w:t>
      </w:r>
    </w:p>
    <w:p w14:paraId="1F589800">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u w:val="single"/>
          <w:lang w:bidi="ar"/>
        </w:rPr>
        <w:t>6. 工程承包合同及其他相关合同</w:t>
      </w:r>
    </w:p>
    <w:p w14:paraId="07B1D675">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u w:val="single"/>
          <w:lang w:bidi="ar"/>
        </w:rPr>
        <w:t>7. 其他资料</w:t>
      </w:r>
    </w:p>
    <w:p w14:paraId="671641BB">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cs="宋体"/>
          <w:color w:val="auto"/>
          <w:sz w:val="24"/>
          <w:szCs w:val="24"/>
          <w:highlight w:val="none"/>
        </w:rPr>
      </w:pPr>
      <w:r>
        <w:rPr>
          <w:rFonts w:hint="default" w:cs="宋体"/>
          <w:color w:val="auto"/>
          <w:sz w:val="24"/>
          <w:szCs w:val="24"/>
          <w:highlight w:val="none"/>
        </w:rPr>
        <w:t>（三）委托人财产使用要求及退还要求</w:t>
      </w:r>
      <w:r>
        <w:rPr>
          <w:rFonts w:hint="default" w:cs="宋体"/>
          <w:color w:val="auto"/>
          <w:sz w:val="24"/>
          <w:szCs w:val="24"/>
          <w:highlight w:val="none"/>
          <w:lang w:eastAsia="zh-CN"/>
        </w:rPr>
        <w:t>（若有）</w:t>
      </w:r>
    </w:p>
    <w:p w14:paraId="360E3E54">
      <w:pPr>
        <w:spacing w:line="360" w:lineRule="auto"/>
        <w:ind w:firstLine="480" w:firstLineChars="200"/>
        <w:rPr>
          <w:color w:val="auto"/>
          <w:kern w:val="2"/>
          <w:highlight w:val="none"/>
        </w:rPr>
      </w:pPr>
      <w:bookmarkStart w:id="41" w:name="_Toc14720"/>
      <w:r>
        <w:rPr>
          <w:color w:val="auto"/>
          <w:highlight w:val="none"/>
          <w:lang w:bidi="ar"/>
        </w:rPr>
        <w:t xml:space="preserve">1. </w:t>
      </w:r>
      <w:r>
        <w:rPr>
          <w:rFonts w:hint="eastAsia" w:ascii="宋体" w:hAnsi="宋体" w:cs="宋体"/>
          <w:color w:val="auto"/>
          <w:highlight w:val="none"/>
          <w:lang w:bidi="ar"/>
        </w:rPr>
        <w:t>委托人财产使用要求：</w:t>
      </w:r>
      <w:r>
        <w:rPr>
          <w:rFonts w:hint="eastAsia" w:ascii="宋体" w:hAnsi="宋体" w:cs="宋体"/>
          <w:color w:val="auto"/>
          <w:highlight w:val="none"/>
          <w:u w:val="single"/>
          <w:lang w:bidi="ar"/>
        </w:rPr>
        <w:t>监理人对委托人财产保存完好，避免有损坏或丢失等情况发生；</w:t>
      </w:r>
    </w:p>
    <w:p w14:paraId="432C9BB1">
      <w:pPr>
        <w:spacing w:line="360" w:lineRule="auto"/>
        <w:ind w:firstLine="480" w:firstLineChars="200"/>
        <w:rPr>
          <w:color w:val="auto"/>
          <w:kern w:val="2"/>
          <w:highlight w:val="none"/>
        </w:rPr>
      </w:pPr>
      <w:r>
        <w:rPr>
          <w:color w:val="auto"/>
          <w:highlight w:val="none"/>
          <w:lang w:bidi="ar"/>
        </w:rPr>
        <w:t xml:space="preserve">2. </w:t>
      </w:r>
      <w:r>
        <w:rPr>
          <w:rFonts w:hint="eastAsia" w:ascii="宋体" w:hAnsi="宋体" w:cs="宋体"/>
          <w:color w:val="auto"/>
          <w:highlight w:val="none"/>
          <w:lang w:bidi="ar"/>
        </w:rPr>
        <w:t>委托人财产退还要求：</w:t>
      </w:r>
      <w:r>
        <w:rPr>
          <w:rFonts w:hint="eastAsia" w:ascii="宋体" w:hAnsi="宋体" w:cs="宋体"/>
          <w:color w:val="auto"/>
          <w:highlight w:val="none"/>
          <w:u w:val="single"/>
          <w:lang w:bidi="ar"/>
        </w:rPr>
        <w:t>工程完工后监理人将委托人财产全数完好地退还给委托人。</w:t>
      </w:r>
    </w:p>
    <w:p w14:paraId="515C7D4E">
      <w:pPr>
        <w:pStyle w:val="4"/>
        <w:outlineLvl w:val="1"/>
        <w:rPr>
          <w:rFonts w:hint="default"/>
          <w:color w:val="auto"/>
          <w:sz w:val="24"/>
          <w:szCs w:val="24"/>
          <w:highlight w:val="none"/>
        </w:rPr>
      </w:pPr>
      <w:r>
        <w:rPr>
          <w:rFonts w:hint="default"/>
          <w:color w:val="auto"/>
          <w:sz w:val="24"/>
          <w:szCs w:val="24"/>
          <w:highlight w:val="none"/>
        </w:rPr>
        <w:t>五、委托人提供的便利条件</w:t>
      </w:r>
      <w:bookmarkEnd w:id="41"/>
    </w:p>
    <w:p w14:paraId="15C24185">
      <w:pPr>
        <w:spacing w:line="360" w:lineRule="auto"/>
        <w:ind w:firstLine="480" w:firstLineChars="200"/>
        <w:rPr>
          <w:rFonts w:ascii="宋体" w:hAnsi="宋体"/>
          <w:color w:val="auto"/>
          <w:kern w:val="2"/>
          <w:highlight w:val="none"/>
          <w:u w:val="single"/>
        </w:rPr>
      </w:pPr>
      <w:bookmarkStart w:id="42" w:name="_Toc8350"/>
      <w:r>
        <w:rPr>
          <w:rFonts w:hint="eastAsia" w:ascii="宋体" w:hAnsi="宋体" w:cs="宋体"/>
          <w:color w:val="auto"/>
          <w:highlight w:val="none"/>
          <w:lang w:bidi="ar"/>
        </w:rPr>
        <w:t>1. 委托人提供的生活条件：</w:t>
      </w:r>
      <w:r>
        <w:rPr>
          <w:rFonts w:hint="eastAsia" w:ascii="宋体" w:hAnsi="宋体" w:cs="宋体"/>
          <w:color w:val="auto"/>
          <w:highlight w:val="none"/>
          <w:u w:val="single"/>
          <w:lang w:bidi="ar"/>
        </w:rPr>
        <w:t>根据项目实际情况需求提供。</w:t>
      </w:r>
    </w:p>
    <w:p w14:paraId="39D7E926">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lang w:bidi="ar"/>
        </w:rPr>
        <w:t>2. 委托人提供的交通条件：</w:t>
      </w:r>
      <w:r>
        <w:rPr>
          <w:rFonts w:hint="eastAsia" w:ascii="宋体" w:hAnsi="宋体" w:cs="宋体"/>
          <w:color w:val="auto"/>
          <w:highlight w:val="none"/>
          <w:u w:val="single"/>
          <w:lang w:bidi="ar"/>
        </w:rPr>
        <w:t>无</w:t>
      </w:r>
    </w:p>
    <w:p w14:paraId="466F5A6C">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lang w:bidi="ar"/>
        </w:rPr>
        <w:t>3. 委托人提供的网络、通讯条件：</w:t>
      </w:r>
      <w:r>
        <w:rPr>
          <w:rFonts w:hint="eastAsia" w:ascii="宋体" w:hAnsi="宋体" w:cs="宋体"/>
          <w:color w:val="auto"/>
          <w:highlight w:val="none"/>
          <w:u w:val="single"/>
          <w:lang w:bidi="ar"/>
        </w:rPr>
        <w:t>无</w:t>
      </w:r>
    </w:p>
    <w:p w14:paraId="7ED5F0ED">
      <w:pPr>
        <w:spacing w:line="360" w:lineRule="auto"/>
        <w:ind w:firstLine="480" w:firstLineChars="200"/>
        <w:rPr>
          <w:rFonts w:ascii="宋体" w:hAnsi="宋体"/>
          <w:color w:val="auto"/>
          <w:kern w:val="2"/>
          <w:highlight w:val="none"/>
          <w:u w:val="single"/>
        </w:rPr>
      </w:pPr>
      <w:r>
        <w:rPr>
          <w:rFonts w:hint="eastAsia" w:ascii="宋体" w:hAnsi="宋体" w:cs="宋体"/>
          <w:color w:val="auto"/>
          <w:highlight w:val="none"/>
          <w:lang w:bidi="ar"/>
        </w:rPr>
        <w:t>4. 委托人提供的协助人员：</w:t>
      </w:r>
      <w:r>
        <w:rPr>
          <w:rFonts w:hint="eastAsia" w:ascii="宋体" w:hAnsi="宋体" w:cs="宋体"/>
          <w:color w:val="auto"/>
          <w:highlight w:val="none"/>
          <w:u w:val="single"/>
          <w:lang w:bidi="ar"/>
        </w:rPr>
        <w:t>无</w:t>
      </w:r>
    </w:p>
    <w:p w14:paraId="08A0E197">
      <w:pPr>
        <w:pStyle w:val="4"/>
        <w:outlineLvl w:val="1"/>
        <w:rPr>
          <w:rFonts w:hint="default"/>
          <w:color w:val="auto"/>
          <w:sz w:val="24"/>
          <w:szCs w:val="24"/>
          <w:highlight w:val="none"/>
        </w:rPr>
      </w:pPr>
      <w:r>
        <w:rPr>
          <w:rFonts w:hint="default"/>
          <w:color w:val="auto"/>
          <w:sz w:val="24"/>
          <w:szCs w:val="24"/>
          <w:highlight w:val="none"/>
        </w:rPr>
        <w:t>六、监理人需要自备的工作条件</w:t>
      </w:r>
      <w:bookmarkEnd w:id="42"/>
    </w:p>
    <w:p w14:paraId="2E469C02">
      <w:pPr>
        <w:spacing w:line="360" w:lineRule="auto"/>
        <w:ind w:firstLine="480" w:firstLineChars="200"/>
        <w:rPr>
          <w:color w:val="auto"/>
          <w:kern w:val="2"/>
          <w:highlight w:val="none"/>
        </w:rPr>
      </w:pPr>
      <w:r>
        <w:rPr>
          <w:color w:val="auto"/>
          <w:highlight w:val="none"/>
          <w:lang w:bidi="ar"/>
        </w:rPr>
        <w:t xml:space="preserve">1. </w:t>
      </w:r>
      <w:r>
        <w:rPr>
          <w:rFonts w:hint="eastAsia" w:ascii="宋体" w:hAnsi="宋体" w:cs="宋体"/>
          <w:color w:val="auto"/>
          <w:highlight w:val="none"/>
          <w:lang w:bidi="ar"/>
        </w:rPr>
        <w:t>监理人自备的工作手册：</w:t>
      </w:r>
      <w:r>
        <w:rPr>
          <w:rFonts w:hint="eastAsia" w:ascii="宋体" w:hAnsi="宋体" w:cs="宋体"/>
          <w:color w:val="auto"/>
          <w:highlight w:val="none"/>
          <w:u w:val="single"/>
          <w:lang w:bidi="ar"/>
        </w:rPr>
        <w:t>本项目必备的规范标准、图集等。</w:t>
      </w:r>
    </w:p>
    <w:p w14:paraId="2C49D32E">
      <w:pPr>
        <w:spacing w:line="360" w:lineRule="auto"/>
        <w:ind w:firstLine="480" w:firstLineChars="200"/>
        <w:rPr>
          <w:color w:val="auto"/>
          <w:kern w:val="2"/>
          <w:highlight w:val="none"/>
        </w:rPr>
      </w:pPr>
      <w:r>
        <w:rPr>
          <w:color w:val="auto"/>
          <w:highlight w:val="none"/>
          <w:lang w:bidi="ar"/>
        </w:rPr>
        <w:t xml:space="preserve">2. </w:t>
      </w:r>
      <w:r>
        <w:rPr>
          <w:rFonts w:hint="eastAsia" w:ascii="宋体" w:hAnsi="宋体" w:cs="宋体"/>
          <w:color w:val="auto"/>
          <w:highlight w:val="none"/>
          <w:lang w:bidi="ar"/>
        </w:rPr>
        <w:t>监理人自备的办公设备：</w:t>
      </w:r>
      <w:r>
        <w:rPr>
          <w:rFonts w:hint="eastAsia" w:ascii="宋体" w:hAnsi="宋体" w:cs="宋体"/>
          <w:color w:val="auto"/>
          <w:highlight w:val="none"/>
          <w:u w:val="single"/>
          <w:lang w:bidi="ar"/>
        </w:rPr>
        <w:t>电脑、软件、投影、打印机、复印机、照相机等。</w:t>
      </w:r>
    </w:p>
    <w:p w14:paraId="0C51AF0D">
      <w:pPr>
        <w:spacing w:line="360" w:lineRule="auto"/>
        <w:ind w:firstLine="480" w:firstLineChars="200"/>
        <w:rPr>
          <w:color w:val="auto"/>
          <w:kern w:val="2"/>
          <w:highlight w:val="none"/>
        </w:rPr>
      </w:pPr>
      <w:r>
        <w:rPr>
          <w:color w:val="auto"/>
          <w:highlight w:val="none"/>
          <w:lang w:bidi="ar"/>
        </w:rPr>
        <w:t xml:space="preserve">3. </w:t>
      </w:r>
      <w:r>
        <w:rPr>
          <w:rFonts w:hint="eastAsia" w:ascii="宋体" w:hAnsi="宋体" w:cs="宋体"/>
          <w:color w:val="auto"/>
          <w:highlight w:val="none"/>
          <w:lang w:bidi="ar"/>
        </w:rPr>
        <w:t>监理人自备的交通工具：</w:t>
      </w:r>
      <w:r>
        <w:rPr>
          <w:rFonts w:hint="eastAsia" w:ascii="宋体" w:hAnsi="宋体" w:cs="宋体"/>
          <w:color w:val="auto"/>
          <w:highlight w:val="none"/>
          <w:u w:val="single"/>
          <w:lang w:bidi="ar"/>
        </w:rPr>
        <w:t>出行车辆等。</w:t>
      </w:r>
    </w:p>
    <w:p w14:paraId="60220A9A">
      <w:pPr>
        <w:spacing w:line="360" w:lineRule="auto"/>
        <w:ind w:firstLine="480" w:firstLineChars="200"/>
        <w:rPr>
          <w:color w:val="auto"/>
          <w:kern w:val="2"/>
          <w:highlight w:val="none"/>
        </w:rPr>
      </w:pPr>
      <w:r>
        <w:rPr>
          <w:color w:val="auto"/>
          <w:highlight w:val="none"/>
          <w:lang w:bidi="ar"/>
        </w:rPr>
        <w:t xml:space="preserve">4. </w:t>
      </w:r>
      <w:r>
        <w:rPr>
          <w:rFonts w:hint="eastAsia" w:ascii="宋体" w:hAnsi="宋体" w:cs="宋体"/>
          <w:color w:val="auto"/>
          <w:highlight w:val="none"/>
          <w:lang w:bidi="ar"/>
        </w:rPr>
        <w:t>监理人自备的现场办公设施：</w:t>
      </w:r>
      <w:r>
        <w:rPr>
          <w:rFonts w:hint="eastAsia" w:ascii="宋体" w:hAnsi="宋体" w:cs="宋体"/>
          <w:color w:val="auto"/>
          <w:highlight w:val="none"/>
          <w:u w:val="single"/>
          <w:lang w:bidi="ar"/>
        </w:rPr>
        <w:t>办公桌椅、文件柜等。</w:t>
      </w:r>
    </w:p>
    <w:p w14:paraId="4F093070">
      <w:pPr>
        <w:spacing w:line="360" w:lineRule="auto"/>
        <w:ind w:firstLine="480" w:firstLineChars="200"/>
        <w:rPr>
          <w:color w:val="auto"/>
          <w:kern w:val="2"/>
          <w:highlight w:val="none"/>
        </w:rPr>
      </w:pPr>
      <w:r>
        <w:rPr>
          <w:color w:val="auto"/>
          <w:highlight w:val="none"/>
          <w:lang w:bidi="ar"/>
        </w:rPr>
        <w:t xml:space="preserve">5. </w:t>
      </w:r>
      <w:r>
        <w:rPr>
          <w:rFonts w:hint="eastAsia" w:ascii="宋体" w:hAnsi="宋体" w:cs="宋体"/>
          <w:color w:val="auto"/>
          <w:highlight w:val="none"/>
          <w:lang w:bidi="ar"/>
        </w:rPr>
        <w:t>监理人自备的安全设施：</w:t>
      </w:r>
      <w:r>
        <w:rPr>
          <w:rFonts w:hint="eastAsia" w:ascii="宋体" w:hAnsi="宋体" w:cs="宋体"/>
          <w:color w:val="auto"/>
          <w:highlight w:val="none"/>
          <w:u w:val="single"/>
          <w:lang w:bidi="ar"/>
        </w:rPr>
        <w:t>安全帽、安全鞋、手电筒等。</w:t>
      </w:r>
    </w:p>
    <w:p w14:paraId="3B3811B3">
      <w:pPr>
        <w:spacing w:line="360" w:lineRule="auto"/>
        <w:ind w:firstLine="480" w:firstLineChars="200"/>
        <w:rPr>
          <w:color w:val="auto"/>
          <w:kern w:val="2"/>
          <w:highlight w:val="none"/>
        </w:rPr>
      </w:pPr>
      <w:r>
        <w:rPr>
          <w:color w:val="auto"/>
          <w:highlight w:val="none"/>
          <w:lang w:bidi="ar"/>
        </w:rPr>
        <w:t xml:space="preserve">6. </w:t>
      </w:r>
      <w:r>
        <w:rPr>
          <w:rFonts w:hint="eastAsia" w:ascii="宋体" w:hAnsi="宋体" w:cs="宋体"/>
          <w:color w:val="auto"/>
          <w:highlight w:val="none"/>
          <w:lang w:bidi="ar"/>
        </w:rPr>
        <w:t>监理人自备的试验检测仪器、设备、工具：</w:t>
      </w:r>
      <w:r>
        <w:rPr>
          <w:rFonts w:hint="eastAsia" w:ascii="宋体" w:hAnsi="宋体" w:cs="宋体"/>
          <w:color w:val="auto"/>
          <w:highlight w:val="none"/>
          <w:u w:val="single"/>
          <w:lang w:bidi="ar"/>
        </w:rPr>
        <w:t>满足本项目监理服务要求。</w:t>
      </w:r>
    </w:p>
    <w:p w14:paraId="6B38DC90">
      <w:pPr>
        <w:spacing w:line="360" w:lineRule="auto"/>
        <w:ind w:firstLine="480" w:firstLineChars="200"/>
        <w:rPr>
          <w:color w:val="auto"/>
          <w:kern w:val="2"/>
          <w:highlight w:val="none"/>
        </w:rPr>
      </w:pPr>
      <w:r>
        <w:rPr>
          <w:color w:val="auto"/>
          <w:highlight w:val="none"/>
          <w:lang w:bidi="ar"/>
        </w:rPr>
        <w:t xml:space="preserve">7. </w:t>
      </w:r>
      <w:r>
        <w:rPr>
          <w:rFonts w:hint="eastAsia" w:ascii="宋体" w:hAnsi="宋体" w:cs="宋体"/>
          <w:color w:val="auto"/>
          <w:highlight w:val="none"/>
          <w:lang w:bidi="ar"/>
        </w:rPr>
        <w:t>监理人自备的试验用房、样品用房：</w:t>
      </w:r>
      <w:r>
        <w:rPr>
          <w:rFonts w:hint="eastAsia" w:ascii="宋体" w:hAnsi="宋体" w:cs="宋体"/>
          <w:color w:val="auto"/>
          <w:highlight w:val="none"/>
          <w:u w:val="single"/>
          <w:lang w:bidi="ar"/>
        </w:rPr>
        <w:t>监理人根据现场实际情况自行准备。</w:t>
      </w:r>
    </w:p>
    <w:p w14:paraId="617B90FD">
      <w:pPr>
        <w:rPr>
          <w:rFonts w:hint="default"/>
          <w:color w:val="auto"/>
          <w:highlight w:val="none"/>
        </w:rPr>
      </w:pPr>
    </w:p>
    <w:p w14:paraId="3E7135C5">
      <w:pPr>
        <w:pStyle w:val="4"/>
        <w:outlineLvl w:val="1"/>
        <w:rPr>
          <w:rFonts w:hint="default"/>
          <w:color w:val="auto"/>
          <w:sz w:val="24"/>
          <w:szCs w:val="24"/>
          <w:highlight w:val="none"/>
        </w:rPr>
      </w:pPr>
      <w:r>
        <w:rPr>
          <w:rFonts w:hint="default"/>
          <w:color w:val="auto"/>
          <w:sz w:val="24"/>
          <w:szCs w:val="24"/>
          <w:highlight w:val="none"/>
        </w:rPr>
        <w:t>七、委托人的其他要求</w:t>
      </w:r>
    </w:p>
    <w:p w14:paraId="383758E4">
      <w:pPr>
        <w:kinsoku w:val="0"/>
        <w:overflowPunct w:val="0"/>
        <w:spacing w:before="8" w:afterAutospacing="1"/>
        <w:ind w:firstLine="400"/>
        <w:rPr>
          <w:rFonts w:ascii="Calibri" w:hAnsi="Calibri"/>
          <w:color w:val="auto"/>
          <w:kern w:val="2"/>
          <w:sz w:val="21"/>
          <w:szCs w:val="22"/>
          <w:highlight w:val="none"/>
        </w:rPr>
      </w:pPr>
      <w:r>
        <w:rPr>
          <w:rFonts w:hint="eastAsia" w:ascii="宋体" w:hAnsi="宋体" w:cs="宋体"/>
          <w:color w:val="auto"/>
          <w:highlight w:val="none"/>
          <w:lang w:bidi="ar"/>
        </w:rPr>
        <w:t>委托人的其他要求：</w:t>
      </w:r>
      <w:r>
        <w:rPr>
          <w:rFonts w:hint="eastAsia" w:ascii="宋体" w:hAnsi="宋体" w:cs="宋体"/>
          <w:color w:val="auto"/>
          <w:highlight w:val="none"/>
          <w:u w:val="single"/>
          <w:lang w:bidi="ar"/>
        </w:rPr>
        <w:t>其他要求详见监理合同</w:t>
      </w:r>
    </w:p>
    <w:p w14:paraId="425BA674">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cs="宋体"/>
          <w:color w:val="auto"/>
          <w:sz w:val="24"/>
          <w:szCs w:val="24"/>
          <w:highlight w:val="none"/>
        </w:rPr>
        <w:sectPr>
          <w:pgSz w:w="11905" w:h="16838"/>
          <w:pgMar w:top="1417" w:right="1417" w:bottom="1417" w:left="1417" w:header="992" w:footer="992" w:gutter="0"/>
          <w:lnNumType w:countBy="0" w:distance="360"/>
          <w:cols w:space="720" w:num="1"/>
        </w:sectPr>
      </w:pPr>
    </w:p>
    <w:p w14:paraId="29AE68C4">
      <w:pPr>
        <w:pStyle w:val="11"/>
        <w:kinsoku w:val="0"/>
        <w:overflowPunct w:val="0"/>
        <w:ind w:left="0"/>
        <w:rPr>
          <w:rFonts w:hint="eastAsia" w:ascii="Times New Roman" w:hAnsi="Times New Roman" w:eastAsia="Times New Roman"/>
          <w:color w:val="auto"/>
          <w:sz w:val="20"/>
          <w:szCs w:val="24"/>
          <w:highlight w:val="none"/>
        </w:rPr>
      </w:pPr>
    </w:p>
    <w:p w14:paraId="5047D48F">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color w:val="auto"/>
          <w:sz w:val="52"/>
          <w:szCs w:val="52"/>
          <w:highlight w:val="none"/>
        </w:rPr>
      </w:pPr>
      <w:bookmarkStart w:id="43" w:name="_Toc16291"/>
      <w:r>
        <w:rPr>
          <w:rFonts w:hint="eastAsia"/>
          <w:color w:val="auto"/>
          <w:sz w:val="52"/>
          <w:szCs w:val="52"/>
          <w:highlight w:val="none"/>
        </w:rPr>
        <w:t>第三卷</w:t>
      </w:r>
      <w:bookmarkEnd w:id="43"/>
    </w:p>
    <w:p w14:paraId="3757C1E1">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outlineLvl w:val="9"/>
        <w:rPr>
          <w:rFonts w:hint="eastAsia"/>
          <w:color w:val="auto"/>
          <w:sz w:val="52"/>
          <w:szCs w:val="52"/>
          <w:highlight w:val="none"/>
        </w:rPr>
        <w:sectPr>
          <w:pgSz w:w="11905" w:h="16838"/>
          <w:pgMar w:top="1417" w:right="1417" w:bottom="1417" w:left="1417" w:header="992" w:footer="992" w:gutter="0"/>
          <w:lnNumType w:countBy="0" w:distance="360"/>
          <w:cols w:space="720" w:num="1"/>
        </w:sectPr>
      </w:pPr>
    </w:p>
    <w:p w14:paraId="501D3A1B">
      <w:pPr>
        <w:pStyle w:val="3"/>
        <w:outlineLvl w:val="0"/>
        <w:rPr>
          <w:rFonts w:hint="default"/>
          <w:color w:val="auto"/>
          <w:sz w:val="44"/>
          <w:szCs w:val="24"/>
          <w:highlight w:val="none"/>
        </w:rPr>
      </w:pPr>
      <w:bookmarkStart w:id="44" w:name="_Toc19817"/>
      <w:r>
        <w:rPr>
          <w:rFonts w:hint="default"/>
          <w:color w:val="auto"/>
          <w:sz w:val="44"/>
          <w:szCs w:val="24"/>
          <w:highlight w:val="none"/>
        </w:rPr>
        <w:t>第六章</w:t>
      </w:r>
      <w:r>
        <w:rPr>
          <w:rFonts w:hint="default"/>
          <w:color w:val="auto"/>
          <w:sz w:val="44"/>
          <w:szCs w:val="24"/>
          <w:highlight w:val="none"/>
          <w:lang w:val="en-US" w:eastAsia="zh-CN"/>
        </w:rPr>
        <w:t xml:space="preserve"> </w:t>
      </w:r>
      <w:r>
        <w:rPr>
          <w:rFonts w:hint="default"/>
          <w:color w:val="auto"/>
          <w:sz w:val="44"/>
          <w:szCs w:val="24"/>
          <w:highlight w:val="none"/>
        </w:rPr>
        <w:t>投标文件格式</w:t>
      </w:r>
      <w:bookmarkEnd w:id="44"/>
    </w:p>
    <w:p w14:paraId="3B070709">
      <w:pPr>
        <w:pStyle w:val="3"/>
        <w:outlineLvl w:val="9"/>
        <w:rPr>
          <w:rFonts w:hint="default"/>
          <w:color w:val="auto"/>
          <w:sz w:val="30"/>
          <w:szCs w:val="24"/>
          <w:highlight w:val="none"/>
        </w:rPr>
        <w:sectPr>
          <w:pgSz w:w="11905" w:h="16838"/>
          <w:pgMar w:top="1417" w:right="1417" w:bottom="1417" w:left="1417" w:header="992" w:footer="992" w:gutter="0"/>
          <w:lnNumType w:countBy="0" w:distance="360"/>
          <w:cols w:space="720" w:num="1"/>
        </w:sectPr>
      </w:pPr>
    </w:p>
    <w:p w14:paraId="3BB82CA9">
      <w:pPr>
        <w:pStyle w:val="11"/>
        <w:kinsoku w:val="0"/>
        <w:overflowPunct w:val="0"/>
        <w:ind w:left="0"/>
        <w:rPr>
          <w:rFonts w:hint="eastAsia" w:ascii="Microsoft JhengHei" w:hAnsi="Microsoft JhengHei" w:eastAsia="Microsoft JhengHei"/>
          <w:b/>
          <w:color w:val="auto"/>
          <w:sz w:val="20"/>
          <w:szCs w:val="24"/>
          <w:highlight w:val="none"/>
        </w:rPr>
      </w:pPr>
    </w:p>
    <w:p w14:paraId="51C3C91A">
      <w:pPr>
        <w:pStyle w:val="11"/>
        <w:kinsoku w:val="0"/>
        <w:overflowPunct w:val="0"/>
        <w:ind w:left="0"/>
        <w:rPr>
          <w:rFonts w:hint="eastAsia" w:ascii="Microsoft JhengHei" w:hAnsi="Microsoft JhengHei" w:eastAsia="Microsoft JhengHei"/>
          <w:b/>
          <w:color w:val="auto"/>
          <w:sz w:val="20"/>
          <w:szCs w:val="24"/>
          <w:highlight w:val="none"/>
        </w:rPr>
      </w:pPr>
    </w:p>
    <w:p w14:paraId="22D48F08">
      <w:pPr>
        <w:pStyle w:val="11"/>
        <w:kinsoku w:val="0"/>
        <w:overflowPunct w:val="0"/>
        <w:spacing w:before="1"/>
        <w:ind w:left="0"/>
        <w:rPr>
          <w:rFonts w:hint="eastAsia" w:ascii="Microsoft JhengHei" w:hAnsi="Microsoft JhengHei" w:eastAsia="Microsoft JhengHei"/>
          <w:b/>
          <w:color w:val="auto"/>
          <w:sz w:val="22"/>
          <w:szCs w:val="24"/>
          <w:highlight w:val="none"/>
        </w:rPr>
      </w:pPr>
    </w:p>
    <w:p w14:paraId="26621744">
      <w:pPr>
        <w:jc w:val="center"/>
        <w:rPr>
          <w:rFonts w:hint="default" w:ascii="宋体" w:hAnsi="Times New Roman" w:eastAsia="宋体"/>
          <w:color w:val="auto"/>
          <w:sz w:val="36"/>
          <w:szCs w:val="24"/>
          <w:highlight w:val="none"/>
          <w:lang w:eastAsia="zh-CN"/>
        </w:rPr>
      </w:pPr>
      <w:r>
        <w:rPr>
          <w:rFonts w:hint="default"/>
          <w:color w:val="auto"/>
          <w:sz w:val="36"/>
          <w:szCs w:val="24"/>
          <w:highlight w:val="none"/>
          <w:u w:val="single"/>
          <w:lang w:val="en-US" w:eastAsia="zh-CN"/>
        </w:rPr>
        <w:t xml:space="preserve">                 </w:t>
      </w:r>
      <w:r>
        <w:rPr>
          <w:rFonts w:hint="default" w:ascii="宋体" w:hAnsi="Times New Roman" w:eastAsia="宋体"/>
          <w:color w:val="auto"/>
          <w:sz w:val="36"/>
          <w:szCs w:val="24"/>
          <w:highlight w:val="none"/>
          <w:u w:val="single"/>
        </w:rPr>
        <w:t>（项目名称）</w:t>
      </w:r>
      <w:r>
        <w:rPr>
          <w:rFonts w:hint="default" w:ascii="宋体" w:hAnsi="Times New Roman" w:eastAsia="宋体"/>
          <w:color w:val="auto"/>
          <w:sz w:val="36"/>
          <w:szCs w:val="24"/>
          <w:highlight w:val="none"/>
          <w:lang w:val="en-US" w:eastAsia="zh-CN"/>
        </w:rPr>
        <w:t xml:space="preserve"> </w:t>
      </w:r>
    </w:p>
    <w:p w14:paraId="199714AA">
      <w:pPr>
        <w:pStyle w:val="11"/>
        <w:kinsoku w:val="0"/>
        <w:overflowPunct w:val="0"/>
        <w:ind w:left="0"/>
        <w:rPr>
          <w:rFonts w:hint="default"/>
          <w:color w:val="auto"/>
          <w:sz w:val="20"/>
          <w:szCs w:val="24"/>
          <w:highlight w:val="none"/>
        </w:rPr>
      </w:pPr>
    </w:p>
    <w:p w14:paraId="3A305304">
      <w:pPr>
        <w:pStyle w:val="11"/>
        <w:kinsoku w:val="0"/>
        <w:overflowPunct w:val="0"/>
        <w:spacing w:before="9"/>
        <w:ind w:left="0"/>
        <w:rPr>
          <w:rFonts w:hint="default"/>
          <w:color w:val="auto"/>
          <w:sz w:val="15"/>
          <w:szCs w:val="24"/>
          <w:highlight w:val="none"/>
        </w:rPr>
      </w:pPr>
    </w:p>
    <w:p w14:paraId="42EB0938">
      <w:pPr>
        <w:pStyle w:val="11"/>
        <w:kinsoku w:val="0"/>
        <w:overflowPunct w:val="0"/>
        <w:spacing w:line="539" w:lineRule="exact"/>
        <w:ind w:left="3" w:right="1"/>
        <w:jc w:val="center"/>
        <w:rPr>
          <w:rFonts w:hint="default"/>
          <w:color w:val="auto"/>
          <w:sz w:val="44"/>
          <w:szCs w:val="24"/>
          <w:highlight w:val="none"/>
        </w:rPr>
      </w:pPr>
    </w:p>
    <w:p w14:paraId="7FFAFFE1">
      <w:pPr>
        <w:pStyle w:val="11"/>
        <w:kinsoku w:val="0"/>
        <w:overflowPunct w:val="0"/>
        <w:spacing w:line="539" w:lineRule="exact"/>
        <w:ind w:left="3" w:right="1"/>
        <w:jc w:val="center"/>
        <w:rPr>
          <w:rFonts w:hint="default"/>
          <w:color w:val="auto"/>
          <w:sz w:val="44"/>
          <w:szCs w:val="24"/>
          <w:highlight w:val="none"/>
        </w:rPr>
      </w:pPr>
    </w:p>
    <w:p w14:paraId="20600030">
      <w:pPr>
        <w:pStyle w:val="11"/>
        <w:kinsoku w:val="0"/>
        <w:overflowPunct w:val="0"/>
        <w:ind w:left="0"/>
        <w:jc w:val="center"/>
        <w:rPr>
          <w:rFonts w:hint="default"/>
          <w:color w:val="auto"/>
          <w:sz w:val="44"/>
          <w:szCs w:val="24"/>
          <w:highlight w:val="none"/>
        </w:rPr>
      </w:pPr>
      <w:r>
        <w:rPr>
          <w:rFonts w:hint="default" w:cs="宋体"/>
          <w:color w:val="auto"/>
          <w:sz w:val="84"/>
          <w:szCs w:val="84"/>
          <w:highlight w:val="none"/>
        </w:rPr>
        <w:t>投标文件</w:t>
      </w:r>
    </w:p>
    <w:p w14:paraId="7FD63324">
      <w:pPr>
        <w:pStyle w:val="11"/>
        <w:kinsoku w:val="0"/>
        <w:overflowPunct w:val="0"/>
        <w:ind w:left="0"/>
        <w:rPr>
          <w:rFonts w:hint="default"/>
          <w:color w:val="auto"/>
          <w:sz w:val="44"/>
          <w:szCs w:val="24"/>
          <w:highlight w:val="none"/>
        </w:rPr>
      </w:pPr>
    </w:p>
    <w:p w14:paraId="39A75383">
      <w:pPr>
        <w:pStyle w:val="11"/>
        <w:kinsoku w:val="0"/>
        <w:overflowPunct w:val="0"/>
        <w:ind w:left="0"/>
        <w:rPr>
          <w:rFonts w:hint="default"/>
          <w:color w:val="auto"/>
          <w:sz w:val="44"/>
          <w:szCs w:val="24"/>
          <w:highlight w:val="none"/>
        </w:rPr>
      </w:pPr>
    </w:p>
    <w:p w14:paraId="01CA3E1F">
      <w:pPr>
        <w:pStyle w:val="11"/>
        <w:kinsoku w:val="0"/>
        <w:overflowPunct w:val="0"/>
        <w:ind w:left="0"/>
        <w:rPr>
          <w:rFonts w:hint="default"/>
          <w:color w:val="auto"/>
          <w:sz w:val="44"/>
          <w:szCs w:val="24"/>
          <w:highlight w:val="none"/>
        </w:rPr>
      </w:pPr>
    </w:p>
    <w:p w14:paraId="336BF26B">
      <w:pPr>
        <w:pStyle w:val="11"/>
        <w:kinsoku w:val="0"/>
        <w:overflowPunct w:val="0"/>
        <w:ind w:left="0"/>
        <w:rPr>
          <w:rFonts w:hint="default"/>
          <w:color w:val="auto"/>
          <w:sz w:val="44"/>
          <w:szCs w:val="24"/>
          <w:highlight w:val="none"/>
        </w:rPr>
      </w:pPr>
    </w:p>
    <w:p w14:paraId="120C0358">
      <w:pPr>
        <w:pStyle w:val="11"/>
        <w:kinsoku w:val="0"/>
        <w:overflowPunct w:val="0"/>
        <w:ind w:left="0"/>
        <w:rPr>
          <w:rFonts w:hint="default"/>
          <w:color w:val="auto"/>
          <w:sz w:val="44"/>
          <w:szCs w:val="24"/>
          <w:highlight w:val="none"/>
        </w:rPr>
      </w:pPr>
    </w:p>
    <w:p w14:paraId="46D18EDA">
      <w:pPr>
        <w:pStyle w:val="11"/>
        <w:kinsoku w:val="0"/>
        <w:overflowPunct w:val="0"/>
        <w:ind w:left="0"/>
        <w:rPr>
          <w:rFonts w:hint="default"/>
          <w:color w:val="auto"/>
          <w:sz w:val="44"/>
          <w:szCs w:val="24"/>
          <w:highlight w:val="none"/>
        </w:rPr>
      </w:pPr>
    </w:p>
    <w:p w14:paraId="18F4C839">
      <w:pPr>
        <w:pStyle w:val="11"/>
        <w:kinsoku w:val="0"/>
        <w:overflowPunct w:val="0"/>
        <w:ind w:left="0"/>
        <w:rPr>
          <w:rFonts w:hint="default"/>
          <w:color w:val="auto"/>
          <w:sz w:val="44"/>
          <w:szCs w:val="24"/>
          <w:highlight w:val="none"/>
        </w:rPr>
      </w:pPr>
    </w:p>
    <w:p w14:paraId="62401C3D">
      <w:pPr>
        <w:pStyle w:val="11"/>
        <w:kinsoku w:val="0"/>
        <w:overflowPunct w:val="0"/>
        <w:ind w:left="0"/>
        <w:rPr>
          <w:rFonts w:hint="default"/>
          <w:color w:val="auto"/>
          <w:sz w:val="44"/>
          <w:szCs w:val="24"/>
          <w:highlight w:val="none"/>
        </w:rPr>
      </w:pPr>
    </w:p>
    <w:p w14:paraId="4FD1C943">
      <w:pPr>
        <w:pStyle w:val="11"/>
        <w:kinsoku w:val="0"/>
        <w:overflowPunct w:val="0"/>
        <w:ind w:left="0"/>
        <w:rPr>
          <w:rFonts w:hint="default"/>
          <w:color w:val="auto"/>
          <w:sz w:val="44"/>
          <w:szCs w:val="24"/>
          <w:highlight w:val="none"/>
        </w:rPr>
      </w:pPr>
    </w:p>
    <w:p w14:paraId="2E142CA0">
      <w:pPr>
        <w:pStyle w:val="11"/>
        <w:kinsoku w:val="0"/>
        <w:overflowPunct w:val="0"/>
        <w:spacing w:before="3"/>
        <w:ind w:left="0"/>
        <w:rPr>
          <w:rFonts w:hint="default"/>
          <w:color w:val="auto"/>
          <w:sz w:val="41"/>
          <w:szCs w:val="24"/>
          <w:highlight w:val="none"/>
        </w:rPr>
      </w:pPr>
    </w:p>
    <w:p w14:paraId="7EC91D3E">
      <w:pPr>
        <w:pStyle w:val="11"/>
        <w:tabs>
          <w:tab w:val="left" w:pos="5577"/>
          <w:tab w:val="left" w:pos="6942"/>
        </w:tabs>
        <w:kinsoku w:val="0"/>
        <w:overflowPunct w:val="0"/>
        <w:spacing w:line="357" w:lineRule="auto"/>
        <w:ind w:left="1201" w:right="175"/>
        <w:rPr>
          <w:rFonts w:hint="default"/>
          <w:color w:val="auto"/>
          <w:spacing w:val="-1"/>
          <w:sz w:val="28"/>
          <w:szCs w:val="24"/>
          <w:highlight w:val="none"/>
        </w:rPr>
      </w:pPr>
      <w:r>
        <w:rPr>
          <w:rFonts w:hint="default"/>
          <w:color w:val="auto"/>
          <w:sz w:val="28"/>
          <w:szCs w:val="24"/>
          <w:highlight w:val="none"/>
        </w:rPr>
        <w:t>投标人：</w:t>
      </w:r>
      <w:r>
        <w:rPr>
          <w:rFonts w:hint="eastAsia" w:ascii="Times New Roman" w:hAnsi="Times New Roman" w:eastAsia="Times New Roman"/>
          <w:color w:val="auto"/>
          <w:sz w:val="28"/>
          <w:szCs w:val="24"/>
          <w:highlight w:val="none"/>
          <w:u w:val="single"/>
        </w:rPr>
        <w:tab/>
      </w:r>
      <w:r>
        <w:rPr>
          <w:rFonts w:hint="eastAsia" w:ascii="Times New Roman" w:hAnsi="Times New Roman" w:eastAsia="Times New Roman"/>
          <w:color w:val="auto"/>
          <w:sz w:val="28"/>
          <w:szCs w:val="24"/>
          <w:highlight w:val="none"/>
          <w:u w:val="single"/>
        </w:rPr>
        <w:tab/>
      </w:r>
      <w:r>
        <w:rPr>
          <w:rFonts w:hint="default"/>
          <w:color w:val="auto"/>
          <w:spacing w:val="-1"/>
          <w:sz w:val="28"/>
          <w:szCs w:val="24"/>
          <w:highlight w:val="none"/>
        </w:rPr>
        <w:t>（盖单位章）</w:t>
      </w:r>
      <w:r>
        <w:rPr>
          <w:rFonts w:hint="default"/>
          <w:color w:val="auto"/>
          <w:spacing w:val="-136"/>
          <w:sz w:val="28"/>
          <w:szCs w:val="24"/>
          <w:highlight w:val="none"/>
        </w:rPr>
        <w:t xml:space="preserve"> </w:t>
      </w:r>
      <w:r>
        <w:rPr>
          <w:rFonts w:hint="default"/>
          <w:color w:val="auto"/>
          <w:spacing w:val="-1"/>
          <w:sz w:val="28"/>
          <w:szCs w:val="24"/>
          <w:highlight w:val="none"/>
        </w:rPr>
        <w:t>法定代表人或其委托代理人：</w:t>
      </w:r>
      <w:r>
        <w:rPr>
          <w:rFonts w:hint="eastAsia" w:ascii="Times New Roman" w:hAnsi="Times New Roman" w:eastAsia="Times New Roman"/>
          <w:color w:val="auto"/>
          <w:spacing w:val="-1"/>
          <w:sz w:val="28"/>
          <w:szCs w:val="24"/>
          <w:highlight w:val="none"/>
          <w:u w:val="single"/>
        </w:rPr>
        <w:tab/>
      </w:r>
      <w:r>
        <w:rPr>
          <w:rFonts w:hint="default"/>
          <w:color w:val="auto"/>
          <w:spacing w:val="-1"/>
          <w:sz w:val="28"/>
          <w:szCs w:val="24"/>
          <w:highlight w:val="none"/>
        </w:rPr>
        <w:t>（签字）</w:t>
      </w:r>
    </w:p>
    <w:p w14:paraId="26CE52C3">
      <w:pPr>
        <w:pStyle w:val="11"/>
        <w:kinsoku w:val="0"/>
        <w:overflowPunct w:val="0"/>
        <w:spacing w:before="10"/>
        <w:ind w:left="0"/>
        <w:rPr>
          <w:rFonts w:hint="default"/>
          <w:color w:val="auto"/>
          <w:sz w:val="29"/>
          <w:szCs w:val="24"/>
          <w:highlight w:val="none"/>
        </w:rPr>
      </w:pPr>
    </w:p>
    <w:p w14:paraId="4BE7AA36">
      <w:pPr>
        <w:pStyle w:val="11"/>
        <w:tabs>
          <w:tab w:val="left" w:pos="3611"/>
          <w:tab w:val="left" w:pos="4626"/>
          <w:tab w:val="left" w:pos="5642"/>
        </w:tabs>
        <w:kinsoku w:val="0"/>
        <w:overflowPunct w:val="0"/>
        <w:spacing w:before="14"/>
        <w:ind w:left="2877" w:right="175"/>
        <w:rPr>
          <w:rFonts w:hint="default"/>
          <w:color w:val="auto"/>
          <w:sz w:val="28"/>
          <w:szCs w:val="24"/>
          <w:highlight w:val="none"/>
        </w:rPr>
      </w:pPr>
      <w:r>
        <w:rPr>
          <w:rFonts w:hint="eastAsia" w:ascii="Times New Roman" w:hAnsi="Times New Roman" w:eastAsia="Times New Roman"/>
          <w:color w:val="auto"/>
          <w:sz w:val="28"/>
          <w:szCs w:val="24"/>
          <w:highlight w:val="none"/>
          <w:u w:val="single"/>
        </w:rPr>
        <w:t xml:space="preserve"> </w:t>
      </w:r>
      <w:r>
        <w:rPr>
          <w:rFonts w:hint="eastAsia" w:ascii="Times New Roman" w:hAnsi="Times New Roman" w:eastAsia="Times New Roman"/>
          <w:color w:val="auto"/>
          <w:sz w:val="28"/>
          <w:szCs w:val="24"/>
          <w:highlight w:val="none"/>
          <w:u w:val="single"/>
        </w:rPr>
        <w:tab/>
      </w:r>
      <w:r>
        <w:rPr>
          <w:rFonts w:hint="default"/>
          <w:color w:val="auto"/>
          <w:sz w:val="28"/>
          <w:szCs w:val="24"/>
          <w:highlight w:val="none"/>
        </w:rPr>
        <w:t>年</w:t>
      </w:r>
      <w:r>
        <w:rPr>
          <w:rFonts w:hint="eastAsia" w:ascii="Times New Roman" w:hAnsi="Times New Roman" w:eastAsia="Times New Roman"/>
          <w:color w:val="auto"/>
          <w:sz w:val="28"/>
          <w:szCs w:val="24"/>
          <w:highlight w:val="none"/>
          <w:u w:val="single"/>
        </w:rPr>
        <w:tab/>
      </w:r>
      <w:r>
        <w:rPr>
          <w:rFonts w:hint="default"/>
          <w:color w:val="auto"/>
          <w:sz w:val="28"/>
          <w:szCs w:val="24"/>
          <w:highlight w:val="none"/>
        </w:rPr>
        <w:t>月</w:t>
      </w:r>
      <w:r>
        <w:rPr>
          <w:rFonts w:hint="eastAsia" w:ascii="Times New Roman" w:hAnsi="Times New Roman" w:eastAsia="Times New Roman"/>
          <w:color w:val="auto"/>
          <w:sz w:val="28"/>
          <w:szCs w:val="24"/>
          <w:highlight w:val="none"/>
          <w:u w:val="single"/>
        </w:rPr>
        <w:tab/>
      </w:r>
      <w:r>
        <w:rPr>
          <w:rFonts w:hint="default"/>
          <w:color w:val="auto"/>
          <w:sz w:val="28"/>
          <w:szCs w:val="24"/>
          <w:highlight w:val="none"/>
        </w:rPr>
        <w:t>日</w:t>
      </w:r>
    </w:p>
    <w:p w14:paraId="56D36CC1">
      <w:pPr>
        <w:pStyle w:val="11"/>
        <w:tabs>
          <w:tab w:val="left" w:pos="3611"/>
          <w:tab w:val="left" w:pos="4626"/>
          <w:tab w:val="left" w:pos="5642"/>
        </w:tabs>
        <w:kinsoku w:val="0"/>
        <w:overflowPunct w:val="0"/>
        <w:spacing w:before="14"/>
        <w:ind w:left="2877" w:right="175"/>
        <w:rPr>
          <w:rFonts w:hint="default"/>
          <w:color w:val="auto"/>
          <w:sz w:val="28"/>
          <w:szCs w:val="24"/>
          <w:highlight w:val="none"/>
        </w:rPr>
        <w:sectPr>
          <w:pgSz w:w="11905" w:h="16838"/>
          <w:pgMar w:top="1417" w:right="1417" w:bottom="1417" w:left="1417" w:header="992" w:footer="992" w:gutter="0"/>
          <w:lnNumType w:countBy="0" w:distance="360"/>
          <w:cols w:space="720" w:num="1"/>
        </w:sectPr>
      </w:pPr>
    </w:p>
    <w:p w14:paraId="36FEE9FF">
      <w:pPr>
        <w:pStyle w:val="11"/>
        <w:kinsoku w:val="0"/>
        <w:overflowPunct w:val="0"/>
        <w:spacing w:line="443" w:lineRule="exact"/>
        <w:ind w:left="1244" w:right="1222"/>
        <w:jc w:val="center"/>
        <w:rPr>
          <w:rFonts w:hint="eastAsia" w:ascii="Microsoft JhengHei" w:hAnsi="Microsoft JhengHei" w:eastAsia="Microsoft JhengHei"/>
          <w:color w:val="auto"/>
          <w:sz w:val="32"/>
          <w:szCs w:val="24"/>
          <w:highlight w:val="none"/>
        </w:rPr>
      </w:pPr>
      <w:r>
        <w:rPr>
          <w:rFonts w:hint="eastAsia" w:ascii="Microsoft JhengHei" w:hAnsi="Microsoft JhengHei" w:eastAsia="Microsoft JhengHei"/>
          <w:b/>
          <w:color w:val="auto"/>
          <w:sz w:val="32"/>
          <w:szCs w:val="24"/>
          <w:highlight w:val="none"/>
        </w:rPr>
        <w:t>目录</w:t>
      </w:r>
    </w:p>
    <w:p w14:paraId="5928E242">
      <w:pPr>
        <w:pStyle w:val="11"/>
        <w:kinsoku w:val="0"/>
        <w:overflowPunct w:val="0"/>
        <w:ind w:left="0"/>
        <w:rPr>
          <w:rFonts w:hint="eastAsia" w:ascii="Microsoft JhengHei" w:hAnsi="Microsoft JhengHei" w:eastAsia="Microsoft JhengHei"/>
          <w:b/>
          <w:color w:val="auto"/>
          <w:sz w:val="20"/>
          <w:szCs w:val="24"/>
          <w:highlight w:val="none"/>
        </w:rPr>
      </w:pPr>
    </w:p>
    <w:p w14:paraId="417A0F8C">
      <w:pPr>
        <w:pStyle w:val="11"/>
        <w:kinsoku w:val="0"/>
        <w:overflowPunct w:val="0"/>
        <w:ind w:left="0"/>
        <w:rPr>
          <w:rFonts w:hint="eastAsia" w:ascii="Microsoft JhengHei" w:hAnsi="Microsoft JhengHei" w:eastAsia="Microsoft JhengHei"/>
          <w:b/>
          <w:color w:val="auto"/>
          <w:sz w:val="20"/>
          <w:szCs w:val="24"/>
          <w:highlight w:val="none"/>
        </w:rPr>
      </w:pPr>
    </w:p>
    <w:p w14:paraId="6FC55E3B">
      <w:pPr>
        <w:pStyle w:val="11"/>
        <w:kinsoku w:val="0"/>
        <w:overflowPunct w:val="0"/>
        <w:ind w:left="0"/>
        <w:rPr>
          <w:rFonts w:hint="eastAsia" w:ascii="Microsoft JhengHei" w:hAnsi="Microsoft JhengHei" w:eastAsia="Microsoft JhengHei"/>
          <w:b/>
          <w:color w:val="auto"/>
          <w:sz w:val="20"/>
          <w:szCs w:val="24"/>
          <w:highlight w:val="none"/>
        </w:rPr>
      </w:pPr>
    </w:p>
    <w:p w14:paraId="0235612A">
      <w:pPr>
        <w:pStyle w:val="11"/>
        <w:kinsoku w:val="0"/>
        <w:overflowPunct w:val="0"/>
        <w:spacing w:before="6"/>
        <w:ind w:left="0"/>
        <w:rPr>
          <w:rFonts w:hint="eastAsia" w:ascii="Microsoft JhengHei" w:hAnsi="Microsoft JhengHei" w:eastAsia="Microsoft JhengHei"/>
          <w:b/>
          <w:color w:val="auto"/>
          <w:sz w:val="24"/>
          <w:szCs w:val="24"/>
          <w:highlight w:val="none"/>
        </w:rPr>
      </w:pPr>
    </w:p>
    <w:p w14:paraId="574A0907">
      <w:pPr>
        <w:pStyle w:val="11"/>
        <w:numPr>
          <w:ilvl w:val="0"/>
          <w:numId w:val="0"/>
        </w:numPr>
        <w:kinsoku w:val="0"/>
        <w:overflowPunct w:val="0"/>
        <w:spacing w:before="36" w:line="472" w:lineRule="auto"/>
        <w:ind w:left="0" w:right="2650"/>
        <w:rPr>
          <w:rFonts w:hint="default"/>
          <w:color w:val="auto"/>
          <w:sz w:val="24"/>
          <w:szCs w:val="24"/>
          <w:highlight w:val="none"/>
        </w:rPr>
      </w:pPr>
      <w:r>
        <w:rPr>
          <w:rFonts w:hint="default"/>
          <w:color w:val="auto"/>
          <w:sz w:val="24"/>
          <w:szCs w:val="24"/>
          <w:highlight w:val="none"/>
          <w:lang w:val="en-US" w:eastAsia="zh-CN"/>
        </w:rPr>
        <w:t>一、</w:t>
      </w:r>
      <w:r>
        <w:rPr>
          <w:rFonts w:hint="default"/>
          <w:color w:val="auto"/>
          <w:sz w:val="24"/>
          <w:szCs w:val="24"/>
          <w:highlight w:val="none"/>
        </w:rPr>
        <w:t>投标函及投标函附录</w:t>
      </w:r>
    </w:p>
    <w:p w14:paraId="751DB3BD">
      <w:pPr>
        <w:pStyle w:val="11"/>
        <w:numPr>
          <w:ilvl w:val="0"/>
          <w:numId w:val="0"/>
        </w:numPr>
        <w:kinsoku w:val="0"/>
        <w:overflowPunct w:val="0"/>
        <w:spacing w:before="36" w:line="472" w:lineRule="auto"/>
        <w:ind w:left="0" w:right="2650"/>
        <w:rPr>
          <w:rFonts w:hint="default"/>
          <w:color w:val="auto"/>
          <w:sz w:val="24"/>
          <w:szCs w:val="24"/>
          <w:highlight w:val="none"/>
        </w:rPr>
      </w:pPr>
      <w:r>
        <w:rPr>
          <w:rFonts w:hint="default"/>
          <w:color w:val="auto"/>
          <w:spacing w:val="-2"/>
          <w:sz w:val="24"/>
          <w:szCs w:val="24"/>
          <w:highlight w:val="none"/>
        </w:rPr>
        <w:t>二、法定代表人身份证明</w:t>
      </w:r>
    </w:p>
    <w:p w14:paraId="6AC7A707">
      <w:pPr>
        <w:pStyle w:val="11"/>
        <w:numPr>
          <w:ilvl w:val="0"/>
          <w:numId w:val="0"/>
        </w:numPr>
        <w:kinsoku w:val="0"/>
        <w:overflowPunct w:val="0"/>
        <w:spacing w:before="36" w:line="472" w:lineRule="auto"/>
        <w:ind w:left="0" w:right="2650"/>
        <w:rPr>
          <w:rFonts w:hint="default"/>
          <w:color w:val="auto"/>
          <w:sz w:val="24"/>
          <w:szCs w:val="24"/>
          <w:highlight w:val="none"/>
        </w:rPr>
      </w:pPr>
      <w:r>
        <w:rPr>
          <w:rFonts w:hint="default"/>
          <w:color w:val="auto"/>
          <w:sz w:val="24"/>
          <w:szCs w:val="24"/>
          <w:highlight w:val="none"/>
        </w:rPr>
        <w:t>二、授权委托书（适用于有委托代理人的情况）</w:t>
      </w:r>
    </w:p>
    <w:p w14:paraId="45AB8A91">
      <w:pPr>
        <w:pStyle w:val="11"/>
        <w:numPr>
          <w:ilvl w:val="0"/>
          <w:numId w:val="0"/>
        </w:numPr>
        <w:kinsoku w:val="0"/>
        <w:overflowPunct w:val="0"/>
        <w:spacing w:before="36" w:line="472" w:lineRule="auto"/>
        <w:ind w:left="0" w:right="2650"/>
        <w:rPr>
          <w:rFonts w:hint="default"/>
          <w:strike/>
          <w:color w:val="auto"/>
          <w:sz w:val="24"/>
          <w:szCs w:val="24"/>
          <w:highlight w:val="none"/>
          <w:lang w:eastAsia="zh-CN"/>
        </w:rPr>
      </w:pPr>
      <w:r>
        <w:rPr>
          <w:rFonts w:hint="default"/>
          <w:strike/>
          <w:color w:val="auto"/>
          <w:sz w:val="24"/>
          <w:szCs w:val="24"/>
          <w:highlight w:val="none"/>
        </w:rPr>
        <w:t>三、联合体协议书</w:t>
      </w:r>
      <w:r>
        <w:rPr>
          <w:rFonts w:hint="default"/>
          <w:strike/>
          <w:color w:val="auto"/>
          <w:sz w:val="24"/>
          <w:szCs w:val="24"/>
          <w:highlight w:val="none"/>
          <w:lang w:eastAsia="zh-CN"/>
        </w:rPr>
        <w:t>（若有）</w:t>
      </w:r>
    </w:p>
    <w:p w14:paraId="21359A83">
      <w:pPr>
        <w:pStyle w:val="11"/>
        <w:numPr>
          <w:ilvl w:val="0"/>
          <w:numId w:val="0"/>
        </w:numPr>
        <w:kinsoku w:val="0"/>
        <w:overflowPunct w:val="0"/>
        <w:spacing w:before="61" w:line="472" w:lineRule="auto"/>
        <w:ind w:left="0" w:right="6220"/>
        <w:rPr>
          <w:rFonts w:hint="default"/>
          <w:color w:val="auto"/>
          <w:sz w:val="24"/>
          <w:szCs w:val="24"/>
          <w:highlight w:val="none"/>
        </w:rPr>
      </w:pPr>
      <w:r>
        <w:rPr>
          <w:rFonts w:hint="default"/>
          <w:strike/>
          <w:color w:val="auto"/>
          <w:sz w:val="24"/>
          <w:szCs w:val="24"/>
          <w:highlight w:val="none"/>
          <w:lang w:val="en-US" w:eastAsia="zh-CN"/>
        </w:rPr>
        <w:t>四、</w:t>
      </w:r>
      <w:r>
        <w:rPr>
          <w:rFonts w:hint="default"/>
          <w:strike/>
          <w:color w:val="auto"/>
          <w:sz w:val="24"/>
          <w:szCs w:val="24"/>
          <w:highlight w:val="none"/>
        </w:rPr>
        <w:t>投标保证金</w:t>
      </w:r>
      <w:r>
        <w:rPr>
          <w:rFonts w:hint="default"/>
          <w:strike/>
          <w:color w:val="auto"/>
          <w:sz w:val="24"/>
          <w:szCs w:val="24"/>
          <w:highlight w:val="none"/>
          <w:lang w:eastAsia="zh-CN"/>
        </w:rPr>
        <w:t>（若有）</w:t>
      </w:r>
      <w:r>
        <w:rPr>
          <w:rFonts w:hint="default"/>
          <w:strike/>
          <w:color w:val="auto"/>
          <w:spacing w:val="-2"/>
          <w:sz w:val="24"/>
          <w:szCs w:val="24"/>
          <w:highlight w:val="none"/>
        </w:rPr>
        <w:t>五、监理报酬清单</w:t>
      </w:r>
    </w:p>
    <w:p w14:paraId="0628D39F">
      <w:pPr>
        <w:pStyle w:val="11"/>
        <w:numPr>
          <w:ilvl w:val="0"/>
          <w:numId w:val="0"/>
        </w:numPr>
        <w:kinsoku w:val="0"/>
        <w:overflowPunct w:val="0"/>
        <w:spacing w:before="61" w:line="472" w:lineRule="auto"/>
        <w:ind w:left="0" w:right="6220"/>
        <w:rPr>
          <w:rFonts w:hint="default"/>
          <w:color w:val="auto"/>
          <w:sz w:val="24"/>
          <w:szCs w:val="24"/>
          <w:highlight w:val="none"/>
        </w:rPr>
      </w:pPr>
      <w:r>
        <w:rPr>
          <w:rFonts w:hint="default"/>
          <w:color w:val="auto"/>
          <w:spacing w:val="-90"/>
          <w:sz w:val="24"/>
          <w:szCs w:val="24"/>
          <w:highlight w:val="none"/>
        </w:rPr>
        <w:t xml:space="preserve"> </w:t>
      </w:r>
      <w:r>
        <w:rPr>
          <w:rFonts w:hint="default"/>
          <w:color w:val="auto"/>
          <w:spacing w:val="-2"/>
          <w:sz w:val="24"/>
          <w:szCs w:val="24"/>
          <w:highlight w:val="none"/>
        </w:rPr>
        <w:t>六、资格审查资料</w:t>
      </w:r>
    </w:p>
    <w:p w14:paraId="40C74907">
      <w:pPr>
        <w:pStyle w:val="11"/>
        <w:numPr>
          <w:ilvl w:val="0"/>
          <w:numId w:val="0"/>
        </w:numPr>
        <w:kinsoku w:val="0"/>
        <w:overflowPunct w:val="0"/>
        <w:spacing w:before="61" w:line="472" w:lineRule="auto"/>
        <w:ind w:left="0" w:right="6220"/>
        <w:rPr>
          <w:rFonts w:hint="default"/>
          <w:color w:val="auto"/>
          <w:sz w:val="24"/>
          <w:szCs w:val="24"/>
          <w:highlight w:val="none"/>
        </w:rPr>
      </w:pPr>
      <w:r>
        <w:rPr>
          <w:rFonts w:hint="default"/>
          <w:color w:val="auto"/>
          <w:spacing w:val="-90"/>
          <w:sz w:val="24"/>
          <w:szCs w:val="24"/>
          <w:highlight w:val="none"/>
        </w:rPr>
        <w:t xml:space="preserve"> </w:t>
      </w:r>
      <w:r>
        <w:rPr>
          <w:rFonts w:hint="default"/>
          <w:color w:val="auto"/>
          <w:sz w:val="24"/>
          <w:szCs w:val="24"/>
          <w:highlight w:val="none"/>
        </w:rPr>
        <w:t xml:space="preserve">七、监理大纲 </w:t>
      </w:r>
    </w:p>
    <w:p w14:paraId="77A544A4">
      <w:pPr>
        <w:pStyle w:val="11"/>
        <w:numPr>
          <w:ilvl w:val="0"/>
          <w:numId w:val="0"/>
        </w:numPr>
        <w:kinsoku w:val="0"/>
        <w:overflowPunct w:val="0"/>
        <w:spacing w:before="61" w:line="472" w:lineRule="auto"/>
        <w:ind w:left="0" w:right="6220"/>
        <w:rPr>
          <w:rFonts w:hint="default"/>
          <w:color w:val="auto"/>
          <w:sz w:val="24"/>
          <w:szCs w:val="24"/>
          <w:highlight w:val="none"/>
        </w:rPr>
      </w:pPr>
      <w:r>
        <w:rPr>
          <w:rFonts w:hint="default"/>
          <w:color w:val="auto"/>
          <w:sz w:val="24"/>
          <w:szCs w:val="24"/>
          <w:highlight w:val="none"/>
        </w:rPr>
        <w:t>八、其他资料</w:t>
      </w:r>
    </w:p>
    <w:p w14:paraId="772913A0">
      <w:pPr>
        <w:pStyle w:val="11"/>
        <w:kinsoku w:val="0"/>
        <w:overflowPunct w:val="0"/>
        <w:spacing w:before="61" w:line="472" w:lineRule="auto"/>
        <w:ind w:left="100" w:right="6220" w:firstLine="719"/>
        <w:rPr>
          <w:rFonts w:hint="default"/>
          <w:color w:val="auto"/>
          <w:sz w:val="24"/>
          <w:szCs w:val="24"/>
          <w:highlight w:val="none"/>
        </w:rPr>
        <w:sectPr>
          <w:pgSz w:w="11905" w:h="16838"/>
          <w:pgMar w:top="1417" w:right="1417" w:bottom="1417" w:left="1417" w:header="992" w:footer="992" w:gutter="0"/>
          <w:lnNumType w:countBy="0" w:distance="360"/>
          <w:cols w:space="720" w:num="1"/>
        </w:sectPr>
      </w:pPr>
    </w:p>
    <w:p w14:paraId="4807D615">
      <w:pPr>
        <w:pStyle w:val="4"/>
        <w:jc w:val="center"/>
        <w:outlineLvl w:val="1"/>
        <w:rPr>
          <w:rFonts w:hint="default"/>
          <w:color w:val="auto"/>
          <w:sz w:val="28"/>
          <w:szCs w:val="24"/>
          <w:highlight w:val="none"/>
        </w:rPr>
      </w:pPr>
      <w:bookmarkStart w:id="45" w:name="_Toc5383"/>
      <w:r>
        <w:rPr>
          <w:rFonts w:hint="default"/>
          <w:color w:val="auto"/>
          <w:sz w:val="28"/>
          <w:szCs w:val="24"/>
          <w:highlight w:val="none"/>
        </w:rPr>
        <w:t>一、投标函及投标函附录</w:t>
      </w:r>
      <w:bookmarkEnd w:id="45"/>
    </w:p>
    <w:p w14:paraId="426FF90F">
      <w:pPr>
        <w:pStyle w:val="5"/>
        <w:outlineLvl w:val="2"/>
        <w:rPr>
          <w:rFonts w:hint="default"/>
          <w:b/>
          <w:color w:val="auto"/>
          <w:sz w:val="28"/>
          <w:szCs w:val="24"/>
          <w:highlight w:val="none"/>
        </w:rPr>
      </w:pPr>
      <w:bookmarkStart w:id="46" w:name="_Toc9570"/>
      <w:r>
        <w:rPr>
          <w:rFonts w:hint="default"/>
          <w:b/>
          <w:color w:val="auto"/>
          <w:sz w:val="28"/>
          <w:szCs w:val="24"/>
          <w:highlight w:val="none"/>
        </w:rPr>
        <w:t>（一）投标函</w:t>
      </w:r>
      <w:bookmarkEnd w:id="46"/>
    </w:p>
    <w:p w14:paraId="236AF767">
      <w:pPr>
        <w:pStyle w:val="11"/>
        <w:kinsoku w:val="0"/>
        <w:overflowPunct w:val="0"/>
        <w:spacing w:before="1"/>
        <w:ind w:left="0"/>
        <w:rPr>
          <w:rFonts w:hint="default"/>
          <w:color w:val="auto"/>
          <w:sz w:val="23"/>
          <w:szCs w:val="24"/>
          <w:highlight w:val="none"/>
        </w:rPr>
      </w:pPr>
    </w:p>
    <w:p w14:paraId="3025A21C">
      <w:pPr>
        <w:pStyle w:val="11"/>
        <w:tabs>
          <w:tab w:val="left" w:pos="1991"/>
        </w:tabs>
        <w:kinsoku w:val="0"/>
        <w:overflowPunct w:val="0"/>
        <w:ind w:left="100" w:right="113"/>
        <w:rPr>
          <w:rFonts w:hint="default"/>
          <w:color w:val="auto"/>
          <w:spacing w:val="-15"/>
          <w:sz w:val="21"/>
          <w:szCs w:val="24"/>
          <w:highlight w:val="none"/>
        </w:r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pacing w:val="-15"/>
          <w:sz w:val="21"/>
          <w:szCs w:val="24"/>
          <w:highlight w:val="none"/>
        </w:rPr>
        <w:t>（招标人名称）：</w:t>
      </w:r>
    </w:p>
    <w:p w14:paraId="7E5B218C">
      <w:pPr>
        <w:pStyle w:val="11"/>
        <w:kinsoku w:val="0"/>
        <w:overflowPunct w:val="0"/>
        <w:spacing w:before="13"/>
        <w:ind w:left="0"/>
        <w:rPr>
          <w:rFonts w:hint="default"/>
          <w:color w:val="auto"/>
          <w:sz w:val="21"/>
          <w:szCs w:val="24"/>
          <w:highlight w:val="none"/>
        </w:rPr>
      </w:pPr>
    </w:p>
    <w:p w14:paraId="22BF5F72">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1．我方已仔细研究了</w:t>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u w:val="single"/>
          <w:lang w:val="en-US" w:eastAsia="zh-CN" w:bidi="ar-SA"/>
        </w:rPr>
        <w:t xml:space="preserve">（项目名称）  </w:t>
      </w:r>
      <w:r>
        <w:rPr>
          <w:rFonts w:hint="default" w:ascii="宋体" w:hAnsi="宋体" w:eastAsia="宋体" w:cs="宋体"/>
          <w:color w:val="auto"/>
          <w:kern w:val="2"/>
          <w:sz w:val="21"/>
          <w:szCs w:val="21"/>
          <w:highlight w:val="none"/>
          <w:lang w:val="en-US" w:eastAsia="zh-CN" w:bidi="ar-SA"/>
        </w:rPr>
        <w:t xml:space="preserve"> 招标项目招标文件的全部内容， 愿意以人民币（大写）</w:t>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u w:val="single"/>
          <w:lang w:val="en-US" w:eastAsia="zh-CN" w:bidi="ar-SA"/>
        </w:rPr>
        <w:t xml:space="preserve">   </w:t>
      </w:r>
      <w:r>
        <w:rPr>
          <w:rFonts w:hint="default" w:ascii="宋体" w:hAnsi="宋体" w:eastAsia="宋体" w:cs="宋体"/>
          <w:color w:val="auto"/>
          <w:kern w:val="2"/>
          <w:sz w:val="21"/>
          <w:szCs w:val="21"/>
          <w:highlight w:val="none"/>
          <w:lang w:val="en-US" w:eastAsia="zh-CN" w:bidi="ar-SA"/>
        </w:rPr>
        <w:t>（¥</w:t>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lang w:val="en-US" w:eastAsia="zh-CN" w:bidi="ar-SA"/>
        </w:rPr>
        <w:t>）的投标总报价，监理服务期限：</w:t>
      </w:r>
      <w:r>
        <w:rPr>
          <w:rFonts w:hint="default" w:ascii="宋体" w:hAnsi="宋体" w:eastAsia="宋体" w:cs="宋体"/>
          <w:color w:val="auto"/>
          <w:kern w:val="2"/>
          <w:sz w:val="21"/>
          <w:szCs w:val="21"/>
          <w:highlight w:val="none"/>
          <w:u w:val="single"/>
          <w:lang w:val="en-US" w:eastAsia="zh-CN" w:bidi="ar-SA"/>
        </w:rPr>
        <w:t xml:space="preserve">  </w:t>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lang w:val="en-US" w:eastAsia="zh-CN" w:bidi="ar-SA"/>
        </w:rPr>
        <w:t>日历天，按合同约定完成监理工作。</w:t>
      </w:r>
    </w:p>
    <w:p w14:paraId="3787E626">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2. 我方的投标文件包括下列内容：</w:t>
      </w:r>
    </w:p>
    <w:p w14:paraId="7689BED1">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（1）投标函及投标函附录；</w:t>
      </w:r>
    </w:p>
    <w:p w14:paraId="5D607BAE">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（2）法定代表人身份证明</w:t>
      </w:r>
      <w:r>
        <w:rPr>
          <w:rFonts w:hint="default" w:ascii="宋体" w:hAnsi="宋体" w:eastAsia="宋体" w:cs="宋体"/>
          <w:color w:val="auto"/>
          <w:spacing w:val="8"/>
          <w:sz w:val="21"/>
          <w:szCs w:val="21"/>
          <w:highlight w:val="none"/>
        </w:rPr>
        <w:t>或附有法定代表人身份证明的授权委托书</w:t>
      </w:r>
      <w:r>
        <w:rPr>
          <w:rFonts w:hint="default" w:ascii="宋体" w:hAnsi="宋体" w:eastAsia="宋体" w:cs="宋体"/>
          <w:color w:val="auto"/>
          <w:kern w:val="2"/>
          <w:sz w:val="21"/>
          <w:szCs w:val="21"/>
          <w:highlight w:val="none"/>
          <w:lang w:val="en-US" w:eastAsia="zh-CN" w:bidi="ar-SA"/>
        </w:rPr>
        <w:t>；</w:t>
      </w:r>
    </w:p>
    <w:p w14:paraId="2CF1C298">
      <w:pPr>
        <w:autoSpaceDE/>
        <w:autoSpaceDN/>
        <w:adjustRightInd/>
        <w:spacing w:line="360" w:lineRule="auto"/>
        <w:ind w:left="585" w:leftChars="200" w:hanging="105" w:hangingChars="50"/>
        <w:jc w:val="both"/>
        <w:rPr>
          <w:rFonts w:hint="default" w:ascii="宋体" w:hAnsi="宋体" w:eastAsia="宋体" w:cs="宋体"/>
          <w:strike/>
          <w:dstrike w:val="0"/>
          <w:color w:val="auto"/>
          <w:kern w:val="2"/>
          <w:sz w:val="21"/>
          <w:szCs w:val="21"/>
          <w:highlight w:val="none"/>
          <w:lang w:val="en-US" w:eastAsia="zh-CN" w:bidi="ar-SA"/>
        </w:rPr>
      </w:pPr>
      <w:r>
        <w:rPr>
          <w:rFonts w:hint="default" w:ascii="宋体" w:hAnsi="宋体" w:eastAsia="宋体" w:cs="宋体"/>
          <w:strike/>
          <w:dstrike w:val="0"/>
          <w:color w:val="auto"/>
          <w:kern w:val="2"/>
          <w:sz w:val="21"/>
          <w:szCs w:val="21"/>
          <w:highlight w:val="none"/>
          <w:lang w:val="en-US" w:eastAsia="zh-CN" w:bidi="ar-SA"/>
        </w:rPr>
        <w:t>（3）联合体协议书（如有）；</w:t>
      </w:r>
    </w:p>
    <w:p w14:paraId="5BB0C695">
      <w:pPr>
        <w:autoSpaceDE/>
        <w:autoSpaceDN/>
        <w:adjustRightInd/>
        <w:spacing w:line="360" w:lineRule="auto"/>
        <w:ind w:left="585" w:leftChars="200" w:hanging="105" w:hangingChars="50"/>
        <w:jc w:val="both"/>
        <w:rPr>
          <w:rFonts w:hint="default" w:ascii="宋体" w:hAnsi="宋体" w:eastAsia="宋体" w:cs="宋体"/>
          <w:strike/>
          <w:dstrike w:val="0"/>
          <w:color w:val="auto"/>
          <w:kern w:val="2"/>
          <w:sz w:val="21"/>
          <w:szCs w:val="21"/>
          <w:highlight w:val="none"/>
          <w:lang w:val="en-US" w:eastAsia="zh-CN" w:bidi="ar-SA"/>
        </w:rPr>
      </w:pPr>
      <w:r>
        <w:rPr>
          <w:rFonts w:hint="default" w:ascii="宋体" w:hAnsi="宋体" w:eastAsia="宋体" w:cs="宋体"/>
          <w:strike/>
          <w:dstrike w:val="0"/>
          <w:color w:val="auto"/>
          <w:kern w:val="2"/>
          <w:sz w:val="21"/>
          <w:szCs w:val="21"/>
          <w:highlight w:val="none"/>
          <w:lang w:val="en-US" w:eastAsia="zh-CN" w:bidi="ar-SA"/>
        </w:rPr>
        <w:t>（4）投标保证金（如有）；</w:t>
      </w:r>
    </w:p>
    <w:p w14:paraId="5F752671">
      <w:pPr>
        <w:autoSpaceDE/>
        <w:autoSpaceDN/>
        <w:adjustRightInd/>
        <w:spacing w:line="360" w:lineRule="auto"/>
        <w:ind w:left="585" w:leftChars="200" w:hanging="105" w:hangingChars="50"/>
        <w:jc w:val="both"/>
        <w:rPr>
          <w:rFonts w:hint="default" w:ascii="宋体" w:hAnsi="宋体" w:eastAsia="宋体" w:cs="宋体"/>
          <w:strike/>
          <w:color w:val="auto"/>
          <w:kern w:val="2"/>
          <w:sz w:val="21"/>
          <w:szCs w:val="21"/>
          <w:highlight w:val="none"/>
          <w:lang w:val="en-US" w:eastAsia="zh-CN" w:bidi="ar-SA"/>
        </w:rPr>
      </w:pPr>
      <w:r>
        <w:rPr>
          <w:rFonts w:hint="default" w:ascii="宋体" w:hAnsi="宋体" w:eastAsia="宋体" w:cs="宋体"/>
          <w:strike/>
          <w:color w:val="auto"/>
          <w:kern w:val="2"/>
          <w:sz w:val="21"/>
          <w:szCs w:val="21"/>
          <w:highlight w:val="none"/>
          <w:lang w:val="en-US" w:eastAsia="zh-CN" w:bidi="ar-SA"/>
        </w:rPr>
        <w:t>（5）监理报酬清单；</w:t>
      </w:r>
    </w:p>
    <w:p w14:paraId="279DE91E">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（6）资格审查资料；</w:t>
      </w:r>
    </w:p>
    <w:p w14:paraId="0C296539">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（7）监理大纲；</w:t>
      </w:r>
    </w:p>
    <w:p w14:paraId="73CEA2F2">
      <w:pPr>
        <w:autoSpaceDE/>
        <w:autoSpaceDN/>
        <w:adjustRightInd/>
        <w:spacing w:line="360" w:lineRule="auto"/>
        <w:ind w:left="585" w:leftChars="200" w:hanging="105" w:hangingChars="5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（8）其他资料。</w:t>
      </w:r>
    </w:p>
    <w:p w14:paraId="44A7527D">
      <w:pPr>
        <w:pStyle w:val="11"/>
        <w:kinsoku w:val="0"/>
        <w:overflowPunct w:val="0"/>
        <w:spacing w:line="360" w:lineRule="auto"/>
        <w:ind w:left="522" w:right="2132" w:hanging="17"/>
        <w:rPr>
          <w:rFonts w:hint="default"/>
          <w:color w:val="auto"/>
          <w:spacing w:val="-2"/>
          <w:sz w:val="21"/>
          <w:szCs w:val="24"/>
          <w:highlight w:val="none"/>
        </w:rPr>
      </w:pPr>
      <w:r>
        <w:rPr>
          <w:rFonts w:hint="default"/>
          <w:color w:val="auto"/>
          <w:spacing w:val="-2"/>
          <w:sz w:val="21"/>
          <w:szCs w:val="24"/>
          <w:highlight w:val="none"/>
        </w:rPr>
        <w:t>投标文件的上述组成部分如存在内容不一致的，以投标函为准。</w:t>
      </w:r>
    </w:p>
    <w:p w14:paraId="189B3FB5">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3．我方承诺在招标文件规定的投标有效期内不撤销投标文件。</w:t>
      </w:r>
    </w:p>
    <w:p w14:paraId="36053C2B">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4．如我方中标，我方承诺：</w:t>
      </w:r>
    </w:p>
    <w:p w14:paraId="0199974B">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（1）在收到中标通知书后，在中标通知书规定的期限内与你方签订合同；</w:t>
      </w:r>
    </w:p>
    <w:p w14:paraId="7F8A7B4B">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（2）在签订合同时不向你方提出附加条件；</w:t>
      </w:r>
    </w:p>
    <w:p w14:paraId="48AE6EF0">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（3）按照招标文件要求提交履约保证金；</w:t>
      </w:r>
    </w:p>
    <w:p w14:paraId="4F28113F">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（4）在合同约定的期限内完成合同规定的全部义务。</w:t>
      </w:r>
    </w:p>
    <w:p w14:paraId="6CFC52F6">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5．我方在此声明，所递交的投标文件及有关资料内容完整、真实和准确，且不存在第二章 “投标人须知”第 1.4.3 项规定的任何一种情形。</w:t>
      </w:r>
    </w:p>
    <w:p w14:paraId="4E750EFC">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6．</w:t>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lang w:val="en-US" w:eastAsia="zh-CN" w:bidi="ar-SA"/>
        </w:rPr>
        <w:t>（其他补充说明）。</w:t>
      </w:r>
    </w:p>
    <w:p w14:paraId="3D49F4DC">
      <w:pPr>
        <w:pStyle w:val="11"/>
        <w:tabs>
          <w:tab w:val="left" w:pos="7241"/>
        </w:tabs>
        <w:kinsoku w:val="0"/>
        <w:overflowPunct w:val="0"/>
        <w:spacing w:before="36" w:line="360" w:lineRule="auto"/>
        <w:ind w:left="2621" w:right="113" w:firstLine="1260" w:firstLineChars="600"/>
        <w:rPr>
          <w:rFonts w:hint="default"/>
          <w:color w:val="auto"/>
          <w:sz w:val="21"/>
          <w:szCs w:val="24"/>
          <w:highlight w:val="none"/>
        </w:rPr>
      </w:pPr>
    </w:p>
    <w:p w14:paraId="775A8F7D">
      <w:pPr>
        <w:pStyle w:val="11"/>
        <w:tabs>
          <w:tab w:val="left" w:pos="7241"/>
        </w:tabs>
        <w:kinsoku w:val="0"/>
        <w:overflowPunct w:val="0"/>
        <w:spacing w:before="36" w:line="360" w:lineRule="auto"/>
        <w:ind w:left="2621" w:right="113" w:firstLine="1260" w:firstLineChars="600"/>
        <w:rPr>
          <w:rFonts w:hint="default"/>
          <w:color w:val="auto"/>
          <w:sz w:val="21"/>
          <w:szCs w:val="24"/>
          <w:highlight w:val="none"/>
        </w:rPr>
      </w:pPr>
      <w:r>
        <w:rPr>
          <w:rFonts w:hint="default"/>
          <w:color w:val="auto"/>
          <w:sz w:val="21"/>
          <w:szCs w:val="24"/>
          <w:highlight w:val="none"/>
        </w:rPr>
        <w:t>投 标</w:t>
      </w:r>
      <w:r>
        <w:rPr>
          <w:rFonts w:hint="default"/>
          <w:color w:val="auto"/>
          <w:spacing w:val="-1"/>
          <w:sz w:val="21"/>
          <w:szCs w:val="24"/>
          <w:highlight w:val="none"/>
        </w:rPr>
        <w:t xml:space="preserve"> </w:t>
      </w:r>
      <w:r>
        <w:rPr>
          <w:rFonts w:hint="default"/>
          <w:color w:val="auto"/>
          <w:sz w:val="21"/>
          <w:szCs w:val="24"/>
          <w:highlight w:val="none"/>
        </w:rPr>
        <w:t>人：</w:t>
      </w:r>
      <w:r>
        <w:rPr>
          <w:rFonts w:hint="default"/>
          <w:color w:val="auto"/>
          <w:sz w:val="21"/>
          <w:szCs w:val="24"/>
          <w:highlight w:val="none"/>
          <w:u w:val="single"/>
          <w:lang w:val="en-US" w:eastAsia="zh-CN"/>
        </w:rPr>
        <w:t xml:space="preserve">                 </w:t>
      </w:r>
      <w:r>
        <w:rPr>
          <w:rFonts w:hint="default" w:hAnsi="Times New Roman"/>
          <w:color w:val="auto"/>
          <w:sz w:val="21"/>
          <w:szCs w:val="24"/>
          <w:highlight w:val="none"/>
          <w:u w:val="single"/>
          <w:lang w:val="en-US" w:eastAsia="zh-CN"/>
        </w:rPr>
        <w:t xml:space="preserve">       </w:t>
      </w:r>
      <w:r>
        <w:rPr>
          <w:rFonts w:hint="default"/>
          <w:color w:val="auto"/>
          <w:sz w:val="21"/>
          <w:szCs w:val="24"/>
          <w:highlight w:val="none"/>
        </w:rPr>
        <w:t>（盖单位章）</w:t>
      </w:r>
    </w:p>
    <w:p w14:paraId="43DB3049">
      <w:pPr>
        <w:widowControl/>
        <w:kinsoku w:val="0"/>
        <w:snapToGrid w:val="0"/>
        <w:spacing w:line="360" w:lineRule="auto"/>
        <w:ind w:left="3840" w:leftChars="1600" w:right="253"/>
        <w:textAlignment w:val="baseline"/>
        <w:rPr>
          <w:rFonts w:hint="default" w:ascii="宋体" w:hAnsi="宋体" w:eastAsia="宋体" w:cs="宋体"/>
          <w:color w:val="auto"/>
          <w:spacing w:val="-4"/>
          <w:sz w:val="21"/>
          <w:szCs w:val="21"/>
          <w:highlight w:val="none"/>
        </w:rPr>
      </w:pPr>
      <w:r>
        <w:rPr>
          <w:rFonts w:hint="default" w:ascii="宋体" w:hAnsi="宋体" w:eastAsia="宋体" w:cs="宋体"/>
          <w:color w:val="auto"/>
          <w:spacing w:val="-8"/>
          <w:sz w:val="21"/>
          <w:szCs w:val="21"/>
          <w:highlight w:val="none"/>
        </w:rPr>
        <w:t>法定</w:t>
      </w:r>
      <w:r>
        <w:rPr>
          <w:rFonts w:hint="default" w:ascii="宋体" w:hAnsi="宋体" w:eastAsia="宋体" w:cs="宋体"/>
          <w:color w:val="auto"/>
          <w:spacing w:val="-4"/>
          <w:sz w:val="21"/>
          <w:szCs w:val="21"/>
          <w:highlight w:val="none"/>
        </w:rPr>
        <w:t>代表人</w:t>
      </w:r>
      <w:r>
        <w:rPr>
          <w:rFonts w:hint="default" w:ascii="宋体" w:hAnsi="宋体" w:eastAsia="宋体" w:cs="宋体"/>
          <w:color w:val="auto"/>
          <w:spacing w:val="-4"/>
          <w:sz w:val="21"/>
          <w:szCs w:val="21"/>
          <w:highlight w:val="none"/>
          <w:lang w:eastAsia="zh-CN"/>
        </w:rPr>
        <w:t>：</w:t>
      </w:r>
      <w:r>
        <w:rPr>
          <w:rFonts w:hint="default" w:ascii="宋体" w:hAnsi="宋体" w:eastAsia="宋体" w:cs="宋体"/>
          <w:color w:val="auto"/>
          <w:spacing w:val="-4"/>
          <w:sz w:val="21"/>
          <w:szCs w:val="21"/>
          <w:highlight w:val="none"/>
          <w:u w:val="single" w:color="auto"/>
        </w:rPr>
        <w:t xml:space="preserve">            </w:t>
      </w:r>
      <w:r>
        <w:rPr>
          <w:rFonts w:hint="default" w:ascii="宋体" w:hAnsi="宋体" w:eastAsia="宋体" w:cs="宋体"/>
          <w:color w:val="auto"/>
          <w:spacing w:val="-4"/>
          <w:sz w:val="21"/>
          <w:szCs w:val="21"/>
          <w:highlight w:val="none"/>
        </w:rPr>
        <w:t>(签字</w:t>
      </w:r>
      <w:r>
        <w:rPr>
          <w:rFonts w:hint="default" w:ascii="宋体" w:hAnsi="宋体" w:eastAsia="宋体" w:cs="宋体"/>
          <w:color w:val="auto"/>
          <w:spacing w:val="-4"/>
          <w:sz w:val="21"/>
          <w:szCs w:val="21"/>
          <w:highlight w:val="none"/>
          <w:lang w:eastAsia="zh-CN"/>
        </w:rPr>
        <w:t>或盖章</w:t>
      </w:r>
      <w:r>
        <w:rPr>
          <w:rFonts w:hint="default" w:ascii="宋体" w:hAnsi="宋体" w:eastAsia="宋体" w:cs="宋体"/>
          <w:color w:val="auto"/>
          <w:spacing w:val="-4"/>
          <w:sz w:val="21"/>
          <w:szCs w:val="21"/>
          <w:highlight w:val="none"/>
        </w:rPr>
        <w:t>)</w:t>
      </w:r>
    </w:p>
    <w:p w14:paraId="3CD0BD1E">
      <w:pPr>
        <w:widowControl/>
        <w:kinsoku w:val="0"/>
        <w:snapToGrid w:val="0"/>
        <w:spacing w:line="360" w:lineRule="auto"/>
        <w:ind w:left="3840" w:leftChars="1600" w:right="253"/>
        <w:textAlignment w:val="baseline"/>
        <w:rPr>
          <w:rFonts w:hint="default" w:ascii="宋体" w:hAnsi="宋体" w:eastAsia="宋体" w:cs="宋体"/>
          <w:color w:val="auto"/>
          <w:spacing w:val="-4"/>
          <w:sz w:val="21"/>
          <w:szCs w:val="21"/>
          <w:highlight w:val="none"/>
        </w:rPr>
      </w:pPr>
      <w:r>
        <w:rPr>
          <w:rFonts w:hint="default" w:ascii="宋体" w:hAnsi="宋体" w:eastAsia="宋体" w:cs="宋体"/>
          <w:color w:val="auto"/>
          <w:spacing w:val="-4"/>
          <w:sz w:val="21"/>
          <w:szCs w:val="21"/>
          <w:highlight w:val="none"/>
        </w:rPr>
        <w:t>委托代理人：</w:t>
      </w:r>
      <w:r>
        <w:rPr>
          <w:rFonts w:hint="default" w:ascii="宋体" w:hAnsi="宋体" w:eastAsia="宋体" w:cs="宋体"/>
          <w:color w:val="auto"/>
          <w:spacing w:val="-4"/>
          <w:sz w:val="21"/>
          <w:szCs w:val="21"/>
          <w:highlight w:val="none"/>
          <w:u w:val="single" w:color="auto"/>
        </w:rPr>
        <w:t xml:space="preserve">            </w:t>
      </w:r>
      <w:r>
        <w:rPr>
          <w:rFonts w:hint="default" w:ascii="宋体" w:hAnsi="宋体" w:eastAsia="宋体" w:cs="宋体"/>
          <w:color w:val="auto"/>
          <w:spacing w:val="-4"/>
          <w:sz w:val="21"/>
          <w:szCs w:val="21"/>
          <w:highlight w:val="none"/>
        </w:rPr>
        <w:t>(签字)</w:t>
      </w:r>
    </w:p>
    <w:p w14:paraId="14B20670">
      <w:pPr>
        <w:pStyle w:val="33"/>
        <w:widowControl/>
        <w:kinsoku w:val="0"/>
        <w:snapToGrid w:val="0"/>
        <w:spacing w:line="360" w:lineRule="auto"/>
        <w:ind w:left="3840" w:leftChars="1600"/>
        <w:jc w:val="left"/>
        <w:textAlignment w:val="baseline"/>
        <w:rPr>
          <w:rFonts w:hint="default" w:ascii="宋体" w:hAnsi="宋体" w:eastAsia="宋体" w:cs="宋体"/>
          <w:b w:val="0"/>
          <w:snapToGrid w:val="0"/>
          <w:color w:val="auto"/>
          <w:spacing w:val="-4"/>
          <w:sz w:val="21"/>
          <w:szCs w:val="21"/>
          <w:highlight w:val="none"/>
          <w:lang w:eastAsia="zh-CN"/>
        </w:rPr>
      </w:pPr>
      <w:r>
        <w:rPr>
          <w:rFonts w:hint="default" w:ascii="宋体" w:hAnsi="宋体" w:eastAsia="宋体" w:cs="宋体"/>
          <w:b w:val="0"/>
          <w:snapToGrid w:val="0"/>
          <w:color w:val="auto"/>
          <w:spacing w:val="-4"/>
          <w:sz w:val="21"/>
          <w:szCs w:val="21"/>
          <w:highlight w:val="none"/>
          <w:lang w:eastAsia="zh-CN"/>
        </w:rPr>
        <w:t>项目负责人</w:t>
      </w:r>
      <w:r>
        <w:rPr>
          <w:rFonts w:hint="eastAsia" w:ascii="宋体" w:hAnsi="宋体" w:cs="宋体"/>
          <w:b w:val="0"/>
          <w:snapToGrid w:val="0"/>
          <w:color w:val="auto"/>
          <w:spacing w:val="-4"/>
          <w:sz w:val="21"/>
          <w:szCs w:val="21"/>
          <w:highlight w:val="none"/>
          <w:lang w:eastAsia="zh-CN"/>
        </w:rPr>
        <w:t>（总监理工程师）</w:t>
      </w:r>
      <w:r>
        <w:rPr>
          <w:rFonts w:hint="default" w:ascii="宋体" w:hAnsi="宋体" w:eastAsia="宋体" w:cs="宋体"/>
          <w:b w:val="0"/>
          <w:snapToGrid w:val="0"/>
          <w:color w:val="auto"/>
          <w:spacing w:val="-4"/>
          <w:sz w:val="21"/>
          <w:szCs w:val="21"/>
          <w:highlight w:val="none"/>
          <w:lang w:eastAsia="zh-CN"/>
        </w:rPr>
        <w:t>：</w:t>
      </w:r>
      <w:r>
        <w:rPr>
          <w:rFonts w:hint="default" w:ascii="宋体" w:hAnsi="宋体" w:eastAsia="宋体" w:cs="宋体"/>
          <w:color w:val="auto"/>
          <w:spacing w:val="-4"/>
          <w:sz w:val="21"/>
          <w:szCs w:val="21"/>
          <w:highlight w:val="none"/>
          <w:u w:val="single" w:color="auto"/>
        </w:rPr>
        <w:t xml:space="preserve">         </w:t>
      </w:r>
      <w:r>
        <w:rPr>
          <w:rFonts w:hint="default" w:ascii="宋体" w:hAnsi="宋体" w:eastAsia="宋体" w:cs="宋体"/>
          <w:color w:val="auto"/>
          <w:spacing w:val="-4"/>
          <w:sz w:val="21"/>
          <w:szCs w:val="21"/>
          <w:highlight w:val="none"/>
          <w:u w:val="single" w:color="auto"/>
          <w:lang w:val="en-US" w:eastAsia="zh-CN"/>
        </w:rPr>
        <w:t xml:space="preserve"> </w:t>
      </w:r>
      <w:r>
        <w:rPr>
          <w:rFonts w:hint="default" w:ascii="宋体" w:hAnsi="宋体" w:eastAsia="宋体" w:cs="宋体"/>
          <w:color w:val="auto"/>
          <w:spacing w:val="-4"/>
          <w:sz w:val="21"/>
          <w:szCs w:val="21"/>
          <w:highlight w:val="none"/>
          <w:u w:val="single" w:color="auto"/>
        </w:rPr>
        <w:t xml:space="preserve">  </w:t>
      </w:r>
      <w:r>
        <w:rPr>
          <w:rFonts w:hint="default" w:ascii="宋体" w:hAnsi="宋体" w:eastAsia="宋体" w:cs="宋体"/>
          <w:b w:val="0"/>
          <w:color w:val="auto"/>
          <w:spacing w:val="-4"/>
          <w:sz w:val="21"/>
          <w:szCs w:val="21"/>
          <w:highlight w:val="none"/>
        </w:rPr>
        <w:t>(签字)</w:t>
      </w:r>
    </w:p>
    <w:p w14:paraId="001F09F8">
      <w:pPr>
        <w:pStyle w:val="11"/>
        <w:tabs>
          <w:tab w:val="left" w:pos="3232"/>
          <w:tab w:val="left" w:pos="8529"/>
        </w:tabs>
        <w:kinsoku w:val="0"/>
        <w:overflowPunct w:val="0"/>
        <w:spacing w:before="36" w:line="360" w:lineRule="auto"/>
        <w:ind w:left="2601" w:firstLine="1260" w:firstLineChars="600"/>
        <w:rPr>
          <w:rFonts w:hint="eastAsia" w:ascii="Times New Roman" w:hAnsi="Times New Roman" w:eastAsia="Times New Roman"/>
          <w:color w:val="auto"/>
          <w:sz w:val="21"/>
          <w:szCs w:val="24"/>
          <w:highlight w:val="none"/>
          <w:lang w:val="en-US" w:eastAsia="zh-CN"/>
        </w:rPr>
      </w:pPr>
      <w:r>
        <w:rPr>
          <w:rFonts w:hint="default"/>
          <w:color w:val="auto"/>
          <w:sz w:val="21"/>
          <w:szCs w:val="24"/>
          <w:highlight w:val="none"/>
        </w:rPr>
        <w:t>地</w:t>
      </w:r>
      <w:r>
        <w:rPr>
          <w:rFonts w:hint="default"/>
          <w:color w:val="auto"/>
          <w:sz w:val="21"/>
          <w:szCs w:val="24"/>
          <w:highlight w:val="none"/>
          <w:lang w:val="en-US" w:eastAsia="zh-CN"/>
        </w:rPr>
        <w:t xml:space="preserve">    </w:t>
      </w:r>
      <w:r>
        <w:rPr>
          <w:rFonts w:hint="default"/>
          <w:color w:val="auto"/>
          <w:sz w:val="21"/>
          <w:szCs w:val="24"/>
          <w:highlight w:val="none"/>
        </w:rPr>
        <w:t>址：</w:t>
      </w:r>
      <w:r>
        <w:rPr>
          <w:rFonts w:hint="eastAsia" w:ascii="Times New Roman" w:hAnsi="Times New Roman" w:eastAsia="Times New Roman"/>
          <w:color w:val="auto"/>
          <w:sz w:val="21"/>
          <w:szCs w:val="24"/>
          <w:highlight w:val="none"/>
          <w:u w:val="single"/>
        </w:rPr>
        <w:t xml:space="preserve"> </w:t>
      </w:r>
      <w:r>
        <w:rPr>
          <w:rFonts w:hint="default" w:hAnsi="Times New Roman"/>
          <w:color w:val="auto"/>
          <w:sz w:val="21"/>
          <w:szCs w:val="24"/>
          <w:highlight w:val="none"/>
          <w:u w:val="single"/>
          <w:lang w:val="en-US" w:eastAsia="zh-CN"/>
        </w:rPr>
        <w:t xml:space="preserve">                                                  </w:t>
      </w:r>
    </w:p>
    <w:p w14:paraId="7F1A4B76">
      <w:pPr>
        <w:pStyle w:val="11"/>
        <w:tabs>
          <w:tab w:val="left" w:pos="3232"/>
          <w:tab w:val="left" w:pos="8529"/>
        </w:tabs>
        <w:kinsoku w:val="0"/>
        <w:overflowPunct w:val="0"/>
        <w:spacing w:before="36" w:line="360" w:lineRule="auto"/>
        <w:ind w:firstLine="3360" w:firstLineChars="1600"/>
        <w:rPr>
          <w:rFonts w:hint="eastAsia" w:ascii="Times New Roman" w:hAnsi="Times New Roman" w:eastAsia="Times New Roman"/>
          <w:color w:val="auto"/>
          <w:sz w:val="21"/>
          <w:szCs w:val="24"/>
          <w:highlight w:val="none"/>
          <w:lang w:val="en-US" w:eastAsia="zh-CN"/>
        </w:rPr>
      </w:pPr>
      <w:r>
        <w:rPr>
          <w:rFonts w:hint="default"/>
          <w:color w:val="auto"/>
          <w:sz w:val="21"/>
          <w:szCs w:val="24"/>
          <w:highlight w:val="none"/>
        </w:rPr>
        <w:t>网</w:t>
      </w:r>
      <w:r>
        <w:rPr>
          <w:rFonts w:hint="default"/>
          <w:color w:val="auto"/>
          <w:sz w:val="21"/>
          <w:szCs w:val="24"/>
          <w:highlight w:val="none"/>
          <w:lang w:val="en-US" w:eastAsia="zh-CN"/>
        </w:rPr>
        <w:t xml:space="preserve">    </w:t>
      </w:r>
      <w:r>
        <w:rPr>
          <w:rFonts w:hint="default"/>
          <w:color w:val="auto"/>
          <w:sz w:val="21"/>
          <w:szCs w:val="24"/>
          <w:highlight w:val="none"/>
        </w:rPr>
        <w:t>址：</w:t>
      </w:r>
      <w:r>
        <w:rPr>
          <w:rFonts w:hint="eastAsia" w:ascii="Times New Roman" w:hAnsi="Times New Roman" w:eastAsia="Times New Roman"/>
          <w:color w:val="auto"/>
          <w:sz w:val="21"/>
          <w:szCs w:val="24"/>
          <w:highlight w:val="none"/>
          <w:u w:val="single"/>
        </w:rPr>
        <w:t xml:space="preserve"> </w:t>
      </w:r>
      <w:r>
        <w:rPr>
          <w:rFonts w:hint="default" w:hAnsi="Times New Roman"/>
          <w:color w:val="auto"/>
          <w:sz w:val="21"/>
          <w:szCs w:val="24"/>
          <w:highlight w:val="none"/>
          <w:u w:val="single"/>
          <w:lang w:val="en-US" w:eastAsia="zh-CN"/>
        </w:rPr>
        <w:t xml:space="preserve">                                                   </w:t>
      </w:r>
    </w:p>
    <w:p w14:paraId="7AFB81A5">
      <w:pPr>
        <w:pStyle w:val="11"/>
        <w:tabs>
          <w:tab w:val="left" w:pos="3232"/>
          <w:tab w:val="left" w:pos="8529"/>
        </w:tabs>
        <w:kinsoku w:val="0"/>
        <w:overflowPunct w:val="0"/>
        <w:spacing w:before="36" w:line="360" w:lineRule="auto"/>
        <w:ind w:firstLine="3360" w:firstLineChars="1600"/>
        <w:rPr>
          <w:rFonts w:hint="eastAsia" w:ascii="Times New Roman" w:hAnsi="Times New Roman" w:eastAsia="Times New Roman"/>
          <w:color w:val="auto"/>
          <w:sz w:val="21"/>
          <w:szCs w:val="24"/>
          <w:highlight w:val="none"/>
          <w:u w:val="single"/>
          <w:lang w:val="en-US" w:eastAsia="zh-CN"/>
        </w:rPr>
      </w:pPr>
      <w:r>
        <w:rPr>
          <w:rFonts w:hint="default"/>
          <w:color w:val="auto"/>
          <w:sz w:val="21"/>
          <w:szCs w:val="24"/>
          <w:highlight w:val="none"/>
        </w:rPr>
        <w:t>电</w:t>
      </w:r>
      <w:r>
        <w:rPr>
          <w:rFonts w:hint="default"/>
          <w:color w:val="auto"/>
          <w:sz w:val="21"/>
          <w:szCs w:val="24"/>
          <w:highlight w:val="none"/>
          <w:lang w:val="en-US" w:eastAsia="zh-CN"/>
        </w:rPr>
        <w:t xml:space="preserve">    </w:t>
      </w:r>
      <w:r>
        <w:rPr>
          <w:rFonts w:hint="default"/>
          <w:color w:val="auto"/>
          <w:sz w:val="21"/>
          <w:szCs w:val="24"/>
          <w:highlight w:val="none"/>
        </w:rPr>
        <w:t>话：</w:t>
      </w:r>
      <w:r>
        <w:rPr>
          <w:rFonts w:hint="default"/>
          <w:color w:val="auto"/>
          <w:sz w:val="21"/>
          <w:szCs w:val="24"/>
          <w:highlight w:val="none"/>
          <w:u w:val="single"/>
          <w:lang w:val="en-US" w:eastAsia="zh-CN"/>
        </w:rPr>
        <w:t xml:space="preserve">                          </w:t>
      </w:r>
    </w:p>
    <w:p w14:paraId="28C97D4D">
      <w:pPr>
        <w:pStyle w:val="11"/>
        <w:tabs>
          <w:tab w:val="left" w:pos="3232"/>
          <w:tab w:val="left" w:pos="8529"/>
        </w:tabs>
        <w:kinsoku w:val="0"/>
        <w:overflowPunct w:val="0"/>
        <w:spacing w:before="36" w:line="360" w:lineRule="auto"/>
        <w:ind w:firstLine="3360" w:firstLineChars="1600"/>
        <w:rPr>
          <w:rFonts w:hint="eastAsia" w:ascii="Times New Roman" w:hAnsi="Times New Roman" w:eastAsia="Times New Roman"/>
          <w:color w:val="auto"/>
          <w:sz w:val="21"/>
          <w:szCs w:val="24"/>
          <w:highlight w:val="none"/>
          <w:u w:val="single"/>
          <w:lang w:val="en-US" w:eastAsia="zh-CN"/>
        </w:rPr>
      </w:pPr>
      <w:r>
        <w:rPr>
          <w:rFonts w:hint="default"/>
          <w:color w:val="auto"/>
          <w:sz w:val="21"/>
          <w:szCs w:val="24"/>
          <w:highlight w:val="none"/>
        </w:rPr>
        <w:t>传</w:t>
      </w:r>
      <w:r>
        <w:rPr>
          <w:rFonts w:hint="default"/>
          <w:color w:val="auto"/>
          <w:sz w:val="21"/>
          <w:szCs w:val="24"/>
          <w:highlight w:val="none"/>
          <w:lang w:val="en-US" w:eastAsia="zh-CN"/>
        </w:rPr>
        <w:t xml:space="preserve">    </w:t>
      </w:r>
      <w:r>
        <w:rPr>
          <w:rFonts w:hint="default"/>
          <w:color w:val="auto"/>
          <w:sz w:val="21"/>
          <w:szCs w:val="24"/>
          <w:highlight w:val="none"/>
        </w:rPr>
        <w:t>真：</w:t>
      </w:r>
      <w:r>
        <w:rPr>
          <w:rFonts w:hint="default"/>
          <w:color w:val="auto"/>
          <w:sz w:val="21"/>
          <w:szCs w:val="24"/>
          <w:highlight w:val="none"/>
          <w:u w:val="single"/>
          <w:lang w:val="en-US" w:eastAsia="zh-CN"/>
        </w:rPr>
        <w:t xml:space="preserve">                          </w:t>
      </w:r>
    </w:p>
    <w:p w14:paraId="47EE0153">
      <w:pPr>
        <w:pStyle w:val="11"/>
        <w:tabs>
          <w:tab w:val="left" w:pos="8529"/>
        </w:tabs>
        <w:kinsoku w:val="0"/>
        <w:overflowPunct w:val="0"/>
        <w:spacing w:before="36" w:line="360" w:lineRule="auto"/>
        <w:ind w:left="2601" w:firstLine="1260" w:firstLineChars="600"/>
        <w:rPr>
          <w:rFonts w:hint="eastAsia" w:ascii="Times New Roman" w:hAnsi="Times New Roman" w:eastAsia="Times New Roman"/>
          <w:color w:val="auto"/>
          <w:sz w:val="21"/>
          <w:szCs w:val="24"/>
          <w:highlight w:val="none"/>
          <w:u w:val="single"/>
          <w:lang w:val="en-US" w:eastAsia="zh-CN"/>
        </w:rPr>
      </w:pPr>
      <w:r>
        <w:rPr>
          <w:rFonts w:hint="default"/>
          <w:color w:val="auto"/>
          <w:sz w:val="21"/>
          <w:szCs w:val="24"/>
          <w:highlight w:val="none"/>
        </w:rPr>
        <w:t>邮政编码：</w:t>
      </w:r>
      <w:r>
        <w:rPr>
          <w:rFonts w:hint="eastAsia" w:ascii="Times New Roman" w:hAnsi="Times New Roman" w:eastAsia="Times New Roman"/>
          <w:color w:val="auto"/>
          <w:sz w:val="21"/>
          <w:szCs w:val="24"/>
          <w:highlight w:val="none"/>
          <w:u w:val="single"/>
        </w:rPr>
        <w:t xml:space="preserve"> </w:t>
      </w:r>
      <w:r>
        <w:rPr>
          <w:rFonts w:hint="default" w:hAnsi="Times New Roman"/>
          <w:color w:val="auto"/>
          <w:sz w:val="21"/>
          <w:szCs w:val="24"/>
          <w:highlight w:val="none"/>
          <w:u w:val="single"/>
          <w:lang w:val="en-US" w:eastAsia="zh-CN"/>
        </w:rPr>
        <w:t xml:space="preserve">                                                   </w:t>
      </w:r>
    </w:p>
    <w:p w14:paraId="13C81271">
      <w:pPr>
        <w:pStyle w:val="11"/>
        <w:tabs>
          <w:tab w:val="left" w:pos="8529"/>
        </w:tabs>
        <w:kinsoku w:val="0"/>
        <w:overflowPunct w:val="0"/>
        <w:spacing w:before="36" w:line="360" w:lineRule="auto"/>
        <w:ind w:left="2601"/>
        <w:rPr>
          <w:rFonts w:hint="eastAsia" w:ascii="Times New Roman" w:hAnsi="Times New Roman" w:eastAsia="Times New Roman"/>
          <w:color w:val="auto"/>
          <w:sz w:val="21"/>
          <w:szCs w:val="24"/>
          <w:highlight w:val="none"/>
          <w:u w:val="single"/>
          <w:lang w:val="en-US" w:eastAsia="zh-CN"/>
        </w:rPr>
      </w:pPr>
      <w:r>
        <w:rPr>
          <w:rFonts w:hint="default" w:hAnsi="Times New Roman"/>
          <w:color w:val="auto"/>
          <w:sz w:val="21"/>
          <w:szCs w:val="24"/>
          <w:highlight w:val="none"/>
          <w:lang w:val="en-US" w:eastAsia="zh-CN"/>
        </w:rPr>
        <w:t xml:space="preserve">                  </w:t>
      </w:r>
      <w:r>
        <w:rPr>
          <w:rFonts w:hint="default" w:hAnsi="Times New Roman"/>
          <w:color w:val="auto"/>
          <w:sz w:val="21"/>
          <w:szCs w:val="24"/>
          <w:highlight w:val="none"/>
          <w:u w:val="single"/>
          <w:lang w:val="en-US" w:eastAsia="zh-CN"/>
        </w:rPr>
        <w:t xml:space="preserve">       </w:t>
      </w:r>
      <w:r>
        <w:rPr>
          <w:rFonts w:hint="default" w:hAnsi="Times New Roman"/>
          <w:color w:val="auto"/>
          <w:sz w:val="21"/>
          <w:szCs w:val="24"/>
          <w:highlight w:val="none"/>
          <w:lang w:val="en-US" w:eastAsia="zh-CN"/>
        </w:rPr>
        <w:t>年</w:t>
      </w:r>
      <w:r>
        <w:rPr>
          <w:rFonts w:hint="default" w:hAnsi="Times New Roman"/>
          <w:color w:val="auto"/>
          <w:sz w:val="21"/>
          <w:szCs w:val="24"/>
          <w:highlight w:val="none"/>
          <w:u w:val="single"/>
          <w:lang w:val="en-US" w:eastAsia="zh-CN"/>
        </w:rPr>
        <w:t xml:space="preserve">       </w:t>
      </w:r>
      <w:r>
        <w:rPr>
          <w:rFonts w:hint="default" w:hAnsi="Times New Roman"/>
          <w:color w:val="auto"/>
          <w:sz w:val="21"/>
          <w:szCs w:val="24"/>
          <w:highlight w:val="none"/>
          <w:lang w:val="en-US" w:eastAsia="zh-CN"/>
        </w:rPr>
        <w:t>月</w:t>
      </w:r>
      <w:r>
        <w:rPr>
          <w:rFonts w:hint="default" w:hAnsi="Times New Roman"/>
          <w:color w:val="auto"/>
          <w:sz w:val="21"/>
          <w:szCs w:val="24"/>
          <w:highlight w:val="none"/>
          <w:u w:val="single"/>
          <w:lang w:val="en-US" w:eastAsia="zh-CN"/>
        </w:rPr>
        <w:t xml:space="preserve">      </w:t>
      </w:r>
      <w:r>
        <w:rPr>
          <w:rFonts w:hint="default" w:hAnsi="Times New Roman"/>
          <w:color w:val="auto"/>
          <w:sz w:val="21"/>
          <w:szCs w:val="24"/>
          <w:highlight w:val="none"/>
          <w:lang w:val="en-US" w:eastAsia="zh-CN"/>
        </w:rPr>
        <w:t>日</w:t>
      </w:r>
    </w:p>
    <w:p w14:paraId="609C8F27">
      <w:pPr>
        <w:pStyle w:val="11"/>
        <w:tabs>
          <w:tab w:val="left" w:pos="631"/>
          <w:tab w:val="left" w:pos="1471"/>
          <w:tab w:val="left" w:pos="2311"/>
        </w:tabs>
        <w:kinsoku w:val="0"/>
        <w:overflowPunct w:val="0"/>
        <w:spacing w:before="36" w:line="360" w:lineRule="auto"/>
        <w:ind w:left="0" w:right="117"/>
        <w:jc w:val="right"/>
        <w:rPr>
          <w:rFonts w:hint="default"/>
          <w:color w:val="auto"/>
          <w:sz w:val="21"/>
          <w:szCs w:val="24"/>
          <w:highlight w:val="none"/>
        </w:rPr>
        <w:sectPr>
          <w:footerReference r:id="rId11" w:type="default"/>
          <w:pgSz w:w="11905" w:h="16838"/>
          <w:pgMar w:top="1417" w:right="1417" w:bottom="1417" w:left="1417" w:header="992" w:footer="992" w:gutter="0"/>
          <w:lnNumType w:countBy="0" w:distance="360"/>
          <w:cols w:space="720" w:num="1"/>
        </w:sectPr>
      </w:pPr>
    </w:p>
    <w:p w14:paraId="6CE5987A">
      <w:pPr>
        <w:pStyle w:val="5"/>
        <w:outlineLvl w:val="2"/>
        <w:rPr>
          <w:rFonts w:hint="default"/>
          <w:b/>
          <w:color w:val="auto"/>
          <w:sz w:val="28"/>
          <w:szCs w:val="24"/>
          <w:highlight w:val="none"/>
        </w:rPr>
      </w:pPr>
      <w:bookmarkStart w:id="47" w:name="_Toc8767"/>
      <w:r>
        <w:rPr>
          <w:rFonts w:hint="default"/>
          <w:b/>
          <w:color w:val="auto"/>
          <w:sz w:val="28"/>
          <w:szCs w:val="24"/>
          <w:highlight w:val="none"/>
        </w:rPr>
        <w:t>（二）投标函附录</w:t>
      </w:r>
      <w:bookmarkEnd w:id="47"/>
    </w:p>
    <w:p w14:paraId="1CA1DF5B">
      <w:pPr>
        <w:pStyle w:val="11"/>
        <w:kinsoku w:val="0"/>
        <w:overflowPunct w:val="0"/>
        <w:ind w:left="0"/>
        <w:rPr>
          <w:rFonts w:hint="default"/>
          <w:color w:val="auto"/>
          <w:sz w:val="20"/>
          <w:szCs w:val="24"/>
          <w:highlight w:val="none"/>
        </w:rPr>
      </w:pPr>
    </w:p>
    <w:p w14:paraId="71B16C38">
      <w:pPr>
        <w:pStyle w:val="11"/>
        <w:kinsoku w:val="0"/>
        <w:overflowPunct w:val="0"/>
        <w:spacing w:before="11"/>
        <w:ind w:left="0"/>
        <w:rPr>
          <w:rFonts w:hint="default"/>
          <w:color w:val="auto"/>
          <w:sz w:val="22"/>
          <w:szCs w:val="24"/>
          <w:highlight w:val="none"/>
        </w:rPr>
      </w:pPr>
    </w:p>
    <w:tbl>
      <w:tblPr>
        <w:tblStyle w:val="21"/>
        <w:tblW w:w="9033"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28"/>
        <w:gridCol w:w="5505"/>
      </w:tblGrid>
      <w:tr w14:paraId="34CB6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exact"/>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4F0EE6C8">
            <w:pPr>
              <w:pStyle w:val="28"/>
              <w:kinsoku w:val="0"/>
              <w:overflowPunct w:val="0"/>
              <w:spacing w:before="26"/>
              <w:jc w:val="center"/>
              <w:rPr>
                <w:rFonts w:hint="default" w:ascii="宋体" w:hAnsi="宋体" w:eastAsia="宋体" w:cs="宋体"/>
                <w:color w:val="auto"/>
                <w:sz w:val="21"/>
                <w:szCs w:val="24"/>
                <w:highlight w:val="none"/>
                <w:lang w:eastAsia="zh-CN"/>
              </w:rPr>
            </w:pPr>
            <w:r>
              <w:rPr>
                <w:rFonts w:hint="default" w:ascii="宋体" w:hAnsi="宋体" w:eastAsia="宋体" w:cs="宋体"/>
                <w:color w:val="auto"/>
                <w:sz w:val="21"/>
                <w:szCs w:val="24"/>
                <w:highlight w:val="none"/>
                <w:lang w:eastAsia="zh-CN"/>
              </w:rPr>
              <w:t>项目名称</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580AC952">
            <w:pPr>
              <w:pStyle w:val="28"/>
              <w:kinsoku w:val="0"/>
              <w:overflowPunct w:val="0"/>
              <w:spacing w:before="26"/>
              <w:jc w:val="center"/>
              <w:rPr>
                <w:rFonts w:hint="default" w:ascii="宋体" w:hAnsi="宋体" w:eastAsia="宋体" w:cs="宋体"/>
                <w:b/>
                <w:color w:val="auto"/>
                <w:sz w:val="21"/>
                <w:szCs w:val="21"/>
                <w:highlight w:val="none"/>
              </w:rPr>
            </w:pPr>
          </w:p>
        </w:tc>
      </w:tr>
      <w:tr w14:paraId="66F17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exact"/>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77BBF3C4">
            <w:pPr>
              <w:pStyle w:val="28"/>
              <w:kinsoku w:val="0"/>
              <w:overflowPunct w:val="0"/>
              <w:spacing w:before="26"/>
              <w:jc w:val="center"/>
              <w:rPr>
                <w:rFonts w:hint="default" w:ascii="宋体" w:hAnsi="宋体" w:eastAsia="宋体" w:cs="宋体"/>
                <w:color w:val="auto"/>
                <w:sz w:val="21"/>
                <w:szCs w:val="24"/>
                <w:highlight w:val="none"/>
                <w:lang w:eastAsia="zh-CN"/>
              </w:rPr>
            </w:pPr>
            <w:r>
              <w:rPr>
                <w:rFonts w:hint="default" w:ascii="宋体" w:hAnsi="宋体" w:eastAsia="宋体" w:cs="宋体"/>
                <w:color w:val="auto"/>
                <w:sz w:val="21"/>
                <w:szCs w:val="24"/>
                <w:highlight w:val="none"/>
                <w:lang w:eastAsia="zh-CN"/>
              </w:rPr>
              <w:t>投标总报价（元）</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4BAAFBDD">
            <w:pPr>
              <w:pStyle w:val="28"/>
              <w:kinsoku w:val="0"/>
              <w:overflowPunct w:val="0"/>
              <w:spacing w:before="26"/>
              <w:jc w:val="center"/>
              <w:rPr>
                <w:rFonts w:hint="default" w:ascii="宋体" w:hAnsi="宋体" w:eastAsia="宋体" w:cs="宋体"/>
                <w:b/>
                <w:color w:val="auto"/>
                <w:sz w:val="21"/>
                <w:szCs w:val="21"/>
                <w:highlight w:val="none"/>
              </w:rPr>
            </w:pPr>
          </w:p>
        </w:tc>
      </w:tr>
      <w:tr w14:paraId="04F4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exact"/>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5E0B6285">
            <w:pPr>
              <w:pStyle w:val="28"/>
              <w:kinsoku w:val="0"/>
              <w:overflowPunct w:val="0"/>
              <w:spacing w:before="26"/>
              <w:jc w:val="center"/>
              <w:rPr>
                <w:rFonts w:hint="default" w:ascii="宋体" w:hAnsi="宋体" w:eastAsia="宋体" w:cs="宋体"/>
                <w:color w:val="auto"/>
                <w:sz w:val="21"/>
                <w:szCs w:val="24"/>
                <w:highlight w:val="none"/>
                <w:lang w:eastAsia="zh-CN"/>
              </w:rPr>
            </w:pPr>
            <w:r>
              <w:rPr>
                <w:rFonts w:hint="default" w:ascii="宋体" w:hAnsi="宋体" w:eastAsia="宋体" w:cs="宋体"/>
                <w:color w:val="auto"/>
                <w:sz w:val="21"/>
                <w:szCs w:val="24"/>
                <w:highlight w:val="none"/>
                <w:lang w:eastAsia="zh-CN"/>
              </w:rPr>
              <w:t>投标报价下浮率</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308A3C3A">
            <w:pPr>
              <w:pStyle w:val="28"/>
              <w:kinsoku w:val="0"/>
              <w:overflowPunct w:val="0"/>
              <w:spacing w:before="26"/>
              <w:jc w:val="center"/>
              <w:rPr>
                <w:rFonts w:hint="default" w:ascii="宋体" w:hAnsi="宋体" w:eastAsia="宋体" w:cs="宋体"/>
                <w:b/>
                <w:color w:val="auto"/>
                <w:sz w:val="21"/>
                <w:szCs w:val="21"/>
                <w:highlight w:val="none"/>
                <w:lang w:val="en-US" w:eastAsia="zh-CN"/>
              </w:rPr>
            </w:pPr>
            <w:r>
              <w:rPr>
                <w:rFonts w:hint="default" w:ascii="宋体" w:hAnsi="宋体" w:eastAsia="宋体" w:cs="宋体"/>
                <w:b/>
                <w:color w:val="auto"/>
                <w:sz w:val="21"/>
                <w:szCs w:val="21"/>
                <w:highlight w:val="none"/>
                <w:lang w:val="en-US" w:eastAsia="zh-CN"/>
              </w:rPr>
              <w:t>%</w:t>
            </w:r>
          </w:p>
        </w:tc>
      </w:tr>
      <w:tr w14:paraId="6A3DE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8" w:hRule="exact"/>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668BA667">
            <w:pPr>
              <w:pStyle w:val="28"/>
              <w:kinsoku w:val="0"/>
              <w:overflowPunct w:val="0"/>
              <w:spacing w:before="107"/>
              <w:jc w:val="center"/>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总监理工程师</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3C2B5C2E">
            <w:pPr>
              <w:spacing w:line="360" w:lineRule="auto"/>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姓名：</w:t>
            </w:r>
            <w:r>
              <w:rPr>
                <w:rFonts w:hint="default" w:ascii="宋体" w:hAnsi="宋体" w:eastAsia="宋体" w:cs="宋体"/>
                <w:color w:val="auto"/>
                <w:sz w:val="21"/>
                <w:szCs w:val="21"/>
                <w:highlight w:val="none"/>
                <w:u w:val="single"/>
              </w:rPr>
              <w:t xml:space="preserve">                       </w:t>
            </w:r>
          </w:p>
          <w:p w14:paraId="28F8F35D">
            <w:pPr>
              <w:spacing w:line="360" w:lineRule="auto"/>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技术职称：</w:t>
            </w:r>
            <w:r>
              <w:rPr>
                <w:rFonts w:hint="default" w:ascii="宋体" w:hAnsi="宋体" w:eastAsia="宋体" w:cs="宋体"/>
                <w:color w:val="auto"/>
                <w:sz w:val="21"/>
                <w:szCs w:val="21"/>
                <w:highlight w:val="none"/>
                <w:u w:val="single"/>
              </w:rPr>
              <w:t xml:space="preserve">                    </w:t>
            </w:r>
          </w:p>
          <w:p w14:paraId="6AC581D2">
            <w:pPr>
              <w:pStyle w:val="28"/>
              <w:kinsoku w:val="0"/>
              <w:overflowPunct w:val="0"/>
              <w:spacing w:before="95" w:line="360" w:lineRule="auto"/>
              <w:jc w:val="both"/>
              <w:rPr>
                <w:rFonts w:hint="default" w:ascii="宋体" w:hAnsi="宋体" w:eastAsia="宋体" w:cs="宋体"/>
                <w:color w:val="auto"/>
                <w:sz w:val="21"/>
                <w:szCs w:val="21"/>
                <w:highlight w:val="none"/>
                <w:u w:val="single"/>
                <w:lang w:val="en-US" w:eastAsia="zh-CN"/>
              </w:rPr>
            </w:pPr>
            <w:r>
              <w:rPr>
                <w:rFonts w:hint="default" w:ascii="宋体" w:hAnsi="宋体" w:eastAsia="宋体" w:cs="宋体"/>
                <w:color w:val="auto"/>
                <w:sz w:val="21"/>
                <w:szCs w:val="21"/>
                <w:highlight w:val="none"/>
              </w:rPr>
              <w:t>注册证号：</w:t>
            </w:r>
            <w:r>
              <w:rPr>
                <w:rFonts w:hint="default" w:ascii="宋体" w:hAnsi="宋体" w:eastAsia="宋体" w:cs="宋体"/>
                <w:color w:val="auto"/>
                <w:sz w:val="21"/>
                <w:szCs w:val="21"/>
                <w:highlight w:val="none"/>
                <w:u w:val="single"/>
              </w:rPr>
              <w:t xml:space="preserve">                    </w:t>
            </w:r>
          </w:p>
        </w:tc>
      </w:tr>
      <w:tr w14:paraId="5C99B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exact"/>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32D4DD86">
            <w:pPr>
              <w:pStyle w:val="28"/>
              <w:kinsoku w:val="0"/>
              <w:overflowPunct w:val="0"/>
              <w:spacing w:before="107"/>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监理服务期限</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11753131">
            <w:pPr>
              <w:pStyle w:val="28"/>
              <w:tabs>
                <w:tab w:val="left" w:pos="734"/>
              </w:tabs>
              <w:kinsoku w:val="0"/>
              <w:overflowPunct w:val="0"/>
              <w:spacing w:before="93"/>
              <w:ind w:left="103"/>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按招标文件的要求</w:t>
            </w:r>
          </w:p>
        </w:tc>
      </w:tr>
      <w:tr w14:paraId="3F65A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exact"/>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35B07467">
            <w:pPr>
              <w:pStyle w:val="28"/>
              <w:kinsoku w:val="0"/>
              <w:overflowPunct w:val="0"/>
              <w:spacing w:before="107"/>
              <w:jc w:val="center"/>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质量标准</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5ECD82F0">
            <w:pPr>
              <w:pStyle w:val="28"/>
              <w:tabs>
                <w:tab w:val="left" w:pos="734"/>
              </w:tabs>
              <w:kinsoku w:val="0"/>
              <w:overflowPunct w:val="0"/>
              <w:spacing w:before="93"/>
              <w:ind w:left="103"/>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按招标文件</w:t>
            </w:r>
            <w:r>
              <w:rPr>
                <w:rFonts w:hint="default" w:ascii="宋体" w:hAnsi="宋体" w:eastAsia="宋体" w:cs="宋体"/>
                <w:color w:val="auto"/>
                <w:sz w:val="21"/>
                <w:szCs w:val="21"/>
                <w:highlight w:val="none"/>
                <w:lang w:eastAsia="zh-CN"/>
              </w:rPr>
              <w:t>的</w:t>
            </w:r>
            <w:r>
              <w:rPr>
                <w:rFonts w:hint="default" w:ascii="宋体" w:hAnsi="宋体" w:eastAsia="宋体" w:cs="宋体"/>
                <w:color w:val="auto"/>
                <w:sz w:val="21"/>
                <w:szCs w:val="21"/>
                <w:highlight w:val="none"/>
              </w:rPr>
              <w:t>要求</w:t>
            </w:r>
          </w:p>
        </w:tc>
      </w:tr>
    </w:tbl>
    <w:p w14:paraId="33DD3815">
      <w:pPr>
        <w:pStyle w:val="11"/>
        <w:kinsoku w:val="0"/>
        <w:overflowPunct w:val="0"/>
        <w:ind w:left="0"/>
        <w:rPr>
          <w:rFonts w:hint="default"/>
          <w:color w:val="auto"/>
          <w:sz w:val="20"/>
          <w:szCs w:val="24"/>
          <w:highlight w:val="none"/>
        </w:rPr>
      </w:pPr>
    </w:p>
    <w:p w14:paraId="7860E4EC">
      <w:pPr>
        <w:pStyle w:val="11"/>
        <w:kinsoku w:val="0"/>
        <w:overflowPunct w:val="0"/>
        <w:ind w:left="0"/>
        <w:rPr>
          <w:rFonts w:hint="default"/>
          <w:color w:val="auto"/>
          <w:sz w:val="19"/>
          <w:szCs w:val="24"/>
          <w:highlight w:val="none"/>
        </w:rPr>
      </w:pPr>
    </w:p>
    <w:p w14:paraId="5782FB3D">
      <w:pPr>
        <w:pStyle w:val="11"/>
        <w:kinsoku w:val="0"/>
        <w:overflowPunct w:val="0"/>
        <w:spacing w:before="10"/>
        <w:ind w:left="0"/>
        <w:rPr>
          <w:rFonts w:hint="default"/>
          <w:color w:val="auto"/>
          <w:sz w:val="24"/>
          <w:szCs w:val="24"/>
          <w:highlight w:val="none"/>
        </w:rPr>
      </w:pPr>
    </w:p>
    <w:p w14:paraId="07EEB73E">
      <w:pPr>
        <w:pStyle w:val="11"/>
        <w:tabs>
          <w:tab w:val="left" w:pos="631"/>
          <w:tab w:val="left" w:pos="1471"/>
          <w:tab w:val="left" w:pos="2311"/>
        </w:tabs>
        <w:kinsoku w:val="0"/>
        <w:overflowPunct w:val="0"/>
        <w:spacing w:before="36"/>
        <w:ind w:left="0" w:right="177"/>
        <w:jc w:val="right"/>
        <w:rPr>
          <w:rFonts w:hint="default"/>
          <w:color w:val="auto"/>
          <w:sz w:val="21"/>
          <w:szCs w:val="24"/>
          <w:highlight w:val="none"/>
        </w:rPr>
      </w:pPr>
      <w:r>
        <w:rPr>
          <w:rFonts w:hint="eastAsia" w:ascii="Times New Roman" w:hAnsi="Times New Roman" w:eastAsia="Times New Roman"/>
          <w:color w:val="auto"/>
          <w:sz w:val="24"/>
          <w:szCs w:val="24"/>
          <w:highlight w:val="none"/>
          <w:u w:val="single"/>
        </w:rPr>
        <w:t xml:space="preserve"> </w:t>
      </w:r>
    </w:p>
    <w:p w14:paraId="5188BEB8">
      <w:pPr>
        <w:pStyle w:val="11"/>
        <w:tabs>
          <w:tab w:val="left" w:pos="631"/>
          <w:tab w:val="left" w:pos="1471"/>
          <w:tab w:val="left" w:pos="2311"/>
        </w:tabs>
        <w:kinsoku w:val="0"/>
        <w:overflowPunct w:val="0"/>
        <w:spacing w:before="36"/>
        <w:ind w:left="0" w:right="177"/>
        <w:jc w:val="right"/>
        <w:rPr>
          <w:rFonts w:hint="default"/>
          <w:color w:val="auto"/>
          <w:sz w:val="21"/>
          <w:szCs w:val="24"/>
          <w:highlight w:val="none"/>
        </w:rPr>
        <w:sectPr>
          <w:pgSz w:w="11905" w:h="16838"/>
          <w:pgMar w:top="1417" w:right="1417" w:bottom="1417" w:left="1417" w:header="992" w:footer="992" w:gutter="0"/>
          <w:lnNumType w:countBy="0" w:distance="360"/>
          <w:cols w:space="720" w:num="1"/>
        </w:sectPr>
      </w:pPr>
    </w:p>
    <w:p w14:paraId="1228BA4B">
      <w:pPr>
        <w:pStyle w:val="4"/>
        <w:jc w:val="center"/>
        <w:outlineLvl w:val="1"/>
        <w:rPr>
          <w:rFonts w:hint="default"/>
          <w:color w:val="auto"/>
          <w:sz w:val="28"/>
          <w:szCs w:val="24"/>
          <w:highlight w:val="none"/>
        </w:rPr>
      </w:pPr>
      <w:bookmarkStart w:id="48" w:name="_Toc2313"/>
      <w:r>
        <w:rPr>
          <w:rFonts w:hint="default"/>
          <w:color w:val="auto"/>
          <w:sz w:val="28"/>
          <w:szCs w:val="24"/>
          <w:highlight w:val="none"/>
        </w:rPr>
        <w:t>二、法定代表人身份证明</w:t>
      </w:r>
      <w:bookmarkEnd w:id="48"/>
    </w:p>
    <w:p w14:paraId="4E453BCA">
      <w:pPr>
        <w:pStyle w:val="11"/>
        <w:kinsoku w:val="0"/>
        <w:overflowPunct w:val="0"/>
        <w:ind w:left="0"/>
        <w:rPr>
          <w:rFonts w:hint="eastAsia" w:ascii="Microsoft JhengHei" w:hAnsi="Microsoft JhengHei" w:eastAsia="Microsoft JhengHei"/>
          <w:b/>
          <w:color w:val="auto"/>
          <w:sz w:val="32"/>
          <w:szCs w:val="24"/>
          <w:highlight w:val="none"/>
        </w:rPr>
      </w:pPr>
    </w:p>
    <w:p w14:paraId="04D6122F">
      <w:pPr>
        <w:pStyle w:val="11"/>
        <w:kinsoku w:val="0"/>
        <w:overflowPunct w:val="0"/>
        <w:ind w:left="0"/>
        <w:rPr>
          <w:rFonts w:hint="eastAsia" w:ascii="Microsoft JhengHei" w:hAnsi="Microsoft JhengHei" w:eastAsia="Microsoft JhengHei"/>
          <w:b/>
          <w:color w:val="auto"/>
          <w:sz w:val="32"/>
          <w:szCs w:val="24"/>
          <w:highlight w:val="none"/>
        </w:rPr>
      </w:pPr>
    </w:p>
    <w:p w14:paraId="56F9FC35">
      <w:pPr>
        <w:pStyle w:val="11"/>
        <w:kinsoku w:val="0"/>
        <w:overflowPunct w:val="0"/>
        <w:spacing w:before="8"/>
        <w:ind w:left="0"/>
        <w:rPr>
          <w:rFonts w:hint="eastAsia" w:ascii="Microsoft JhengHei" w:hAnsi="Microsoft JhengHei" w:eastAsia="Microsoft JhengHei"/>
          <w:b/>
          <w:color w:val="auto"/>
          <w:sz w:val="25"/>
          <w:szCs w:val="24"/>
          <w:highlight w:val="none"/>
        </w:rPr>
      </w:pPr>
    </w:p>
    <w:p w14:paraId="07CD0B18">
      <w:pPr>
        <w:pStyle w:val="11"/>
        <w:tabs>
          <w:tab w:val="left" w:pos="3928"/>
        </w:tabs>
        <w:kinsoku w:val="0"/>
        <w:overflowPunct w:val="0"/>
        <w:ind w:left="100"/>
        <w:rPr>
          <w:rFonts w:hint="eastAsia" w:ascii="Times New Roman" w:hAnsi="Times New Roman" w:eastAsia="Times New Roman"/>
          <w:color w:val="auto"/>
          <w:sz w:val="24"/>
          <w:szCs w:val="24"/>
          <w:highlight w:val="none"/>
        </w:rPr>
      </w:pPr>
      <w:r>
        <w:rPr>
          <w:rFonts w:hint="default"/>
          <w:color w:val="auto"/>
          <w:sz w:val="24"/>
          <w:szCs w:val="24"/>
          <w:highlight w:val="none"/>
        </w:rPr>
        <w:t>投标人名称：</w:t>
      </w:r>
      <w:r>
        <w:rPr>
          <w:rFonts w:hint="eastAsia" w:ascii="Times New Roman" w:hAnsi="Times New Roman" w:eastAsia="Times New Roman"/>
          <w:color w:val="auto"/>
          <w:sz w:val="24"/>
          <w:szCs w:val="24"/>
          <w:highlight w:val="none"/>
          <w:u w:val="single"/>
        </w:rPr>
        <w:t xml:space="preserve"> </w:t>
      </w:r>
      <w:r>
        <w:rPr>
          <w:rFonts w:hint="eastAsia" w:ascii="Times New Roman" w:hAnsi="Times New Roman" w:eastAsia="Times New Roman"/>
          <w:color w:val="auto"/>
          <w:sz w:val="24"/>
          <w:szCs w:val="24"/>
          <w:highlight w:val="none"/>
          <w:u w:val="single"/>
        </w:rPr>
        <w:tab/>
      </w:r>
    </w:p>
    <w:p w14:paraId="3416A546">
      <w:pPr>
        <w:pStyle w:val="11"/>
        <w:kinsoku w:val="0"/>
        <w:overflowPunct w:val="0"/>
        <w:spacing w:before="2"/>
        <w:ind w:left="0"/>
        <w:rPr>
          <w:rFonts w:hint="eastAsia" w:ascii="Times New Roman" w:hAnsi="Times New Roman" w:eastAsia="Times New Roman"/>
          <w:color w:val="auto"/>
          <w:sz w:val="24"/>
          <w:szCs w:val="24"/>
          <w:highlight w:val="none"/>
        </w:rPr>
      </w:pPr>
    </w:p>
    <w:p w14:paraId="09B60F95">
      <w:pPr>
        <w:pStyle w:val="11"/>
        <w:tabs>
          <w:tab w:val="left" w:pos="2412"/>
          <w:tab w:val="left" w:pos="3883"/>
          <w:tab w:val="left" w:pos="5352"/>
          <w:tab w:val="left" w:pos="6869"/>
        </w:tabs>
        <w:kinsoku w:val="0"/>
        <w:overflowPunct w:val="0"/>
        <w:spacing w:before="36"/>
        <w:ind w:left="100"/>
        <w:rPr>
          <w:rFonts w:hint="eastAsia" w:ascii="Times New Roman" w:hAnsi="Times New Roman" w:eastAsia="Times New Roman"/>
          <w:color w:val="auto"/>
          <w:sz w:val="24"/>
          <w:szCs w:val="24"/>
          <w:highlight w:val="none"/>
        </w:rPr>
      </w:pPr>
      <w:r>
        <w:rPr>
          <w:rFonts w:hint="default"/>
          <w:color w:val="auto"/>
          <w:spacing w:val="-1"/>
          <w:sz w:val="24"/>
          <w:szCs w:val="24"/>
          <w:highlight w:val="none"/>
        </w:rPr>
        <w:t>姓名：</w:t>
      </w:r>
      <w:r>
        <w:rPr>
          <w:rFonts w:hint="eastAsia" w:ascii="Times New Roman" w:hAnsi="Times New Roman" w:eastAsia="Times New Roman"/>
          <w:color w:val="auto"/>
          <w:spacing w:val="-1"/>
          <w:sz w:val="24"/>
          <w:szCs w:val="24"/>
          <w:highlight w:val="none"/>
          <w:u w:val="single"/>
        </w:rPr>
        <w:tab/>
      </w:r>
      <w:r>
        <w:rPr>
          <w:rFonts w:hint="default"/>
          <w:color w:val="auto"/>
          <w:spacing w:val="-1"/>
          <w:sz w:val="24"/>
          <w:szCs w:val="24"/>
          <w:highlight w:val="none"/>
        </w:rPr>
        <w:t>性别：</w:t>
      </w:r>
      <w:r>
        <w:rPr>
          <w:rFonts w:hint="eastAsia" w:ascii="Times New Roman" w:hAnsi="Times New Roman" w:eastAsia="Times New Roman"/>
          <w:color w:val="auto"/>
          <w:spacing w:val="-1"/>
          <w:sz w:val="24"/>
          <w:szCs w:val="24"/>
          <w:highlight w:val="none"/>
          <w:u w:val="single"/>
        </w:rPr>
        <w:tab/>
      </w:r>
      <w:r>
        <w:rPr>
          <w:rFonts w:hint="default"/>
          <w:color w:val="auto"/>
          <w:spacing w:val="-2"/>
          <w:sz w:val="24"/>
          <w:szCs w:val="24"/>
          <w:highlight w:val="none"/>
        </w:rPr>
        <w:t>年龄：</w:t>
      </w:r>
      <w:r>
        <w:rPr>
          <w:rFonts w:hint="eastAsia" w:ascii="Times New Roman" w:hAnsi="Times New Roman" w:eastAsia="Times New Roman"/>
          <w:color w:val="auto"/>
          <w:spacing w:val="-2"/>
          <w:sz w:val="24"/>
          <w:szCs w:val="24"/>
          <w:highlight w:val="none"/>
          <w:u w:val="single"/>
        </w:rPr>
        <w:tab/>
      </w:r>
      <w:r>
        <w:rPr>
          <w:rFonts w:hint="default"/>
          <w:color w:val="auto"/>
          <w:spacing w:val="-2"/>
          <w:sz w:val="24"/>
          <w:szCs w:val="24"/>
          <w:highlight w:val="none"/>
        </w:rPr>
        <w:t>职务：</w:t>
      </w:r>
      <w:r>
        <w:rPr>
          <w:rFonts w:hint="eastAsia" w:ascii="Times New Roman" w:hAnsi="Times New Roman" w:eastAsia="Times New Roman"/>
          <w:color w:val="auto"/>
          <w:sz w:val="24"/>
          <w:szCs w:val="24"/>
          <w:highlight w:val="none"/>
          <w:u w:val="single"/>
        </w:rPr>
        <w:t xml:space="preserve"> </w:t>
      </w:r>
      <w:r>
        <w:rPr>
          <w:rFonts w:hint="eastAsia" w:ascii="Times New Roman" w:hAnsi="Times New Roman" w:eastAsia="Times New Roman"/>
          <w:color w:val="auto"/>
          <w:sz w:val="24"/>
          <w:szCs w:val="24"/>
          <w:highlight w:val="none"/>
          <w:u w:val="single"/>
        </w:rPr>
        <w:tab/>
      </w:r>
    </w:p>
    <w:p w14:paraId="3034B8B5">
      <w:pPr>
        <w:pStyle w:val="11"/>
        <w:kinsoku w:val="0"/>
        <w:overflowPunct w:val="0"/>
        <w:spacing w:before="5"/>
        <w:ind w:left="0"/>
        <w:rPr>
          <w:rFonts w:hint="eastAsia" w:ascii="Times New Roman" w:hAnsi="Times New Roman" w:eastAsia="Times New Roman"/>
          <w:color w:val="auto"/>
          <w:sz w:val="24"/>
          <w:szCs w:val="24"/>
          <w:highlight w:val="none"/>
        </w:rPr>
      </w:pPr>
    </w:p>
    <w:p w14:paraId="303C654D">
      <w:pPr>
        <w:pStyle w:val="11"/>
        <w:tabs>
          <w:tab w:val="left" w:pos="2832"/>
        </w:tabs>
        <w:kinsoku w:val="0"/>
        <w:overflowPunct w:val="0"/>
        <w:spacing w:before="36"/>
        <w:ind w:left="100"/>
        <w:rPr>
          <w:rFonts w:hint="default"/>
          <w:color w:val="auto"/>
          <w:spacing w:val="-2"/>
          <w:sz w:val="24"/>
          <w:szCs w:val="24"/>
          <w:highlight w:val="none"/>
        </w:rPr>
      </w:pPr>
      <w:r>
        <w:rPr>
          <w:rFonts w:hint="default"/>
          <w:color w:val="auto"/>
          <w:spacing w:val="-1"/>
          <w:sz w:val="24"/>
          <w:szCs w:val="24"/>
          <w:highlight w:val="none"/>
        </w:rPr>
        <w:t>系</w:t>
      </w:r>
      <w:r>
        <w:rPr>
          <w:rFonts w:hint="eastAsia" w:ascii="Times New Roman" w:hAnsi="Times New Roman" w:eastAsia="Times New Roman"/>
          <w:color w:val="auto"/>
          <w:spacing w:val="-1"/>
          <w:sz w:val="24"/>
          <w:szCs w:val="24"/>
          <w:highlight w:val="none"/>
          <w:u w:val="single"/>
        </w:rPr>
        <w:tab/>
      </w:r>
      <w:r>
        <w:rPr>
          <w:rFonts w:hint="default"/>
          <w:color w:val="auto"/>
          <w:spacing w:val="-2"/>
          <w:sz w:val="24"/>
          <w:szCs w:val="24"/>
          <w:highlight w:val="none"/>
        </w:rPr>
        <w:t>（投标人名称）的法定代表人。</w:t>
      </w:r>
    </w:p>
    <w:p w14:paraId="6104651D">
      <w:pPr>
        <w:pStyle w:val="11"/>
        <w:kinsoku w:val="0"/>
        <w:overflowPunct w:val="0"/>
        <w:spacing w:before="10"/>
        <w:ind w:left="0"/>
        <w:rPr>
          <w:rFonts w:hint="default"/>
          <w:color w:val="auto"/>
          <w:sz w:val="24"/>
          <w:szCs w:val="24"/>
          <w:highlight w:val="none"/>
        </w:rPr>
      </w:pPr>
    </w:p>
    <w:p w14:paraId="04DB440C">
      <w:pPr>
        <w:pStyle w:val="11"/>
        <w:kinsoku w:val="0"/>
        <w:overflowPunct w:val="0"/>
        <w:spacing w:before="36"/>
        <w:ind w:left="100" w:firstLine="419"/>
        <w:rPr>
          <w:rFonts w:hint="default"/>
          <w:color w:val="auto"/>
          <w:sz w:val="24"/>
          <w:szCs w:val="24"/>
          <w:highlight w:val="none"/>
        </w:rPr>
      </w:pPr>
      <w:r>
        <w:rPr>
          <w:rFonts w:hint="default"/>
          <w:color w:val="auto"/>
          <w:sz w:val="24"/>
          <w:szCs w:val="24"/>
          <w:highlight w:val="none"/>
        </w:rPr>
        <w:t>特此证明。</w:t>
      </w:r>
    </w:p>
    <w:p w14:paraId="3968B1A9">
      <w:pPr>
        <w:pStyle w:val="11"/>
        <w:kinsoku w:val="0"/>
        <w:overflowPunct w:val="0"/>
        <w:ind w:left="0"/>
        <w:rPr>
          <w:rFonts w:hint="default"/>
          <w:color w:val="auto"/>
          <w:sz w:val="24"/>
          <w:szCs w:val="24"/>
          <w:highlight w:val="none"/>
        </w:rPr>
      </w:pPr>
    </w:p>
    <w:p w14:paraId="2E66DF22">
      <w:pPr>
        <w:pStyle w:val="11"/>
        <w:kinsoku w:val="0"/>
        <w:overflowPunct w:val="0"/>
        <w:spacing w:before="4"/>
        <w:ind w:left="0"/>
        <w:rPr>
          <w:rFonts w:hint="default"/>
          <w:color w:val="auto"/>
          <w:sz w:val="24"/>
          <w:szCs w:val="24"/>
          <w:highlight w:val="none"/>
        </w:rPr>
      </w:pPr>
    </w:p>
    <w:p w14:paraId="1D0175A0">
      <w:pPr>
        <w:pStyle w:val="11"/>
        <w:kinsoku w:val="0"/>
        <w:overflowPunct w:val="0"/>
        <w:ind w:left="100"/>
        <w:rPr>
          <w:rFonts w:hint="default"/>
          <w:color w:val="auto"/>
          <w:sz w:val="24"/>
          <w:szCs w:val="24"/>
          <w:highlight w:val="none"/>
        </w:rPr>
      </w:pPr>
      <w:r>
        <w:rPr>
          <w:rFonts w:hint="default"/>
          <w:color w:val="auto"/>
          <w:sz w:val="24"/>
          <w:szCs w:val="24"/>
          <w:highlight w:val="none"/>
        </w:rPr>
        <w:t>附：法定代表人身份证</w:t>
      </w:r>
      <w:r>
        <w:rPr>
          <w:rFonts w:hint="default"/>
          <w:color w:val="auto"/>
          <w:sz w:val="24"/>
          <w:szCs w:val="24"/>
          <w:highlight w:val="none"/>
          <w:lang w:eastAsia="zh-CN"/>
        </w:rPr>
        <w:t>正反面扫描</w:t>
      </w:r>
      <w:r>
        <w:rPr>
          <w:rFonts w:hint="default"/>
          <w:color w:val="auto"/>
          <w:sz w:val="24"/>
          <w:szCs w:val="24"/>
          <w:highlight w:val="none"/>
        </w:rPr>
        <w:t>件。</w:t>
      </w:r>
    </w:p>
    <w:p w14:paraId="6E31ABED">
      <w:pPr>
        <w:pStyle w:val="11"/>
        <w:kinsoku w:val="0"/>
        <w:overflowPunct w:val="0"/>
        <w:ind w:left="0"/>
        <w:rPr>
          <w:rFonts w:hint="default"/>
          <w:color w:val="auto"/>
          <w:sz w:val="24"/>
          <w:szCs w:val="24"/>
          <w:highlight w:val="none"/>
        </w:rPr>
      </w:pPr>
    </w:p>
    <w:p w14:paraId="33E1C0CF">
      <w:pPr>
        <w:pStyle w:val="11"/>
        <w:kinsoku w:val="0"/>
        <w:overflowPunct w:val="0"/>
        <w:spacing w:before="2"/>
        <w:ind w:left="0"/>
        <w:rPr>
          <w:rFonts w:hint="default"/>
          <w:color w:val="auto"/>
          <w:sz w:val="24"/>
          <w:szCs w:val="24"/>
          <w:highlight w:val="none"/>
        </w:rPr>
      </w:pPr>
    </w:p>
    <w:p w14:paraId="40D16768">
      <w:pPr>
        <w:pStyle w:val="11"/>
        <w:kinsoku w:val="0"/>
        <w:overflowPunct w:val="0"/>
        <w:ind w:left="0"/>
        <w:rPr>
          <w:rFonts w:hint="default"/>
          <w:color w:val="auto"/>
          <w:sz w:val="24"/>
          <w:szCs w:val="24"/>
          <w:highlight w:val="none"/>
        </w:rPr>
      </w:pPr>
    </w:p>
    <w:p w14:paraId="1E3BD18E">
      <w:pPr>
        <w:pStyle w:val="11"/>
        <w:kinsoku w:val="0"/>
        <w:overflowPunct w:val="0"/>
        <w:ind w:left="0"/>
        <w:rPr>
          <w:rFonts w:hint="default"/>
          <w:color w:val="auto"/>
          <w:sz w:val="24"/>
          <w:szCs w:val="24"/>
          <w:highlight w:val="none"/>
        </w:rPr>
      </w:pPr>
    </w:p>
    <w:p w14:paraId="749BA3DF">
      <w:pPr>
        <w:pStyle w:val="11"/>
        <w:kinsoku w:val="0"/>
        <w:overflowPunct w:val="0"/>
        <w:ind w:left="0"/>
        <w:rPr>
          <w:rFonts w:hint="default"/>
          <w:color w:val="auto"/>
          <w:sz w:val="24"/>
          <w:szCs w:val="24"/>
          <w:highlight w:val="none"/>
        </w:rPr>
      </w:pPr>
    </w:p>
    <w:p w14:paraId="3FC6683A">
      <w:pPr>
        <w:pStyle w:val="11"/>
        <w:kinsoku w:val="0"/>
        <w:overflowPunct w:val="0"/>
        <w:spacing w:before="2"/>
        <w:ind w:left="0"/>
        <w:rPr>
          <w:rFonts w:hint="default"/>
          <w:color w:val="auto"/>
          <w:sz w:val="24"/>
          <w:szCs w:val="24"/>
          <w:highlight w:val="none"/>
        </w:rPr>
      </w:pPr>
    </w:p>
    <w:p w14:paraId="73721881">
      <w:pPr>
        <w:pStyle w:val="11"/>
        <w:tabs>
          <w:tab w:val="left" w:pos="6521"/>
        </w:tabs>
        <w:kinsoku w:val="0"/>
        <w:overflowPunct w:val="0"/>
        <w:spacing w:before="36"/>
        <w:ind w:left="4212"/>
        <w:rPr>
          <w:rFonts w:hint="default"/>
          <w:color w:val="auto"/>
          <w:spacing w:val="-1"/>
          <w:sz w:val="24"/>
          <w:szCs w:val="24"/>
          <w:highlight w:val="none"/>
        </w:rPr>
      </w:pPr>
      <w:r>
        <w:rPr>
          <w:rFonts w:hint="default"/>
          <w:color w:val="auto"/>
          <w:spacing w:val="-2"/>
          <w:sz w:val="24"/>
          <w:szCs w:val="24"/>
          <w:highlight w:val="none"/>
        </w:rPr>
        <w:t>投标人：</w:t>
      </w:r>
      <w:r>
        <w:rPr>
          <w:rFonts w:hint="eastAsia" w:ascii="Times New Roman" w:hAnsi="Times New Roman" w:eastAsia="Times New Roman"/>
          <w:color w:val="auto"/>
          <w:spacing w:val="-2"/>
          <w:sz w:val="24"/>
          <w:szCs w:val="24"/>
          <w:highlight w:val="none"/>
          <w:u w:val="single"/>
        </w:rPr>
        <w:tab/>
      </w:r>
      <w:r>
        <w:rPr>
          <w:rFonts w:hint="default"/>
          <w:color w:val="auto"/>
          <w:spacing w:val="-1"/>
          <w:sz w:val="24"/>
          <w:szCs w:val="24"/>
          <w:highlight w:val="none"/>
        </w:rPr>
        <w:t>（盖单位章）</w:t>
      </w:r>
    </w:p>
    <w:p w14:paraId="318E43D8">
      <w:pPr>
        <w:pStyle w:val="11"/>
        <w:kinsoku w:val="0"/>
        <w:overflowPunct w:val="0"/>
        <w:ind w:left="0"/>
        <w:rPr>
          <w:rFonts w:hint="default"/>
          <w:color w:val="auto"/>
          <w:sz w:val="24"/>
          <w:szCs w:val="24"/>
          <w:highlight w:val="none"/>
        </w:rPr>
      </w:pPr>
    </w:p>
    <w:p w14:paraId="64F0E37F">
      <w:pPr>
        <w:pStyle w:val="11"/>
        <w:kinsoku w:val="0"/>
        <w:overflowPunct w:val="0"/>
        <w:spacing w:before="7"/>
        <w:ind w:left="0"/>
        <w:rPr>
          <w:rFonts w:hint="default"/>
          <w:color w:val="auto"/>
          <w:sz w:val="24"/>
          <w:szCs w:val="24"/>
          <w:highlight w:val="none"/>
        </w:rPr>
      </w:pPr>
    </w:p>
    <w:p w14:paraId="5764F83E">
      <w:pPr>
        <w:pStyle w:val="11"/>
        <w:tabs>
          <w:tab w:val="left" w:pos="5352"/>
          <w:tab w:val="left" w:pos="6192"/>
          <w:tab w:val="left" w:pos="7032"/>
        </w:tabs>
        <w:kinsoku w:val="0"/>
        <w:overflowPunct w:val="0"/>
        <w:spacing w:before="36"/>
        <w:ind w:left="4721"/>
        <w:rPr>
          <w:rFonts w:hint="default"/>
          <w:color w:val="auto"/>
          <w:sz w:val="24"/>
          <w:szCs w:val="24"/>
          <w:highlight w:val="none"/>
        </w:rPr>
      </w:pPr>
      <w:r>
        <w:rPr>
          <w:rFonts w:hint="eastAsia" w:ascii="Times New Roman" w:hAnsi="Times New Roman" w:eastAsia="Times New Roman"/>
          <w:color w:val="auto"/>
          <w:sz w:val="24"/>
          <w:szCs w:val="24"/>
          <w:highlight w:val="none"/>
          <w:u w:val="single"/>
        </w:rPr>
        <w:t xml:space="preserve"> </w:t>
      </w:r>
      <w:r>
        <w:rPr>
          <w:rFonts w:hint="eastAsia" w:ascii="Times New Roman" w:hAnsi="Times New Roman" w:eastAsia="Times New Roman"/>
          <w:color w:val="auto"/>
          <w:sz w:val="24"/>
          <w:szCs w:val="24"/>
          <w:highlight w:val="none"/>
          <w:u w:val="single"/>
        </w:rPr>
        <w:tab/>
      </w:r>
      <w:r>
        <w:rPr>
          <w:rFonts w:hint="default"/>
          <w:color w:val="auto"/>
          <w:sz w:val="24"/>
          <w:szCs w:val="24"/>
          <w:highlight w:val="none"/>
        </w:rPr>
        <w:t>年</w:t>
      </w:r>
      <w:r>
        <w:rPr>
          <w:rFonts w:hint="eastAsia" w:ascii="Times New Roman" w:hAnsi="Times New Roman" w:eastAsia="Times New Roman"/>
          <w:color w:val="auto"/>
          <w:sz w:val="24"/>
          <w:szCs w:val="24"/>
          <w:highlight w:val="none"/>
          <w:u w:val="single"/>
        </w:rPr>
        <w:tab/>
      </w:r>
      <w:r>
        <w:rPr>
          <w:rFonts w:hint="default"/>
          <w:color w:val="auto"/>
          <w:sz w:val="24"/>
          <w:szCs w:val="24"/>
          <w:highlight w:val="none"/>
        </w:rPr>
        <w:t>月</w:t>
      </w:r>
      <w:r>
        <w:rPr>
          <w:rFonts w:hint="eastAsia" w:ascii="Times New Roman" w:hAnsi="Times New Roman" w:eastAsia="Times New Roman"/>
          <w:color w:val="auto"/>
          <w:sz w:val="24"/>
          <w:szCs w:val="24"/>
          <w:highlight w:val="none"/>
          <w:u w:val="single"/>
        </w:rPr>
        <w:tab/>
      </w:r>
      <w:r>
        <w:rPr>
          <w:rFonts w:hint="default"/>
          <w:color w:val="auto"/>
          <w:sz w:val="24"/>
          <w:szCs w:val="24"/>
          <w:highlight w:val="none"/>
        </w:rPr>
        <w:t>日</w:t>
      </w:r>
    </w:p>
    <w:p w14:paraId="65545803">
      <w:pPr>
        <w:pStyle w:val="11"/>
        <w:tabs>
          <w:tab w:val="left" w:pos="5352"/>
          <w:tab w:val="left" w:pos="6192"/>
          <w:tab w:val="left" w:pos="7032"/>
        </w:tabs>
        <w:kinsoku w:val="0"/>
        <w:overflowPunct w:val="0"/>
        <w:spacing w:before="36"/>
        <w:ind w:left="4721"/>
        <w:rPr>
          <w:rFonts w:hint="default"/>
          <w:color w:val="auto"/>
          <w:sz w:val="24"/>
          <w:szCs w:val="24"/>
          <w:highlight w:val="none"/>
        </w:rPr>
        <w:sectPr>
          <w:pgSz w:w="11905" w:h="16838"/>
          <w:pgMar w:top="1417" w:right="1417" w:bottom="1417" w:left="1417" w:header="992" w:footer="992" w:gutter="0"/>
          <w:lnNumType w:countBy="0" w:distance="360"/>
          <w:cols w:space="720" w:num="1"/>
        </w:sectPr>
      </w:pPr>
    </w:p>
    <w:p w14:paraId="7C1D457A">
      <w:pPr>
        <w:pStyle w:val="4"/>
        <w:jc w:val="center"/>
        <w:outlineLvl w:val="1"/>
        <w:rPr>
          <w:rFonts w:hint="default"/>
          <w:color w:val="auto"/>
          <w:sz w:val="28"/>
          <w:szCs w:val="24"/>
          <w:highlight w:val="none"/>
        </w:rPr>
      </w:pPr>
      <w:r>
        <w:rPr>
          <w:rFonts w:hint="default"/>
          <w:color w:val="auto"/>
          <w:sz w:val="28"/>
          <w:szCs w:val="24"/>
          <w:highlight w:val="none"/>
        </w:rPr>
        <w:t>二、授权委托书</w:t>
      </w:r>
    </w:p>
    <w:p w14:paraId="6B16968B">
      <w:pPr>
        <w:pStyle w:val="11"/>
        <w:kinsoku w:val="0"/>
        <w:overflowPunct w:val="0"/>
        <w:ind w:left="0"/>
        <w:rPr>
          <w:rFonts w:hint="eastAsia" w:ascii="Microsoft JhengHei" w:hAnsi="Microsoft JhengHei" w:eastAsia="Microsoft JhengHei"/>
          <w:b/>
          <w:color w:val="auto"/>
          <w:sz w:val="32"/>
          <w:szCs w:val="24"/>
          <w:highlight w:val="none"/>
        </w:rPr>
      </w:pPr>
    </w:p>
    <w:p w14:paraId="0F267FBC">
      <w:pPr>
        <w:pStyle w:val="11"/>
        <w:kinsoku w:val="0"/>
        <w:overflowPunct w:val="0"/>
        <w:spacing w:before="4"/>
        <w:ind w:left="0"/>
        <w:rPr>
          <w:rFonts w:hint="eastAsia" w:ascii="Microsoft JhengHei" w:hAnsi="Microsoft JhengHei" w:eastAsia="Microsoft JhengHei"/>
          <w:b/>
          <w:color w:val="auto"/>
          <w:sz w:val="32"/>
          <w:szCs w:val="24"/>
          <w:highlight w:val="none"/>
        </w:rPr>
      </w:pPr>
    </w:p>
    <w:p w14:paraId="38EC9E20">
      <w:pPr>
        <w:pStyle w:val="11"/>
        <w:tabs>
          <w:tab w:val="left" w:pos="3928"/>
        </w:tabs>
        <w:kinsoku w:val="0"/>
        <w:overflowPunct w:val="0"/>
        <w:spacing w:line="360" w:lineRule="auto"/>
        <w:ind w:left="0" w:firstLine="480" w:firstLineChars="200"/>
        <w:rPr>
          <w:rFonts w:hint="default" w:cs="Times New Roman"/>
          <w:color w:val="auto"/>
          <w:sz w:val="24"/>
          <w:szCs w:val="24"/>
          <w:highlight w:val="none"/>
        </w:rPr>
      </w:pPr>
      <w:r>
        <w:rPr>
          <w:rFonts w:hint="default" w:cs="Times New Roman"/>
          <w:color w:val="auto"/>
          <w:sz w:val="24"/>
          <w:szCs w:val="24"/>
          <w:highlight w:val="none"/>
        </w:rPr>
        <w:t>本人</w:t>
      </w:r>
      <w:r>
        <w:rPr>
          <w:rFonts w:hint="default"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r>
        <w:rPr>
          <w:rFonts w:hint="default" w:cs="Times New Roman"/>
          <w:color w:val="auto"/>
          <w:sz w:val="24"/>
          <w:szCs w:val="24"/>
          <w:highlight w:val="none"/>
        </w:rPr>
        <w:t>（姓名）系</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u w:val="single"/>
          <w:lang w:val="en-US" w:eastAsia="zh-CN"/>
        </w:rPr>
        <w:t xml:space="preserve">    </w:t>
      </w:r>
      <w:r>
        <w:rPr>
          <w:rFonts w:hint="default" w:cs="Times New Roman"/>
          <w:color w:val="auto"/>
          <w:sz w:val="24"/>
          <w:szCs w:val="24"/>
          <w:highlight w:val="none"/>
        </w:rPr>
        <w:t>（投标人名称）的法定代表人，现委托</w:t>
      </w:r>
      <w:r>
        <w:rPr>
          <w:rFonts w:hint="default" w:cs="Times New Roman"/>
          <w:color w:val="auto"/>
          <w:sz w:val="24"/>
          <w:szCs w:val="24"/>
          <w:highlight w:val="none"/>
          <w:u w:val="single"/>
        </w:rPr>
        <w:tab/>
      </w:r>
      <w:r>
        <w:rPr>
          <w:rFonts w:hint="default" w:cs="Times New Roman"/>
          <w:color w:val="auto"/>
          <w:sz w:val="24"/>
          <w:szCs w:val="24"/>
          <w:highlight w:val="none"/>
          <w:u w:val="single"/>
          <w:lang w:val="en-US" w:eastAsia="zh-CN"/>
        </w:rPr>
        <w:t xml:space="preserve"> </w:t>
      </w:r>
      <w:r>
        <w:rPr>
          <w:rFonts w:hint="default" w:cs="Times New Roman"/>
          <w:color w:val="auto"/>
          <w:sz w:val="24"/>
          <w:szCs w:val="24"/>
          <w:highlight w:val="none"/>
        </w:rPr>
        <w:t xml:space="preserve">（姓名）为我方代理人。代理人根据授权，以我方名义签署、澄清确认、递交、撤回、修改监理招标项目投标文件、签订合同和处理有关事宜，其法律后果由我方承担。 </w:t>
      </w:r>
    </w:p>
    <w:p w14:paraId="113C052B">
      <w:pPr>
        <w:pStyle w:val="11"/>
        <w:tabs>
          <w:tab w:val="left" w:pos="3928"/>
        </w:tabs>
        <w:kinsoku w:val="0"/>
        <w:overflowPunct w:val="0"/>
        <w:spacing w:line="360" w:lineRule="auto"/>
        <w:ind w:left="0"/>
        <w:rPr>
          <w:rFonts w:hint="default" w:cs="Times New Roman"/>
          <w:color w:val="auto"/>
          <w:sz w:val="24"/>
          <w:szCs w:val="24"/>
          <w:highlight w:val="none"/>
        </w:rPr>
      </w:pPr>
      <w:r>
        <w:rPr>
          <w:rFonts w:hint="default" w:cs="Times New Roman"/>
          <w:color w:val="auto"/>
          <w:sz w:val="24"/>
          <w:szCs w:val="24"/>
          <w:highlight w:val="none"/>
        </w:rPr>
        <w:t>委托期限：</w:t>
      </w:r>
      <w:r>
        <w:rPr>
          <w:rFonts w:hint="default" w:cs="Times New Roman"/>
          <w:color w:val="auto"/>
          <w:sz w:val="24"/>
          <w:szCs w:val="24"/>
          <w:highlight w:val="none"/>
          <w:u w:val="single"/>
        </w:rPr>
        <w:tab/>
      </w:r>
      <w:r>
        <w:rPr>
          <w:rFonts w:hint="default" w:cs="Times New Roman"/>
          <w:color w:val="auto"/>
          <w:sz w:val="24"/>
          <w:szCs w:val="24"/>
          <w:highlight w:val="none"/>
        </w:rPr>
        <w:t>。</w:t>
      </w:r>
    </w:p>
    <w:p w14:paraId="59A96CE7">
      <w:pPr>
        <w:pStyle w:val="11"/>
        <w:tabs>
          <w:tab w:val="left" w:pos="3928"/>
        </w:tabs>
        <w:kinsoku w:val="0"/>
        <w:overflowPunct w:val="0"/>
        <w:spacing w:line="360" w:lineRule="auto"/>
        <w:ind w:left="0" w:firstLine="480" w:firstLineChars="200"/>
        <w:rPr>
          <w:rFonts w:hint="eastAsia" w:eastAsia="宋体" w:cs="Times New Roman"/>
          <w:color w:val="auto"/>
          <w:sz w:val="24"/>
          <w:szCs w:val="24"/>
          <w:highlight w:val="none"/>
          <w:lang w:eastAsia="zh-CN"/>
        </w:rPr>
      </w:pPr>
      <w:r>
        <w:rPr>
          <w:rFonts w:hint="default" w:cs="Times New Roman"/>
          <w:color w:val="auto"/>
          <w:sz w:val="24"/>
          <w:szCs w:val="24"/>
          <w:highlight w:val="none"/>
        </w:rPr>
        <w:t>代理人无转委托权。</w:t>
      </w:r>
      <w:r>
        <w:rPr>
          <w:rFonts w:hint="default"/>
          <w:color w:val="auto"/>
          <w:sz w:val="24"/>
          <w:szCs w:val="24"/>
          <w:highlight w:val="none"/>
        </w:rPr>
        <w:t>代理人为投标人正式职工</w:t>
      </w:r>
      <w:r>
        <w:rPr>
          <w:rFonts w:hint="eastAsia"/>
          <w:color w:val="auto"/>
          <w:sz w:val="24"/>
          <w:szCs w:val="24"/>
          <w:highlight w:val="none"/>
          <w:lang w:eastAsia="zh-CN"/>
        </w:rPr>
        <w:t>，</w:t>
      </w:r>
      <w:r>
        <w:rPr>
          <w:rFonts w:hint="eastAsia"/>
          <w:color w:val="auto"/>
          <w:sz w:val="24"/>
          <w:highlight w:val="none"/>
          <w:lang w:eastAsia="zh-CN"/>
        </w:rPr>
        <w:t>必须具有离投标截止时间最近的至少1个月在本单位缴纳的社保证明文件。</w:t>
      </w:r>
    </w:p>
    <w:p w14:paraId="0248706D">
      <w:pPr>
        <w:pStyle w:val="11"/>
        <w:tabs>
          <w:tab w:val="left" w:pos="3928"/>
        </w:tabs>
        <w:kinsoku w:val="0"/>
        <w:overflowPunct w:val="0"/>
        <w:spacing w:line="360" w:lineRule="auto"/>
        <w:ind w:left="100"/>
        <w:rPr>
          <w:rFonts w:hint="default" w:cs="Times New Roman"/>
          <w:color w:val="auto"/>
          <w:sz w:val="24"/>
          <w:szCs w:val="24"/>
          <w:highlight w:val="none"/>
        </w:rPr>
      </w:pPr>
    </w:p>
    <w:p w14:paraId="4A7F0304">
      <w:pPr>
        <w:pStyle w:val="11"/>
        <w:kinsoku w:val="0"/>
        <w:overflowPunct w:val="0"/>
        <w:spacing w:before="4"/>
        <w:ind w:left="0"/>
        <w:rPr>
          <w:rFonts w:hint="default"/>
          <w:color w:val="auto"/>
          <w:sz w:val="24"/>
          <w:szCs w:val="24"/>
          <w:highlight w:val="none"/>
        </w:rPr>
      </w:pPr>
    </w:p>
    <w:p w14:paraId="4FB43096">
      <w:pPr>
        <w:pStyle w:val="11"/>
        <w:kinsoku w:val="0"/>
        <w:overflowPunct w:val="0"/>
        <w:ind w:left="100" w:right="113"/>
        <w:rPr>
          <w:rFonts w:hint="default"/>
          <w:color w:val="auto"/>
          <w:sz w:val="24"/>
          <w:szCs w:val="24"/>
          <w:highlight w:val="none"/>
        </w:rPr>
      </w:pPr>
      <w:r>
        <w:rPr>
          <w:rFonts w:hint="default"/>
          <w:color w:val="auto"/>
          <w:sz w:val="24"/>
          <w:szCs w:val="24"/>
          <w:highlight w:val="none"/>
        </w:rPr>
        <w:t>附：</w:t>
      </w:r>
      <w:r>
        <w:rPr>
          <w:rFonts w:hint="default" w:cs="Times New Roman"/>
          <w:color w:val="auto"/>
          <w:sz w:val="24"/>
          <w:szCs w:val="24"/>
          <w:highlight w:val="none"/>
          <w:lang w:eastAsia="zh-CN"/>
        </w:rPr>
        <w:t>委托代理人身份证正反面和社保证明扫描件。</w:t>
      </w:r>
    </w:p>
    <w:p w14:paraId="2897EE15">
      <w:pPr>
        <w:pStyle w:val="11"/>
        <w:kinsoku w:val="0"/>
        <w:overflowPunct w:val="0"/>
        <w:ind w:left="0"/>
        <w:rPr>
          <w:rFonts w:hint="default"/>
          <w:color w:val="auto"/>
          <w:sz w:val="24"/>
          <w:szCs w:val="24"/>
          <w:highlight w:val="none"/>
        </w:rPr>
      </w:pPr>
    </w:p>
    <w:p w14:paraId="5EC9A00A">
      <w:pPr>
        <w:pStyle w:val="11"/>
        <w:kinsoku w:val="0"/>
        <w:overflowPunct w:val="0"/>
        <w:spacing w:before="2"/>
        <w:ind w:left="0"/>
        <w:rPr>
          <w:rFonts w:hint="default"/>
          <w:color w:val="auto"/>
          <w:sz w:val="24"/>
          <w:szCs w:val="24"/>
          <w:highlight w:val="none"/>
        </w:rPr>
      </w:pPr>
    </w:p>
    <w:p w14:paraId="11B13497">
      <w:pPr>
        <w:pStyle w:val="11"/>
        <w:kinsoku w:val="0"/>
        <w:overflowPunct w:val="0"/>
        <w:ind w:left="0"/>
        <w:rPr>
          <w:rFonts w:hint="default"/>
          <w:color w:val="auto"/>
          <w:sz w:val="24"/>
          <w:szCs w:val="24"/>
          <w:highlight w:val="none"/>
        </w:rPr>
      </w:pPr>
    </w:p>
    <w:p w14:paraId="6734A890">
      <w:pPr>
        <w:pStyle w:val="11"/>
        <w:kinsoku w:val="0"/>
        <w:overflowPunct w:val="0"/>
        <w:spacing w:before="4"/>
        <w:ind w:left="0"/>
        <w:rPr>
          <w:rFonts w:hint="default"/>
          <w:color w:val="auto"/>
          <w:sz w:val="24"/>
          <w:szCs w:val="24"/>
          <w:highlight w:val="none"/>
        </w:rPr>
      </w:pPr>
    </w:p>
    <w:p w14:paraId="5E41A0DB">
      <w:pPr>
        <w:pStyle w:val="11"/>
        <w:tabs>
          <w:tab w:val="left" w:pos="3216"/>
          <w:tab w:val="left" w:pos="3636"/>
          <w:tab w:val="left" w:pos="7241"/>
        </w:tabs>
        <w:kinsoku w:val="0"/>
        <w:overflowPunct w:val="0"/>
        <w:ind w:left="2793" w:right="113"/>
        <w:rPr>
          <w:rFonts w:hint="default"/>
          <w:color w:val="auto"/>
          <w:sz w:val="24"/>
          <w:szCs w:val="24"/>
          <w:highlight w:val="none"/>
        </w:rPr>
      </w:pPr>
      <w:r>
        <w:rPr>
          <w:rFonts w:hint="default"/>
          <w:color w:val="auto"/>
          <w:sz w:val="24"/>
          <w:szCs w:val="24"/>
          <w:highlight w:val="none"/>
        </w:rPr>
        <w:t>投</w:t>
      </w:r>
      <w:r>
        <w:rPr>
          <w:rFonts w:hint="default"/>
          <w:color w:val="auto"/>
          <w:sz w:val="24"/>
          <w:szCs w:val="24"/>
          <w:highlight w:val="none"/>
        </w:rPr>
        <w:tab/>
      </w:r>
      <w:r>
        <w:rPr>
          <w:rFonts w:hint="default"/>
          <w:color w:val="auto"/>
          <w:sz w:val="24"/>
          <w:szCs w:val="24"/>
          <w:highlight w:val="none"/>
        </w:rPr>
        <w:t>标</w:t>
      </w:r>
      <w:r>
        <w:rPr>
          <w:rFonts w:hint="default"/>
          <w:color w:val="auto"/>
          <w:sz w:val="24"/>
          <w:szCs w:val="24"/>
          <w:highlight w:val="none"/>
        </w:rPr>
        <w:tab/>
      </w:r>
      <w:r>
        <w:rPr>
          <w:rFonts w:hint="default"/>
          <w:color w:val="auto"/>
          <w:spacing w:val="-3"/>
          <w:sz w:val="24"/>
          <w:szCs w:val="24"/>
          <w:highlight w:val="none"/>
        </w:rPr>
        <w:t>人：</w:t>
      </w:r>
      <w:r>
        <w:rPr>
          <w:rFonts w:hint="default" w:hAnsi="Times New Roman"/>
          <w:color w:val="auto"/>
          <w:spacing w:val="-3"/>
          <w:sz w:val="24"/>
          <w:szCs w:val="24"/>
          <w:highlight w:val="none"/>
          <w:u w:val="single"/>
          <w:lang w:val="en-US" w:eastAsia="zh-CN"/>
        </w:rPr>
        <w:t xml:space="preserve">                       </w:t>
      </w:r>
      <w:r>
        <w:rPr>
          <w:rFonts w:hint="default"/>
          <w:color w:val="auto"/>
          <w:sz w:val="24"/>
          <w:szCs w:val="24"/>
          <w:highlight w:val="none"/>
        </w:rPr>
        <w:t>（盖单位章）</w:t>
      </w:r>
    </w:p>
    <w:p w14:paraId="327B18AD">
      <w:pPr>
        <w:pStyle w:val="11"/>
        <w:kinsoku w:val="0"/>
        <w:overflowPunct w:val="0"/>
        <w:ind w:left="0"/>
        <w:rPr>
          <w:rFonts w:hint="default"/>
          <w:color w:val="auto"/>
          <w:sz w:val="24"/>
          <w:szCs w:val="24"/>
          <w:highlight w:val="none"/>
        </w:rPr>
      </w:pPr>
    </w:p>
    <w:p w14:paraId="0CE24458">
      <w:pPr>
        <w:pStyle w:val="11"/>
        <w:tabs>
          <w:tab w:val="left" w:pos="6401"/>
        </w:tabs>
        <w:kinsoku w:val="0"/>
        <w:overflowPunct w:val="0"/>
        <w:spacing w:before="36"/>
        <w:ind w:left="2791" w:right="113"/>
        <w:rPr>
          <w:rFonts w:hint="default"/>
          <w:color w:val="auto"/>
          <w:spacing w:val="-1"/>
          <w:sz w:val="24"/>
          <w:szCs w:val="24"/>
          <w:highlight w:val="none"/>
        </w:rPr>
      </w:pPr>
      <w:r>
        <w:rPr>
          <w:rFonts w:hint="default"/>
          <w:color w:val="auto"/>
          <w:spacing w:val="-2"/>
          <w:sz w:val="24"/>
          <w:szCs w:val="24"/>
          <w:highlight w:val="none"/>
        </w:rPr>
        <w:t>法定代表人：</w:t>
      </w:r>
      <w:r>
        <w:rPr>
          <w:rFonts w:hint="eastAsia" w:ascii="Times New Roman" w:hAnsi="Times New Roman" w:eastAsia="Times New Roman"/>
          <w:color w:val="auto"/>
          <w:spacing w:val="-2"/>
          <w:sz w:val="24"/>
          <w:szCs w:val="24"/>
          <w:highlight w:val="none"/>
          <w:u w:val="single"/>
        </w:rPr>
        <w:tab/>
      </w:r>
      <w:r>
        <w:rPr>
          <w:rFonts w:hint="default" w:hAnsi="Times New Roman"/>
          <w:color w:val="auto"/>
          <w:spacing w:val="-2"/>
          <w:sz w:val="24"/>
          <w:szCs w:val="24"/>
          <w:highlight w:val="none"/>
          <w:u w:val="single"/>
          <w:lang w:val="en-US" w:eastAsia="zh-CN"/>
        </w:rPr>
        <w:t xml:space="preserve">    </w:t>
      </w:r>
      <w:r>
        <w:rPr>
          <w:rFonts w:hint="default"/>
          <w:color w:val="auto"/>
          <w:spacing w:val="-1"/>
          <w:sz w:val="24"/>
          <w:szCs w:val="24"/>
          <w:highlight w:val="none"/>
        </w:rPr>
        <w:t>（签字）</w:t>
      </w:r>
    </w:p>
    <w:p w14:paraId="0FBEDD1F">
      <w:pPr>
        <w:pStyle w:val="11"/>
        <w:kinsoku w:val="0"/>
        <w:overflowPunct w:val="0"/>
        <w:ind w:left="0"/>
        <w:rPr>
          <w:rFonts w:hint="default"/>
          <w:color w:val="auto"/>
          <w:sz w:val="24"/>
          <w:szCs w:val="24"/>
          <w:highlight w:val="none"/>
        </w:rPr>
      </w:pPr>
    </w:p>
    <w:p w14:paraId="6D7E48F1">
      <w:pPr>
        <w:pStyle w:val="11"/>
        <w:tabs>
          <w:tab w:val="left" w:pos="8549"/>
        </w:tabs>
        <w:kinsoku w:val="0"/>
        <w:overflowPunct w:val="0"/>
        <w:spacing w:before="36"/>
        <w:ind w:left="2793" w:right="113"/>
        <w:rPr>
          <w:rFonts w:hint="eastAsia" w:ascii="Times New Roman" w:hAnsi="Times New Roman" w:eastAsia="Times New Roman"/>
          <w:color w:val="auto"/>
          <w:sz w:val="24"/>
          <w:szCs w:val="24"/>
          <w:highlight w:val="none"/>
          <w:lang w:val="en-US" w:eastAsia="zh-CN"/>
        </w:rPr>
      </w:pPr>
      <w:r>
        <w:rPr>
          <w:rFonts w:hint="default"/>
          <w:color w:val="auto"/>
          <w:sz w:val="24"/>
          <w:szCs w:val="24"/>
          <w:highlight w:val="none"/>
        </w:rPr>
        <w:t>身份证号码：</w:t>
      </w:r>
      <w:r>
        <w:rPr>
          <w:rFonts w:hint="eastAsia" w:ascii="Times New Roman" w:hAnsi="Times New Roman" w:eastAsia="Times New Roman"/>
          <w:color w:val="auto"/>
          <w:sz w:val="24"/>
          <w:szCs w:val="24"/>
          <w:highlight w:val="none"/>
          <w:u w:val="single"/>
        </w:rPr>
        <w:t xml:space="preserve"> </w:t>
      </w:r>
      <w:r>
        <w:rPr>
          <w:rFonts w:hint="default" w:hAnsi="Times New Roman"/>
          <w:color w:val="auto"/>
          <w:sz w:val="24"/>
          <w:szCs w:val="24"/>
          <w:highlight w:val="none"/>
          <w:u w:val="single"/>
          <w:lang w:val="en-US" w:eastAsia="zh-CN"/>
        </w:rPr>
        <w:t xml:space="preserve">                        </w:t>
      </w:r>
      <w:r>
        <w:rPr>
          <w:rFonts w:hint="default" w:hAnsi="Times New Roman"/>
          <w:color w:val="auto"/>
          <w:sz w:val="24"/>
          <w:szCs w:val="24"/>
          <w:highlight w:val="none"/>
          <w:lang w:val="en-US" w:eastAsia="zh-CN"/>
        </w:rPr>
        <w:t xml:space="preserve">               </w:t>
      </w:r>
    </w:p>
    <w:p w14:paraId="66E70EEA">
      <w:pPr>
        <w:pStyle w:val="11"/>
        <w:kinsoku w:val="0"/>
        <w:overflowPunct w:val="0"/>
        <w:ind w:left="0"/>
        <w:rPr>
          <w:rFonts w:hint="eastAsia" w:ascii="Times New Roman" w:hAnsi="Times New Roman" w:eastAsia="Times New Roman"/>
          <w:color w:val="auto"/>
          <w:sz w:val="24"/>
          <w:szCs w:val="24"/>
          <w:highlight w:val="none"/>
        </w:rPr>
      </w:pPr>
    </w:p>
    <w:p w14:paraId="0CEE6BED">
      <w:pPr>
        <w:pStyle w:val="11"/>
        <w:tabs>
          <w:tab w:val="left" w:pos="7661"/>
        </w:tabs>
        <w:kinsoku w:val="0"/>
        <w:overflowPunct w:val="0"/>
        <w:spacing w:before="36"/>
        <w:ind w:left="2793" w:right="113"/>
        <w:rPr>
          <w:rFonts w:hint="default"/>
          <w:color w:val="auto"/>
          <w:spacing w:val="-1"/>
          <w:sz w:val="24"/>
          <w:szCs w:val="24"/>
          <w:highlight w:val="none"/>
        </w:rPr>
      </w:pPr>
      <w:r>
        <w:rPr>
          <w:rFonts w:hint="default"/>
          <w:color w:val="auto"/>
          <w:spacing w:val="-2"/>
          <w:sz w:val="24"/>
          <w:szCs w:val="24"/>
          <w:highlight w:val="none"/>
        </w:rPr>
        <w:t>委托代理人：</w:t>
      </w:r>
      <w:r>
        <w:rPr>
          <w:rFonts w:hint="default"/>
          <w:color w:val="auto"/>
          <w:spacing w:val="-2"/>
          <w:sz w:val="24"/>
          <w:szCs w:val="24"/>
          <w:highlight w:val="none"/>
          <w:u w:val="single"/>
          <w:lang w:val="en-US" w:eastAsia="zh-CN"/>
        </w:rPr>
        <w:t xml:space="preserve">                         </w:t>
      </w:r>
      <w:r>
        <w:rPr>
          <w:rFonts w:hint="default"/>
          <w:color w:val="auto"/>
          <w:spacing w:val="-1"/>
          <w:sz w:val="24"/>
          <w:szCs w:val="24"/>
          <w:highlight w:val="none"/>
        </w:rPr>
        <w:t>（签字）</w:t>
      </w:r>
    </w:p>
    <w:p w14:paraId="164783A2">
      <w:pPr>
        <w:pStyle w:val="11"/>
        <w:kinsoku w:val="0"/>
        <w:overflowPunct w:val="0"/>
        <w:ind w:left="0"/>
        <w:rPr>
          <w:rFonts w:hint="default"/>
          <w:color w:val="auto"/>
          <w:sz w:val="24"/>
          <w:szCs w:val="24"/>
          <w:highlight w:val="none"/>
        </w:rPr>
      </w:pPr>
    </w:p>
    <w:p w14:paraId="7FE6CBF3">
      <w:pPr>
        <w:pStyle w:val="11"/>
        <w:tabs>
          <w:tab w:val="left" w:pos="8549"/>
        </w:tabs>
        <w:kinsoku w:val="0"/>
        <w:overflowPunct w:val="0"/>
        <w:spacing w:before="36"/>
        <w:ind w:left="2793" w:right="113"/>
        <w:rPr>
          <w:rFonts w:hint="eastAsia" w:ascii="Times New Roman" w:hAnsi="Times New Roman" w:eastAsia="Times New Roman"/>
          <w:color w:val="auto"/>
          <w:sz w:val="24"/>
          <w:szCs w:val="24"/>
          <w:highlight w:val="none"/>
          <w:u w:val="single"/>
        </w:rPr>
      </w:pPr>
      <w:r>
        <w:rPr>
          <w:rFonts w:hint="default"/>
          <w:color w:val="auto"/>
          <w:sz w:val="24"/>
          <w:szCs w:val="24"/>
          <w:highlight w:val="none"/>
        </w:rPr>
        <w:t>身份证号码：</w:t>
      </w:r>
      <w:r>
        <w:rPr>
          <w:rFonts w:hint="eastAsia" w:ascii="Times New Roman" w:hAnsi="Times New Roman" w:eastAsia="Times New Roman"/>
          <w:color w:val="auto"/>
          <w:sz w:val="24"/>
          <w:szCs w:val="24"/>
          <w:highlight w:val="none"/>
          <w:u w:val="single"/>
        </w:rPr>
        <w:t xml:space="preserve"> </w:t>
      </w:r>
      <w:r>
        <w:rPr>
          <w:rFonts w:hint="default" w:hAnsi="Times New Roman"/>
          <w:color w:val="auto"/>
          <w:sz w:val="24"/>
          <w:szCs w:val="24"/>
          <w:highlight w:val="none"/>
          <w:u w:val="single"/>
          <w:lang w:val="en-US" w:eastAsia="zh-CN"/>
        </w:rPr>
        <w:t xml:space="preserve">                        </w:t>
      </w:r>
      <w:r>
        <w:rPr>
          <w:rFonts w:hint="default" w:hAnsi="Times New Roman"/>
          <w:color w:val="auto"/>
          <w:sz w:val="24"/>
          <w:szCs w:val="24"/>
          <w:highlight w:val="none"/>
          <w:lang w:val="en-US" w:eastAsia="zh-CN"/>
        </w:rPr>
        <w:t xml:space="preserve">               </w:t>
      </w:r>
    </w:p>
    <w:p w14:paraId="2D12FEEF">
      <w:pPr>
        <w:pStyle w:val="11"/>
        <w:kinsoku w:val="0"/>
        <w:overflowPunct w:val="0"/>
        <w:spacing w:before="9"/>
        <w:ind w:left="0"/>
        <w:rPr>
          <w:rFonts w:hint="eastAsia" w:ascii="Times New Roman" w:hAnsi="Times New Roman" w:eastAsia="Times New Roman"/>
          <w:color w:val="auto"/>
          <w:sz w:val="24"/>
          <w:szCs w:val="24"/>
          <w:highlight w:val="none"/>
        </w:rPr>
      </w:pPr>
    </w:p>
    <w:p w14:paraId="20A0DE07">
      <w:pPr>
        <w:pStyle w:val="11"/>
        <w:tabs>
          <w:tab w:val="left" w:pos="736"/>
          <w:tab w:val="left" w:pos="1682"/>
          <w:tab w:val="left" w:pos="2626"/>
        </w:tabs>
        <w:kinsoku w:val="0"/>
        <w:overflowPunct w:val="0"/>
        <w:spacing w:before="36"/>
        <w:ind w:left="0" w:right="113"/>
        <w:jc w:val="both"/>
        <w:rPr>
          <w:rFonts w:hint="default"/>
          <w:color w:val="auto"/>
          <w:sz w:val="24"/>
          <w:szCs w:val="24"/>
          <w:highlight w:val="none"/>
          <w:u w:val="single"/>
          <w:lang w:val="en-US" w:eastAsia="zh-CN"/>
        </w:rPr>
      </w:pPr>
      <w:r>
        <w:rPr>
          <w:rFonts w:hint="default"/>
          <w:color w:val="auto"/>
          <w:sz w:val="24"/>
          <w:szCs w:val="24"/>
          <w:highlight w:val="none"/>
          <w:lang w:val="en-US" w:eastAsia="zh-CN"/>
        </w:rPr>
        <w:t xml:space="preserve">                                  </w:t>
      </w:r>
      <w:r>
        <w:rPr>
          <w:rFonts w:hint="default"/>
          <w:color w:val="auto"/>
          <w:sz w:val="24"/>
          <w:szCs w:val="24"/>
          <w:highlight w:val="none"/>
          <w:u w:val="single"/>
          <w:lang w:val="en-US" w:eastAsia="zh-CN"/>
        </w:rPr>
        <w:t xml:space="preserve">        </w:t>
      </w:r>
      <w:r>
        <w:rPr>
          <w:rFonts w:hint="default"/>
          <w:color w:val="auto"/>
          <w:sz w:val="24"/>
          <w:szCs w:val="24"/>
          <w:highlight w:val="none"/>
          <w:lang w:val="en-US" w:eastAsia="zh-CN"/>
        </w:rPr>
        <w:t>年</w:t>
      </w:r>
      <w:r>
        <w:rPr>
          <w:rFonts w:hint="default"/>
          <w:color w:val="auto"/>
          <w:sz w:val="24"/>
          <w:szCs w:val="24"/>
          <w:highlight w:val="none"/>
          <w:u w:val="single"/>
          <w:lang w:val="en-US" w:eastAsia="zh-CN"/>
        </w:rPr>
        <w:t xml:space="preserve">     </w:t>
      </w:r>
      <w:r>
        <w:rPr>
          <w:rFonts w:hint="default"/>
          <w:color w:val="auto"/>
          <w:sz w:val="24"/>
          <w:szCs w:val="24"/>
          <w:highlight w:val="none"/>
          <w:lang w:val="en-US" w:eastAsia="zh-CN"/>
        </w:rPr>
        <w:t>月</w:t>
      </w:r>
      <w:r>
        <w:rPr>
          <w:rFonts w:hint="default"/>
          <w:color w:val="auto"/>
          <w:sz w:val="24"/>
          <w:szCs w:val="24"/>
          <w:highlight w:val="none"/>
          <w:u w:val="single"/>
          <w:lang w:val="en-US" w:eastAsia="zh-CN"/>
        </w:rPr>
        <w:t xml:space="preserve">     </w:t>
      </w:r>
      <w:r>
        <w:rPr>
          <w:rFonts w:hint="default"/>
          <w:color w:val="auto"/>
          <w:sz w:val="24"/>
          <w:szCs w:val="24"/>
          <w:highlight w:val="none"/>
          <w:lang w:val="en-US" w:eastAsia="zh-CN"/>
        </w:rPr>
        <w:t>日</w:t>
      </w:r>
    </w:p>
    <w:p w14:paraId="7C802239">
      <w:pPr>
        <w:pStyle w:val="11"/>
        <w:tabs>
          <w:tab w:val="left" w:pos="736"/>
          <w:tab w:val="left" w:pos="1682"/>
          <w:tab w:val="left" w:pos="2626"/>
        </w:tabs>
        <w:kinsoku w:val="0"/>
        <w:overflowPunct w:val="0"/>
        <w:spacing w:before="36"/>
        <w:ind w:left="0"/>
        <w:jc w:val="right"/>
        <w:rPr>
          <w:rFonts w:hint="default"/>
          <w:color w:val="auto"/>
          <w:sz w:val="24"/>
          <w:szCs w:val="24"/>
          <w:highlight w:val="none"/>
        </w:rPr>
        <w:sectPr>
          <w:pgSz w:w="11905" w:h="16838"/>
          <w:pgMar w:top="1417" w:right="1417" w:bottom="1417" w:left="1417" w:header="992" w:footer="992" w:gutter="0"/>
          <w:lnNumType w:countBy="0" w:distance="360"/>
          <w:cols w:space="720" w:num="1"/>
        </w:sectPr>
      </w:pPr>
    </w:p>
    <w:p w14:paraId="0E80C052">
      <w:pPr>
        <w:pStyle w:val="4"/>
        <w:jc w:val="center"/>
        <w:outlineLvl w:val="1"/>
        <w:rPr>
          <w:rFonts w:hint="default"/>
          <w:strike/>
          <w:color w:val="auto"/>
          <w:sz w:val="28"/>
          <w:szCs w:val="24"/>
          <w:highlight w:val="none"/>
        </w:rPr>
      </w:pPr>
      <w:r>
        <w:rPr>
          <w:rFonts w:hint="default"/>
          <w:strike/>
          <w:color w:val="auto"/>
          <w:sz w:val="28"/>
          <w:szCs w:val="24"/>
          <w:highlight w:val="none"/>
        </w:rPr>
        <w:t>三、联合体协议书</w:t>
      </w:r>
    </w:p>
    <w:p w14:paraId="04F9ADC7">
      <w:pPr>
        <w:pStyle w:val="11"/>
        <w:tabs>
          <w:tab w:val="left" w:pos="2202"/>
          <w:tab w:val="left" w:pos="6000"/>
        </w:tabs>
        <w:kinsoku w:val="0"/>
        <w:overflowPunct w:val="0"/>
        <w:spacing w:line="360" w:lineRule="auto"/>
        <w:ind w:left="0" w:firstLine="420" w:firstLineChars="200"/>
        <w:rPr>
          <w:rFonts w:hint="default"/>
          <w:strike/>
          <w:color w:val="auto"/>
          <w:spacing w:val="-1"/>
          <w:sz w:val="21"/>
          <w:szCs w:val="24"/>
          <w:highlight w:val="none"/>
        </w:rPr>
      </w:pPr>
      <w:r>
        <w:rPr>
          <w:rFonts w:hint="eastAsia" w:ascii="Times New Roman" w:hAnsi="Times New Roman" w:eastAsia="Times New Roman"/>
          <w:strike/>
          <w:color w:val="auto"/>
          <w:sz w:val="21"/>
          <w:szCs w:val="24"/>
          <w:highlight w:val="none"/>
          <w:u w:val="single"/>
        </w:rPr>
        <w:t xml:space="preserve"> </w:t>
      </w:r>
      <w:r>
        <w:rPr>
          <w:rFonts w:hint="eastAsia" w:ascii="Times New Roman" w:hAnsi="Times New Roman" w:eastAsia="Times New Roman"/>
          <w:strike/>
          <w:color w:val="auto"/>
          <w:sz w:val="21"/>
          <w:szCs w:val="24"/>
          <w:highlight w:val="none"/>
          <w:u w:val="single"/>
        </w:rPr>
        <w:tab/>
      </w:r>
      <w:r>
        <w:rPr>
          <w:rFonts w:hint="default"/>
          <w:strike/>
          <w:color w:val="auto"/>
          <w:spacing w:val="-1"/>
          <w:sz w:val="21"/>
          <w:szCs w:val="24"/>
          <w:highlight w:val="none"/>
        </w:rPr>
        <w:t>（所有成员单位名称）自愿组成</w:t>
      </w:r>
      <w:r>
        <w:rPr>
          <w:rFonts w:hint="eastAsia" w:ascii="Times New Roman" w:hAnsi="Times New Roman" w:eastAsia="Times New Roman"/>
          <w:strike/>
          <w:color w:val="auto"/>
          <w:spacing w:val="-1"/>
          <w:sz w:val="21"/>
          <w:szCs w:val="24"/>
          <w:highlight w:val="none"/>
          <w:u w:val="single"/>
        </w:rPr>
        <w:tab/>
      </w:r>
      <w:r>
        <w:rPr>
          <w:rFonts w:hint="default"/>
          <w:strike/>
          <w:color w:val="auto"/>
          <w:sz w:val="21"/>
          <w:szCs w:val="24"/>
          <w:highlight w:val="none"/>
        </w:rPr>
        <w:t>（联合体名称）联合体，共同</w:t>
      </w:r>
      <w:r>
        <w:rPr>
          <w:rFonts w:hint="default"/>
          <w:strike/>
          <w:color w:val="auto"/>
          <w:spacing w:val="-1"/>
          <w:sz w:val="21"/>
          <w:szCs w:val="24"/>
          <w:highlight w:val="none"/>
        </w:rPr>
        <w:t>参加</w:t>
      </w:r>
      <w:r>
        <w:rPr>
          <w:rFonts w:hint="eastAsia" w:ascii="Times New Roman" w:hAnsi="Times New Roman" w:eastAsia="Times New Roman"/>
          <w:strike/>
          <w:color w:val="auto"/>
          <w:spacing w:val="-1"/>
          <w:sz w:val="21"/>
          <w:szCs w:val="24"/>
          <w:highlight w:val="none"/>
          <w:u w:val="single"/>
        </w:rPr>
        <w:tab/>
      </w:r>
      <w:r>
        <w:rPr>
          <w:rFonts w:hint="default"/>
          <w:strike/>
          <w:color w:val="auto"/>
          <w:spacing w:val="-1"/>
          <w:sz w:val="21"/>
          <w:szCs w:val="24"/>
          <w:highlight w:val="none"/>
        </w:rPr>
        <w:t>（项目名称）监理招标项目投标。现就联合体投标事宜订立如下协议。</w:t>
      </w:r>
    </w:p>
    <w:p w14:paraId="1ACDC195">
      <w:pPr>
        <w:pStyle w:val="11"/>
        <w:tabs>
          <w:tab w:val="left" w:pos="2673"/>
          <w:tab w:val="left" w:pos="5614"/>
        </w:tabs>
        <w:kinsoku w:val="0"/>
        <w:overflowPunct w:val="0"/>
        <w:spacing w:before="36" w:line="360" w:lineRule="auto"/>
        <w:rPr>
          <w:rFonts w:hint="default"/>
          <w:strike/>
          <w:color w:val="auto"/>
          <w:spacing w:val="-2"/>
          <w:sz w:val="21"/>
          <w:szCs w:val="24"/>
          <w:highlight w:val="none"/>
        </w:rPr>
      </w:pPr>
      <w:r>
        <w:rPr>
          <w:rFonts w:hint="eastAsia" w:ascii="Times New Roman" w:hAnsi="Times New Roman" w:eastAsia="Times New Roman"/>
          <w:strike/>
          <w:color w:val="auto"/>
          <w:sz w:val="21"/>
          <w:szCs w:val="24"/>
          <w:highlight w:val="none"/>
        </w:rPr>
        <w:t>1.</w:t>
      </w:r>
      <w:r>
        <w:rPr>
          <w:rFonts w:hint="eastAsia" w:ascii="Times New Roman" w:hAnsi="Times New Roman" w:eastAsia="Times New Roman"/>
          <w:strike/>
          <w:color w:val="auto"/>
          <w:sz w:val="21"/>
          <w:szCs w:val="24"/>
          <w:highlight w:val="none"/>
          <w:u w:val="single"/>
        </w:rPr>
        <w:tab/>
      </w:r>
      <w:r>
        <w:rPr>
          <w:rFonts w:hint="default"/>
          <w:strike/>
          <w:color w:val="auto"/>
          <w:spacing w:val="-2"/>
          <w:sz w:val="21"/>
          <w:szCs w:val="24"/>
          <w:highlight w:val="none"/>
        </w:rPr>
        <w:t>（某成员单位名称）为</w:t>
      </w:r>
      <w:r>
        <w:rPr>
          <w:rFonts w:hint="eastAsia" w:ascii="Times New Roman" w:hAnsi="Times New Roman" w:eastAsia="Times New Roman"/>
          <w:strike/>
          <w:color w:val="auto"/>
          <w:spacing w:val="-2"/>
          <w:sz w:val="21"/>
          <w:szCs w:val="24"/>
          <w:highlight w:val="none"/>
          <w:u w:val="single"/>
        </w:rPr>
        <w:tab/>
      </w:r>
      <w:r>
        <w:rPr>
          <w:rFonts w:hint="default"/>
          <w:strike/>
          <w:color w:val="auto"/>
          <w:spacing w:val="-2"/>
          <w:sz w:val="21"/>
          <w:szCs w:val="24"/>
          <w:highlight w:val="none"/>
        </w:rPr>
        <w:t>（联合体名称）</w:t>
      </w:r>
      <w:r>
        <w:rPr>
          <w:rFonts w:hint="default"/>
          <w:strike/>
          <w:color w:val="auto"/>
          <w:spacing w:val="-2"/>
          <w:sz w:val="21"/>
          <w:szCs w:val="24"/>
          <w:highlight w:val="none"/>
          <w:lang w:eastAsia="zh-CN"/>
        </w:rPr>
        <w:t>主办方</w:t>
      </w:r>
      <w:r>
        <w:rPr>
          <w:rFonts w:hint="default"/>
          <w:strike/>
          <w:color w:val="auto"/>
          <w:spacing w:val="-2"/>
          <w:sz w:val="21"/>
          <w:szCs w:val="24"/>
          <w:highlight w:val="none"/>
        </w:rPr>
        <w:t>。</w:t>
      </w:r>
    </w:p>
    <w:p w14:paraId="032C933A">
      <w:pPr>
        <w:pStyle w:val="11"/>
        <w:kinsoku w:val="0"/>
        <w:overflowPunct w:val="0"/>
        <w:spacing w:before="148" w:line="360" w:lineRule="auto"/>
        <w:ind w:left="100" w:firstLine="419"/>
        <w:rPr>
          <w:rFonts w:hint="default"/>
          <w:strike/>
          <w:color w:val="auto"/>
          <w:sz w:val="21"/>
          <w:szCs w:val="24"/>
          <w:highlight w:val="none"/>
        </w:rPr>
      </w:pPr>
      <w:r>
        <w:rPr>
          <w:rFonts w:hint="eastAsia" w:ascii="Times New Roman" w:hAnsi="Times New Roman" w:eastAsia="Times New Roman"/>
          <w:strike/>
          <w:color w:val="auto"/>
          <w:sz w:val="21"/>
          <w:szCs w:val="24"/>
          <w:highlight w:val="none"/>
        </w:rPr>
        <w:t>2.</w:t>
      </w:r>
      <w:r>
        <w:rPr>
          <w:rFonts w:hint="eastAsia" w:ascii="Times New Roman" w:hAnsi="Times New Roman" w:eastAsia="Times New Roman"/>
          <w:strike/>
          <w:color w:val="auto"/>
          <w:spacing w:val="50"/>
          <w:sz w:val="21"/>
          <w:szCs w:val="24"/>
          <w:highlight w:val="none"/>
        </w:rPr>
        <w:t xml:space="preserve"> </w:t>
      </w:r>
      <w:r>
        <w:rPr>
          <w:rFonts w:hint="default"/>
          <w:strike/>
          <w:color w:val="auto"/>
          <w:spacing w:val="-5"/>
          <w:sz w:val="21"/>
          <w:szCs w:val="24"/>
          <w:highlight w:val="none"/>
        </w:rPr>
        <w:t>联合体各成员授权</w:t>
      </w:r>
      <w:r>
        <w:rPr>
          <w:rFonts w:hint="default"/>
          <w:strike/>
          <w:color w:val="auto"/>
          <w:spacing w:val="-2"/>
          <w:sz w:val="21"/>
          <w:szCs w:val="24"/>
          <w:highlight w:val="none"/>
          <w:lang w:eastAsia="zh-CN"/>
        </w:rPr>
        <w:t>主办方</w:t>
      </w:r>
      <w:r>
        <w:rPr>
          <w:rFonts w:hint="default"/>
          <w:strike/>
          <w:color w:val="auto"/>
          <w:spacing w:val="-5"/>
          <w:sz w:val="21"/>
          <w:szCs w:val="24"/>
          <w:highlight w:val="none"/>
        </w:rPr>
        <w:t>代表联合体参加投标活动，签署文件，提交和接收相关的资料、</w:t>
      </w:r>
      <w:r>
        <w:rPr>
          <w:rFonts w:hint="default"/>
          <w:strike/>
          <w:color w:val="auto"/>
          <w:sz w:val="21"/>
          <w:szCs w:val="24"/>
          <w:highlight w:val="none"/>
        </w:rPr>
        <w:t xml:space="preserve"> 信息及指示，进行合同谈判活动，负责合同实施阶段的组织和协调工作，以及处理与本招标项</w:t>
      </w:r>
      <w:r>
        <w:rPr>
          <w:rFonts w:hint="default"/>
          <w:strike/>
          <w:color w:val="auto"/>
          <w:spacing w:val="-78"/>
          <w:sz w:val="21"/>
          <w:szCs w:val="24"/>
          <w:highlight w:val="none"/>
        </w:rPr>
        <w:t xml:space="preserve"> </w:t>
      </w:r>
      <w:r>
        <w:rPr>
          <w:rFonts w:hint="default"/>
          <w:strike/>
          <w:color w:val="auto"/>
          <w:sz w:val="21"/>
          <w:szCs w:val="24"/>
          <w:highlight w:val="none"/>
        </w:rPr>
        <w:t>目有关的一切事宜。</w:t>
      </w:r>
    </w:p>
    <w:p w14:paraId="20710836">
      <w:pPr>
        <w:pStyle w:val="11"/>
        <w:kinsoku w:val="0"/>
        <w:overflowPunct w:val="0"/>
        <w:spacing w:before="46" w:line="360" w:lineRule="auto"/>
        <w:ind w:left="100" w:firstLine="419"/>
        <w:rPr>
          <w:rFonts w:hint="default"/>
          <w:strike/>
          <w:color w:val="auto"/>
          <w:sz w:val="21"/>
          <w:szCs w:val="24"/>
          <w:highlight w:val="none"/>
        </w:rPr>
      </w:pPr>
      <w:r>
        <w:rPr>
          <w:rFonts w:hint="eastAsia" w:ascii="Times New Roman" w:hAnsi="Times New Roman" w:eastAsia="Times New Roman"/>
          <w:strike/>
          <w:color w:val="auto"/>
          <w:sz w:val="21"/>
          <w:szCs w:val="24"/>
          <w:highlight w:val="none"/>
        </w:rPr>
        <w:t>3.</w:t>
      </w:r>
      <w:r>
        <w:rPr>
          <w:rFonts w:hint="eastAsia" w:ascii="Times New Roman" w:hAnsi="Times New Roman" w:eastAsia="Times New Roman"/>
          <w:strike/>
          <w:color w:val="auto"/>
          <w:spacing w:val="20"/>
          <w:sz w:val="21"/>
          <w:szCs w:val="24"/>
          <w:highlight w:val="none"/>
        </w:rPr>
        <w:t xml:space="preserve"> </w:t>
      </w:r>
      <w:r>
        <w:rPr>
          <w:rFonts w:hint="default"/>
          <w:strike/>
          <w:color w:val="auto"/>
          <w:spacing w:val="-3"/>
          <w:sz w:val="21"/>
          <w:szCs w:val="24"/>
          <w:highlight w:val="none"/>
        </w:rPr>
        <w:t>联合体</w:t>
      </w:r>
      <w:r>
        <w:rPr>
          <w:rFonts w:hint="default"/>
          <w:strike/>
          <w:color w:val="auto"/>
          <w:spacing w:val="-2"/>
          <w:sz w:val="21"/>
          <w:szCs w:val="24"/>
          <w:highlight w:val="none"/>
          <w:lang w:eastAsia="zh-CN"/>
        </w:rPr>
        <w:t>主办方</w:t>
      </w:r>
      <w:r>
        <w:rPr>
          <w:rFonts w:hint="default"/>
          <w:strike/>
          <w:color w:val="auto"/>
          <w:spacing w:val="-3"/>
          <w:sz w:val="21"/>
          <w:szCs w:val="24"/>
          <w:highlight w:val="none"/>
        </w:rPr>
        <w:t>在本项目中签署的一切文件和处理的一切事宜，联合体各成员均予以承认。</w:t>
      </w:r>
      <w:r>
        <w:rPr>
          <w:rFonts w:hint="default"/>
          <w:strike/>
          <w:color w:val="auto"/>
          <w:sz w:val="21"/>
          <w:szCs w:val="24"/>
          <w:highlight w:val="none"/>
        </w:rPr>
        <w:t xml:space="preserve"> 联合体各成员将严格按照招标文件、投标文件和合同的要求全面履行义务，并向招标人承担连</w:t>
      </w:r>
      <w:r>
        <w:rPr>
          <w:rFonts w:hint="default"/>
          <w:strike/>
          <w:color w:val="auto"/>
          <w:spacing w:val="-77"/>
          <w:sz w:val="21"/>
          <w:szCs w:val="24"/>
          <w:highlight w:val="none"/>
        </w:rPr>
        <w:t xml:space="preserve"> </w:t>
      </w:r>
      <w:r>
        <w:rPr>
          <w:rFonts w:hint="default"/>
          <w:strike/>
          <w:color w:val="auto"/>
          <w:sz w:val="21"/>
          <w:szCs w:val="24"/>
          <w:highlight w:val="none"/>
        </w:rPr>
        <w:t>带责任。</w:t>
      </w:r>
    </w:p>
    <w:p w14:paraId="6BCBB91D">
      <w:pPr>
        <w:pStyle w:val="11"/>
        <w:kinsoku w:val="0"/>
        <w:overflowPunct w:val="0"/>
        <w:spacing w:before="46" w:line="360" w:lineRule="auto"/>
        <w:ind w:left="100" w:firstLine="419"/>
        <w:rPr>
          <w:rFonts w:hint="default"/>
          <w:strike/>
          <w:color w:val="auto"/>
          <w:spacing w:val="-3"/>
          <w:sz w:val="21"/>
          <w:szCs w:val="24"/>
          <w:highlight w:val="none"/>
        </w:rPr>
      </w:pPr>
      <w:bookmarkStart w:id="49" w:name="_Toc29760"/>
      <w:r>
        <w:rPr>
          <w:rFonts w:hint="eastAsia"/>
          <w:strike/>
          <w:color w:val="auto"/>
          <w:spacing w:val="-3"/>
          <w:sz w:val="21"/>
          <w:szCs w:val="24"/>
          <w:highlight w:val="none"/>
        </w:rPr>
        <w:t>4.</w:t>
      </w:r>
      <w:r>
        <w:rPr>
          <w:rFonts w:hint="default"/>
          <w:strike/>
          <w:color w:val="auto"/>
          <w:spacing w:val="-3"/>
          <w:sz w:val="21"/>
          <w:szCs w:val="24"/>
          <w:highlight w:val="none"/>
        </w:rPr>
        <w:t>联合体各成员单位内部的职责分工如下：</w:t>
      </w:r>
      <w:r>
        <w:rPr>
          <w:rFonts w:hint="eastAsia"/>
          <w:strike/>
          <w:color w:val="auto"/>
          <w:spacing w:val="-3"/>
          <w:sz w:val="21"/>
          <w:szCs w:val="24"/>
          <w:highlight w:val="none"/>
          <w:u w:val="single"/>
          <w:lang w:val="en-US" w:eastAsia="zh-CN"/>
        </w:rPr>
        <w:t xml:space="preserve">                     </w:t>
      </w:r>
      <w:r>
        <w:rPr>
          <w:rFonts w:hint="eastAsia"/>
          <w:strike/>
          <w:color w:val="auto"/>
          <w:spacing w:val="-3"/>
          <w:sz w:val="21"/>
          <w:szCs w:val="24"/>
          <w:highlight w:val="none"/>
          <w:u w:val="single"/>
        </w:rPr>
        <w:tab/>
      </w:r>
      <w:r>
        <w:rPr>
          <w:rFonts w:hint="default"/>
          <w:strike/>
          <w:color w:val="auto"/>
          <w:spacing w:val="-3"/>
          <w:sz w:val="21"/>
          <w:szCs w:val="24"/>
          <w:highlight w:val="none"/>
        </w:rPr>
        <w:t>。</w:t>
      </w:r>
      <w:bookmarkEnd w:id="49"/>
    </w:p>
    <w:p w14:paraId="4804685C">
      <w:pPr>
        <w:pStyle w:val="11"/>
        <w:kinsoku w:val="0"/>
        <w:overflowPunct w:val="0"/>
        <w:spacing w:before="151" w:line="360" w:lineRule="auto"/>
        <w:ind w:left="100" w:firstLine="419"/>
        <w:rPr>
          <w:rFonts w:hint="default"/>
          <w:strike/>
          <w:color w:val="auto"/>
          <w:sz w:val="21"/>
          <w:szCs w:val="24"/>
          <w:highlight w:val="none"/>
        </w:rPr>
      </w:pPr>
      <w:r>
        <w:rPr>
          <w:rFonts w:hint="eastAsia" w:ascii="Times New Roman" w:hAnsi="Times New Roman" w:eastAsia="Times New Roman"/>
          <w:strike/>
          <w:color w:val="auto"/>
          <w:sz w:val="21"/>
          <w:szCs w:val="24"/>
          <w:highlight w:val="none"/>
        </w:rPr>
        <w:t>5.</w:t>
      </w:r>
      <w:r>
        <w:rPr>
          <w:rFonts w:hint="eastAsia" w:ascii="Times New Roman" w:hAnsi="Times New Roman" w:eastAsia="Times New Roman"/>
          <w:strike/>
          <w:color w:val="auto"/>
          <w:spacing w:val="27"/>
          <w:sz w:val="21"/>
          <w:szCs w:val="24"/>
          <w:highlight w:val="none"/>
        </w:rPr>
        <w:t xml:space="preserve"> </w:t>
      </w:r>
      <w:r>
        <w:rPr>
          <w:rFonts w:hint="default"/>
          <w:strike/>
          <w:color w:val="auto"/>
          <w:sz w:val="21"/>
          <w:szCs w:val="24"/>
          <w:highlight w:val="none"/>
        </w:rPr>
        <w:t>本协议书自所有成员单位法定代表人或其委托代理人签字或盖单位章之日起生效，合同 履行完毕后自动失效。</w:t>
      </w:r>
    </w:p>
    <w:p w14:paraId="252B681A">
      <w:pPr>
        <w:pStyle w:val="11"/>
        <w:tabs>
          <w:tab w:val="left" w:pos="2464"/>
        </w:tabs>
        <w:kinsoku w:val="0"/>
        <w:overflowPunct w:val="0"/>
        <w:spacing w:before="57" w:line="360" w:lineRule="auto"/>
        <w:rPr>
          <w:rFonts w:hint="default"/>
          <w:strike/>
          <w:color w:val="auto"/>
          <w:sz w:val="21"/>
          <w:szCs w:val="24"/>
          <w:highlight w:val="none"/>
        </w:rPr>
      </w:pPr>
      <w:r>
        <w:rPr>
          <w:rFonts w:hint="eastAsia" w:ascii="Times New Roman" w:hAnsi="Times New Roman" w:eastAsia="Times New Roman"/>
          <w:strike/>
          <w:color w:val="auto"/>
          <w:sz w:val="21"/>
          <w:szCs w:val="24"/>
          <w:highlight w:val="none"/>
        </w:rPr>
        <w:t>6.</w:t>
      </w:r>
      <w:r>
        <w:rPr>
          <w:rFonts w:hint="eastAsia" w:ascii="Times New Roman" w:hAnsi="Times New Roman" w:eastAsia="Times New Roman"/>
          <w:strike/>
          <w:color w:val="auto"/>
          <w:spacing w:val="50"/>
          <w:sz w:val="21"/>
          <w:szCs w:val="24"/>
          <w:highlight w:val="none"/>
        </w:rPr>
        <w:t xml:space="preserve"> </w:t>
      </w:r>
      <w:r>
        <w:rPr>
          <w:rFonts w:hint="default"/>
          <w:strike/>
          <w:color w:val="auto"/>
          <w:sz w:val="21"/>
          <w:szCs w:val="24"/>
          <w:highlight w:val="none"/>
        </w:rPr>
        <w:t>本协议书一式</w:t>
      </w:r>
      <w:r>
        <w:rPr>
          <w:rFonts w:hint="eastAsia" w:ascii="Times New Roman" w:hAnsi="Times New Roman" w:eastAsia="Times New Roman"/>
          <w:strike/>
          <w:color w:val="auto"/>
          <w:sz w:val="21"/>
          <w:szCs w:val="24"/>
          <w:highlight w:val="none"/>
          <w:u w:val="single"/>
        </w:rPr>
        <w:tab/>
      </w:r>
      <w:r>
        <w:rPr>
          <w:rFonts w:hint="default" w:hAnsi="Times New Roman"/>
          <w:strike/>
          <w:color w:val="auto"/>
          <w:sz w:val="21"/>
          <w:szCs w:val="24"/>
          <w:highlight w:val="none"/>
          <w:u w:val="single"/>
          <w:lang w:val="en-US" w:eastAsia="zh-CN"/>
        </w:rPr>
        <w:t xml:space="preserve">     </w:t>
      </w:r>
      <w:r>
        <w:rPr>
          <w:rFonts w:hint="default"/>
          <w:strike/>
          <w:color w:val="auto"/>
          <w:sz w:val="21"/>
          <w:szCs w:val="24"/>
          <w:highlight w:val="none"/>
        </w:rPr>
        <w:t>份，联合体成员和招标人各执一份。</w:t>
      </w:r>
    </w:p>
    <w:p w14:paraId="6147088D">
      <w:pPr>
        <w:pStyle w:val="11"/>
        <w:kinsoku w:val="0"/>
        <w:overflowPunct w:val="0"/>
        <w:spacing w:before="36" w:line="360" w:lineRule="auto"/>
        <w:ind w:left="100" w:firstLine="419"/>
        <w:rPr>
          <w:rFonts w:hint="default"/>
          <w:strike/>
          <w:color w:val="auto"/>
          <w:sz w:val="21"/>
          <w:szCs w:val="24"/>
          <w:highlight w:val="none"/>
        </w:rPr>
      </w:pPr>
      <w:r>
        <w:rPr>
          <w:rFonts w:hint="default"/>
          <w:strike/>
          <w:color w:val="auto"/>
          <w:spacing w:val="-1"/>
          <w:sz w:val="21"/>
          <w:szCs w:val="24"/>
          <w:highlight w:val="none"/>
        </w:rPr>
        <w:t>注：本协议书由法定代表人签字的，应附法定代表人身份证明；由委托代理人签字的，应附法定代表人身份证明</w:t>
      </w:r>
      <w:r>
        <w:rPr>
          <w:rFonts w:hint="default"/>
          <w:strike/>
          <w:color w:val="auto"/>
          <w:spacing w:val="-1"/>
          <w:sz w:val="21"/>
          <w:szCs w:val="24"/>
          <w:highlight w:val="none"/>
          <w:lang w:eastAsia="zh-CN"/>
        </w:rPr>
        <w:t>和</w:t>
      </w:r>
      <w:r>
        <w:rPr>
          <w:rFonts w:hint="default"/>
          <w:strike/>
          <w:color w:val="auto"/>
          <w:sz w:val="21"/>
          <w:szCs w:val="24"/>
          <w:highlight w:val="none"/>
        </w:rPr>
        <w:t>授权委托书。</w:t>
      </w:r>
    </w:p>
    <w:p w14:paraId="5F4BB05C">
      <w:pPr>
        <w:pStyle w:val="11"/>
        <w:kinsoku w:val="0"/>
        <w:overflowPunct w:val="0"/>
        <w:spacing w:before="36" w:line="360" w:lineRule="auto"/>
        <w:ind w:left="100" w:firstLine="419"/>
        <w:rPr>
          <w:rFonts w:hint="default"/>
          <w:strike/>
          <w:color w:val="auto"/>
          <w:sz w:val="21"/>
          <w:szCs w:val="24"/>
          <w:highlight w:val="none"/>
        </w:rPr>
      </w:pPr>
    </w:p>
    <w:p w14:paraId="4CB61FDB">
      <w:pPr>
        <w:pStyle w:val="11"/>
        <w:tabs>
          <w:tab w:val="left" w:pos="7241"/>
        </w:tabs>
        <w:kinsoku w:val="0"/>
        <w:overflowPunct w:val="0"/>
        <w:spacing w:line="360" w:lineRule="auto"/>
        <w:ind w:left="2510"/>
        <w:rPr>
          <w:rFonts w:hint="default"/>
          <w:strike/>
          <w:color w:val="auto"/>
          <w:sz w:val="21"/>
          <w:szCs w:val="24"/>
          <w:highlight w:val="none"/>
        </w:rPr>
      </w:pPr>
      <w:r>
        <w:rPr>
          <w:rFonts w:hint="default"/>
          <w:strike/>
          <w:color w:val="auto"/>
          <w:spacing w:val="-2"/>
          <w:sz w:val="21"/>
          <w:szCs w:val="24"/>
          <w:highlight w:val="none"/>
        </w:rPr>
        <w:t>联合体</w:t>
      </w:r>
      <w:r>
        <w:rPr>
          <w:rFonts w:hint="default"/>
          <w:strike/>
          <w:color w:val="auto"/>
          <w:spacing w:val="-2"/>
          <w:sz w:val="21"/>
          <w:szCs w:val="24"/>
          <w:highlight w:val="none"/>
          <w:lang w:eastAsia="zh-CN"/>
        </w:rPr>
        <w:t>主办方</w:t>
      </w:r>
      <w:r>
        <w:rPr>
          <w:rFonts w:hint="default"/>
          <w:strike/>
          <w:color w:val="auto"/>
          <w:spacing w:val="-2"/>
          <w:sz w:val="21"/>
          <w:szCs w:val="24"/>
          <w:highlight w:val="none"/>
        </w:rPr>
        <w:t>名称：</w:t>
      </w:r>
      <w:r>
        <w:rPr>
          <w:rFonts w:hint="eastAsia" w:ascii="Times New Roman" w:hAnsi="Times New Roman" w:eastAsia="Times New Roman"/>
          <w:strike/>
          <w:color w:val="auto"/>
          <w:spacing w:val="-2"/>
          <w:sz w:val="21"/>
          <w:szCs w:val="24"/>
          <w:highlight w:val="none"/>
          <w:u w:val="single"/>
        </w:rPr>
        <w:tab/>
      </w:r>
      <w:r>
        <w:rPr>
          <w:rFonts w:hint="default"/>
          <w:strike/>
          <w:color w:val="auto"/>
          <w:spacing w:val="-1"/>
          <w:sz w:val="21"/>
          <w:szCs w:val="24"/>
          <w:highlight w:val="none"/>
        </w:rPr>
        <w:t>（盖单位章）</w:t>
      </w:r>
    </w:p>
    <w:p w14:paraId="009B8C8D">
      <w:pPr>
        <w:pStyle w:val="11"/>
        <w:tabs>
          <w:tab w:val="left" w:pos="6401"/>
        </w:tabs>
        <w:kinsoku w:val="0"/>
        <w:overflowPunct w:val="0"/>
        <w:spacing w:before="36" w:line="360" w:lineRule="auto"/>
        <w:ind w:left="2510"/>
        <w:rPr>
          <w:rFonts w:hint="default"/>
          <w:strike/>
          <w:color w:val="auto"/>
          <w:sz w:val="21"/>
          <w:szCs w:val="24"/>
          <w:highlight w:val="none"/>
        </w:rPr>
      </w:pPr>
      <w:r>
        <w:rPr>
          <w:rFonts w:hint="default"/>
          <w:strike/>
          <w:color w:val="auto"/>
          <w:spacing w:val="-2"/>
          <w:sz w:val="21"/>
          <w:szCs w:val="24"/>
          <w:highlight w:val="none"/>
        </w:rPr>
        <w:t>法定代表人或其委托代理人：</w:t>
      </w:r>
      <w:r>
        <w:rPr>
          <w:rFonts w:hint="eastAsia" w:ascii="Times New Roman" w:hAnsi="Times New Roman" w:eastAsia="Times New Roman"/>
          <w:strike/>
          <w:color w:val="auto"/>
          <w:spacing w:val="-2"/>
          <w:sz w:val="21"/>
          <w:szCs w:val="24"/>
          <w:highlight w:val="none"/>
          <w:u w:val="single"/>
        </w:rPr>
        <w:tab/>
      </w:r>
      <w:r>
        <w:rPr>
          <w:rFonts w:hint="default" w:hAnsi="Times New Roman"/>
          <w:strike/>
          <w:color w:val="auto"/>
          <w:spacing w:val="-2"/>
          <w:sz w:val="21"/>
          <w:szCs w:val="24"/>
          <w:highlight w:val="none"/>
          <w:u w:val="single"/>
          <w:lang w:val="en-US" w:eastAsia="zh-CN"/>
        </w:rPr>
        <w:t xml:space="preserve">       </w:t>
      </w:r>
      <w:r>
        <w:rPr>
          <w:rFonts w:hint="default"/>
          <w:strike/>
          <w:color w:val="auto"/>
          <w:spacing w:val="-1"/>
          <w:sz w:val="21"/>
          <w:szCs w:val="24"/>
          <w:highlight w:val="none"/>
        </w:rPr>
        <w:t>（签字）</w:t>
      </w:r>
    </w:p>
    <w:p w14:paraId="1CCBD3B5">
      <w:pPr>
        <w:pStyle w:val="11"/>
        <w:tabs>
          <w:tab w:val="left" w:pos="7241"/>
        </w:tabs>
        <w:kinsoku w:val="0"/>
        <w:overflowPunct w:val="0"/>
        <w:spacing w:before="36" w:line="360" w:lineRule="auto"/>
        <w:ind w:left="2510"/>
        <w:rPr>
          <w:rFonts w:hint="default"/>
          <w:strike/>
          <w:color w:val="auto"/>
          <w:sz w:val="21"/>
          <w:szCs w:val="24"/>
          <w:highlight w:val="none"/>
        </w:rPr>
      </w:pPr>
      <w:r>
        <w:rPr>
          <w:rFonts w:hint="default"/>
          <w:strike/>
          <w:color w:val="auto"/>
          <w:spacing w:val="-2"/>
          <w:sz w:val="21"/>
          <w:szCs w:val="24"/>
          <w:highlight w:val="none"/>
        </w:rPr>
        <w:t>联合体成员名称：</w:t>
      </w:r>
      <w:r>
        <w:rPr>
          <w:rFonts w:hint="eastAsia" w:ascii="Times New Roman" w:hAnsi="Times New Roman" w:eastAsia="Times New Roman"/>
          <w:strike/>
          <w:color w:val="auto"/>
          <w:spacing w:val="-2"/>
          <w:sz w:val="21"/>
          <w:szCs w:val="24"/>
          <w:highlight w:val="none"/>
          <w:u w:val="single"/>
        </w:rPr>
        <w:tab/>
      </w:r>
      <w:r>
        <w:rPr>
          <w:rFonts w:hint="default"/>
          <w:strike/>
          <w:color w:val="auto"/>
          <w:spacing w:val="-1"/>
          <w:sz w:val="21"/>
          <w:szCs w:val="24"/>
          <w:highlight w:val="none"/>
        </w:rPr>
        <w:t>（盖单位章）</w:t>
      </w:r>
    </w:p>
    <w:p w14:paraId="3B95CE51">
      <w:pPr>
        <w:pStyle w:val="11"/>
        <w:tabs>
          <w:tab w:val="left" w:pos="6187"/>
        </w:tabs>
        <w:kinsoku w:val="0"/>
        <w:overflowPunct w:val="0"/>
        <w:spacing w:before="36" w:line="360" w:lineRule="auto"/>
        <w:ind w:left="2510"/>
        <w:rPr>
          <w:rFonts w:hint="default"/>
          <w:strike/>
          <w:color w:val="auto"/>
          <w:sz w:val="21"/>
          <w:szCs w:val="24"/>
          <w:highlight w:val="none"/>
        </w:rPr>
      </w:pPr>
      <w:r>
        <w:rPr>
          <w:rFonts w:hint="default"/>
          <w:strike/>
          <w:color w:val="auto"/>
          <w:spacing w:val="-2"/>
          <w:sz w:val="21"/>
          <w:szCs w:val="24"/>
          <w:highlight w:val="none"/>
        </w:rPr>
        <w:t>法定代表人或其委托代理人：</w:t>
      </w:r>
      <w:r>
        <w:rPr>
          <w:rFonts w:hint="eastAsia" w:ascii="Times New Roman" w:hAnsi="Times New Roman" w:eastAsia="Times New Roman"/>
          <w:strike/>
          <w:color w:val="auto"/>
          <w:spacing w:val="-2"/>
          <w:sz w:val="21"/>
          <w:szCs w:val="24"/>
          <w:highlight w:val="none"/>
          <w:u w:val="single"/>
        </w:rPr>
        <w:tab/>
      </w:r>
      <w:r>
        <w:rPr>
          <w:rFonts w:hint="default" w:hAnsi="Times New Roman"/>
          <w:strike/>
          <w:color w:val="auto"/>
          <w:spacing w:val="-2"/>
          <w:sz w:val="21"/>
          <w:szCs w:val="24"/>
          <w:highlight w:val="none"/>
          <w:u w:val="single"/>
          <w:lang w:val="en-US" w:eastAsia="zh-CN"/>
        </w:rPr>
        <w:t xml:space="preserve">         </w:t>
      </w:r>
      <w:r>
        <w:rPr>
          <w:rFonts w:hint="default"/>
          <w:strike/>
          <w:color w:val="auto"/>
          <w:spacing w:val="-1"/>
          <w:sz w:val="21"/>
          <w:szCs w:val="24"/>
          <w:highlight w:val="none"/>
        </w:rPr>
        <w:t>（签字）</w:t>
      </w:r>
    </w:p>
    <w:p w14:paraId="5A7BDEB7">
      <w:pPr>
        <w:pStyle w:val="11"/>
        <w:tabs>
          <w:tab w:val="left" w:pos="7241"/>
        </w:tabs>
        <w:kinsoku w:val="0"/>
        <w:overflowPunct w:val="0"/>
        <w:spacing w:before="36" w:line="360" w:lineRule="auto"/>
        <w:ind w:left="2510"/>
        <w:rPr>
          <w:rFonts w:hint="default"/>
          <w:strike/>
          <w:color w:val="auto"/>
          <w:sz w:val="21"/>
          <w:szCs w:val="24"/>
          <w:highlight w:val="none"/>
        </w:rPr>
      </w:pPr>
      <w:r>
        <w:rPr>
          <w:rFonts w:hint="default"/>
          <w:strike/>
          <w:color w:val="auto"/>
          <w:spacing w:val="-2"/>
          <w:sz w:val="21"/>
          <w:szCs w:val="24"/>
          <w:highlight w:val="none"/>
        </w:rPr>
        <w:t>联合体成员名称：</w:t>
      </w:r>
      <w:r>
        <w:rPr>
          <w:rFonts w:hint="eastAsia" w:ascii="Times New Roman" w:hAnsi="Times New Roman" w:eastAsia="Times New Roman"/>
          <w:strike/>
          <w:color w:val="auto"/>
          <w:spacing w:val="-2"/>
          <w:sz w:val="21"/>
          <w:szCs w:val="24"/>
          <w:highlight w:val="none"/>
          <w:u w:val="single"/>
        </w:rPr>
        <w:tab/>
      </w:r>
      <w:r>
        <w:rPr>
          <w:rFonts w:hint="default"/>
          <w:strike/>
          <w:color w:val="auto"/>
          <w:spacing w:val="-1"/>
          <w:sz w:val="21"/>
          <w:szCs w:val="24"/>
          <w:highlight w:val="none"/>
        </w:rPr>
        <w:t>（盖单位章）</w:t>
      </w:r>
    </w:p>
    <w:p w14:paraId="37012BAF">
      <w:pPr>
        <w:pStyle w:val="11"/>
        <w:tabs>
          <w:tab w:val="left" w:pos="6187"/>
        </w:tabs>
        <w:kinsoku w:val="0"/>
        <w:overflowPunct w:val="0"/>
        <w:spacing w:before="36" w:line="360" w:lineRule="auto"/>
        <w:ind w:left="2510"/>
        <w:rPr>
          <w:rFonts w:hint="default"/>
          <w:strike/>
          <w:color w:val="auto"/>
          <w:spacing w:val="-1"/>
          <w:sz w:val="21"/>
          <w:szCs w:val="24"/>
          <w:highlight w:val="none"/>
        </w:rPr>
      </w:pPr>
      <w:r>
        <w:rPr>
          <w:rFonts w:hint="default"/>
          <w:strike/>
          <w:color w:val="auto"/>
          <w:spacing w:val="-2"/>
          <w:sz w:val="21"/>
          <w:szCs w:val="24"/>
          <w:highlight w:val="none"/>
        </w:rPr>
        <w:t>法定代表人或其委托代理人：</w:t>
      </w:r>
      <w:r>
        <w:rPr>
          <w:rFonts w:hint="eastAsia" w:ascii="Times New Roman" w:hAnsi="Times New Roman" w:eastAsia="Times New Roman"/>
          <w:strike/>
          <w:color w:val="auto"/>
          <w:spacing w:val="-2"/>
          <w:sz w:val="21"/>
          <w:szCs w:val="24"/>
          <w:highlight w:val="none"/>
          <w:u w:val="single"/>
        </w:rPr>
        <w:tab/>
      </w:r>
      <w:r>
        <w:rPr>
          <w:rFonts w:hint="default" w:hAnsi="Times New Roman"/>
          <w:strike/>
          <w:color w:val="auto"/>
          <w:spacing w:val="-2"/>
          <w:sz w:val="21"/>
          <w:szCs w:val="24"/>
          <w:highlight w:val="none"/>
          <w:u w:val="single"/>
          <w:lang w:val="en-US" w:eastAsia="zh-CN"/>
        </w:rPr>
        <w:t xml:space="preserve">         </w:t>
      </w:r>
      <w:r>
        <w:rPr>
          <w:rFonts w:hint="default"/>
          <w:strike/>
          <w:color w:val="auto"/>
          <w:spacing w:val="-1"/>
          <w:sz w:val="21"/>
          <w:szCs w:val="24"/>
          <w:highlight w:val="none"/>
        </w:rPr>
        <w:t>（签字）</w:t>
      </w:r>
    </w:p>
    <w:p w14:paraId="0949AE0E">
      <w:pPr>
        <w:pStyle w:val="11"/>
        <w:kinsoku w:val="0"/>
        <w:overflowPunct w:val="0"/>
        <w:spacing w:before="12"/>
        <w:ind w:left="0"/>
        <w:rPr>
          <w:rFonts w:hint="default"/>
          <w:strike/>
          <w:color w:val="auto"/>
          <w:sz w:val="21"/>
          <w:szCs w:val="24"/>
          <w:highlight w:val="none"/>
        </w:rPr>
      </w:pPr>
    </w:p>
    <w:p w14:paraId="73B5901C">
      <w:pPr>
        <w:pStyle w:val="11"/>
        <w:tabs>
          <w:tab w:val="left" w:pos="4538"/>
          <w:tab w:val="left" w:pos="5484"/>
          <w:tab w:val="left" w:pos="6427"/>
        </w:tabs>
        <w:kinsoku w:val="0"/>
        <w:overflowPunct w:val="0"/>
        <w:spacing w:before="36"/>
        <w:ind w:left="3801"/>
        <w:rPr>
          <w:rFonts w:hint="default"/>
          <w:strike/>
          <w:color w:val="auto"/>
          <w:sz w:val="21"/>
          <w:szCs w:val="24"/>
          <w:highlight w:val="none"/>
        </w:rPr>
      </w:pPr>
      <w:r>
        <w:rPr>
          <w:rFonts w:hint="eastAsia" w:ascii="Times New Roman" w:hAnsi="Times New Roman" w:eastAsia="Times New Roman"/>
          <w:strike/>
          <w:color w:val="auto"/>
          <w:sz w:val="21"/>
          <w:szCs w:val="24"/>
          <w:highlight w:val="none"/>
          <w:u w:val="single"/>
        </w:rPr>
        <w:t xml:space="preserve"> </w:t>
      </w:r>
      <w:r>
        <w:rPr>
          <w:rFonts w:hint="eastAsia" w:ascii="Times New Roman" w:hAnsi="Times New Roman" w:eastAsia="Times New Roman"/>
          <w:strike/>
          <w:color w:val="auto"/>
          <w:sz w:val="21"/>
          <w:szCs w:val="24"/>
          <w:highlight w:val="none"/>
          <w:u w:val="single"/>
        </w:rPr>
        <w:tab/>
      </w:r>
      <w:r>
        <w:rPr>
          <w:rFonts w:hint="default"/>
          <w:strike/>
          <w:color w:val="auto"/>
          <w:sz w:val="21"/>
          <w:szCs w:val="24"/>
          <w:highlight w:val="none"/>
        </w:rPr>
        <w:t>年</w:t>
      </w:r>
      <w:r>
        <w:rPr>
          <w:rFonts w:hint="eastAsia" w:ascii="Times New Roman" w:hAnsi="Times New Roman" w:eastAsia="Times New Roman"/>
          <w:strike/>
          <w:color w:val="auto"/>
          <w:sz w:val="21"/>
          <w:szCs w:val="24"/>
          <w:highlight w:val="none"/>
          <w:u w:val="single"/>
        </w:rPr>
        <w:tab/>
      </w:r>
      <w:r>
        <w:rPr>
          <w:rFonts w:hint="default"/>
          <w:strike/>
          <w:color w:val="auto"/>
          <w:spacing w:val="-3"/>
          <w:sz w:val="21"/>
          <w:szCs w:val="24"/>
          <w:highlight w:val="none"/>
        </w:rPr>
        <w:t>月</w:t>
      </w:r>
      <w:r>
        <w:rPr>
          <w:rFonts w:hint="eastAsia" w:ascii="Times New Roman" w:hAnsi="Times New Roman" w:eastAsia="Times New Roman"/>
          <w:strike/>
          <w:color w:val="auto"/>
          <w:spacing w:val="-3"/>
          <w:sz w:val="21"/>
          <w:szCs w:val="24"/>
          <w:highlight w:val="none"/>
          <w:u w:val="single"/>
        </w:rPr>
        <w:tab/>
      </w:r>
      <w:r>
        <w:rPr>
          <w:rFonts w:hint="default"/>
          <w:strike/>
          <w:color w:val="auto"/>
          <w:sz w:val="21"/>
          <w:szCs w:val="24"/>
          <w:highlight w:val="none"/>
        </w:rPr>
        <w:t>日</w:t>
      </w:r>
    </w:p>
    <w:p w14:paraId="7538129F">
      <w:pPr>
        <w:pStyle w:val="11"/>
        <w:tabs>
          <w:tab w:val="left" w:pos="4538"/>
          <w:tab w:val="left" w:pos="5484"/>
          <w:tab w:val="left" w:pos="6427"/>
        </w:tabs>
        <w:kinsoku w:val="0"/>
        <w:overflowPunct w:val="0"/>
        <w:spacing w:before="36"/>
        <w:ind w:left="3801"/>
        <w:rPr>
          <w:rFonts w:hint="default"/>
          <w:strike/>
          <w:color w:val="auto"/>
          <w:sz w:val="21"/>
          <w:szCs w:val="24"/>
          <w:highlight w:val="none"/>
        </w:rPr>
        <w:sectPr>
          <w:pgSz w:w="11905" w:h="16838"/>
          <w:pgMar w:top="1417" w:right="1417" w:bottom="1417" w:left="1417" w:header="992" w:footer="992" w:gutter="0"/>
          <w:lnNumType w:countBy="0" w:distance="360"/>
          <w:cols w:space="720" w:num="1"/>
        </w:sectPr>
      </w:pPr>
    </w:p>
    <w:p w14:paraId="68E5C3A2">
      <w:pPr>
        <w:pStyle w:val="4"/>
        <w:jc w:val="center"/>
        <w:outlineLvl w:val="1"/>
        <w:rPr>
          <w:rFonts w:hint="default"/>
          <w:strike/>
          <w:color w:val="auto"/>
          <w:sz w:val="28"/>
          <w:szCs w:val="24"/>
          <w:highlight w:val="none"/>
        </w:rPr>
      </w:pPr>
      <w:bookmarkStart w:id="50" w:name="_Toc10216"/>
      <w:r>
        <w:rPr>
          <w:rFonts w:hint="default"/>
          <w:strike/>
          <w:color w:val="auto"/>
          <w:sz w:val="28"/>
          <w:szCs w:val="24"/>
          <w:highlight w:val="none"/>
        </w:rPr>
        <w:t>四、投标保证金</w:t>
      </w:r>
      <w:bookmarkEnd w:id="50"/>
    </w:p>
    <w:p w14:paraId="681B652E">
      <w:pPr>
        <w:pStyle w:val="11"/>
        <w:kinsoku w:val="0"/>
        <w:overflowPunct w:val="0"/>
        <w:spacing w:before="15" w:line="360" w:lineRule="auto"/>
        <w:ind w:left="0"/>
        <w:rPr>
          <w:rFonts w:hint="default" w:cs="宋体"/>
          <w:b/>
          <w:color w:val="auto"/>
          <w:sz w:val="21"/>
          <w:szCs w:val="21"/>
          <w:highlight w:val="none"/>
        </w:rPr>
      </w:pPr>
    </w:p>
    <w:p w14:paraId="4A6421FA">
      <w:pPr>
        <w:pStyle w:val="4"/>
        <w:jc w:val="center"/>
        <w:outlineLvl w:val="9"/>
        <w:rPr>
          <w:rFonts w:hint="default"/>
          <w:color w:val="auto"/>
          <w:sz w:val="24"/>
          <w:szCs w:val="24"/>
          <w:highlight w:val="none"/>
        </w:rPr>
        <w:sectPr>
          <w:pgSz w:w="11905" w:h="16838"/>
          <w:pgMar w:top="1417" w:right="1417" w:bottom="1417" w:left="1417" w:header="992" w:footer="992" w:gutter="0"/>
          <w:lnNumType w:countBy="0" w:distance="360"/>
          <w:cols w:space="720" w:num="1"/>
        </w:sectPr>
      </w:pPr>
    </w:p>
    <w:p w14:paraId="03170B15">
      <w:pPr>
        <w:pStyle w:val="4"/>
        <w:jc w:val="center"/>
        <w:outlineLvl w:val="1"/>
        <w:rPr>
          <w:rFonts w:hint="eastAsia" w:eastAsia="宋体"/>
          <w:strike/>
          <w:color w:val="auto"/>
          <w:sz w:val="28"/>
          <w:szCs w:val="24"/>
          <w:highlight w:val="none"/>
          <w:lang w:eastAsia="zh-CN"/>
        </w:rPr>
      </w:pPr>
      <w:r>
        <w:rPr>
          <w:rFonts w:hint="default"/>
          <w:strike/>
          <w:color w:val="auto"/>
          <w:sz w:val="28"/>
          <w:szCs w:val="24"/>
          <w:highlight w:val="none"/>
        </w:rPr>
        <w:t>五、监理报酬清单</w:t>
      </w:r>
      <w:r>
        <w:rPr>
          <w:rFonts w:hint="eastAsia"/>
          <w:strike/>
          <w:color w:val="auto"/>
          <w:sz w:val="28"/>
          <w:szCs w:val="24"/>
          <w:highlight w:val="none"/>
          <w:lang w:eastAsia="zh-CN"/>
        </w:rPr>
        <w:t>（</w:t>
      </w:r>
      <w:r>
        <w:rPr>
          <w:rFonts w:hint="eastAsia"/>
          <w:strike/>
          <w:color w:val="auto"/>
          <w:sz w:val="28"/>
          <w:szCs w:val="24"/>
          <w:highlight w:val="none"/>
          <w:lang w:val="en-US" w:eastAsia="zh-CN"/>
        </w:rPr>
        <w:t>格式仅供参考</w:t>
      </w:r>
      <w:r>
        <w:rPr>
          <w:rFonts w:hint="eastAsia"/>
          <w:strike/>
          <w:color w:val="auto"/>
          <w:sz w:val="28"/>
          <w:szCs w:val="24"/>
          <w:highlight w:val="none"/>
          <w:lang w:eastAsia="zh-CN"/>
        </w:rPr>
        <w:t>）</w:t>
      </w:r>
    </w:p>
    <w:p w14:paraId="0C235BDB">
      <w:pPr>
        <w:pStyle w:val="11"/>
        <w:kinsoku w:val="0"/>
        <w:overflowPunct w:val="0"/>
        <w:ind w:left="0"/>
        <w:rPr>
          <w:rFonts w:hint="default"/>
          <w:strike/>
          <w:color w:val="auto"/>
          <w:sz w:val="20"/>
          <w:szCs w:val="24"/>
          <w:highlight w:val="none"/>
        </w:rPr>
      </w:pPr>
    </w:p>
    <w:p w14:paraId="2206715B">
      <w:pPr>
        <w:spacing w:line="440" w:lineRule="exact"/>
        <w:rPr>
          <w:rFonts w:hint="default" w:ascii="宋体" w:hAnsi="宋体" w:eastAsia="宋体" w:cs="宋体"/>
          <w:strike/>
          <w:color w:val="auto"/>
          <w:sz w:val="21"/>
          <w:szCs w:val="21"/>
          <w:highlight w:val="none"/>
          <w:lang w:val="en-US" w:eastAsia="zh-CN"/>
        </w:rPr>
      </w:pPr>
      <w:r>
        <w:rPr>
          <w:rFonts w:hint="default" w:ascii="宋体" w:hAnsi="宋体" w:eastAsia="宋体" w:cs="宋体"/>
          <w:strike/>
          <w:color w:val="auto"/>
          <w:sz w:val="21"/>
          <w:szCs w:val="21"/>
          <w:highlight w:val="none"/>
          <w:lang w:eastAsia="zh-CN"/>
        </w:rPr>
        <w:t>项目名称</w:t>
      </w:r>
      <w:r>
        <w:rPr>
          <w:rFonts w:hint="default" w:ascii="宋体" w:hAnsi="宋体" w:eastAsia="宋体" w:cs="宋体"/>
          <w:strike/>
          <w:color w:val="auto"/>
          <w:sz w:val="21"/>
          <w:szCs w:val="21"/>
          <w:highlight w:val="none"/>
        </w:rPr>
        <w:t>：</w:t>
      </w:r>
      <w:r>
        <w:rPr>
          <w:rFonts w:hint="default" w:ascii="宋体" w:hAnsi="宋体" w:eastAsia="宋体" w:cs="宋体"/>
          <w:strike/>
          <w:color w:val="auto"/>
          <w:sz w:val="21"/>
          <w:szCs w:val="21"/>
          <w:highlight w:val="none"/>
          <w:u w:val="single"/>
          <w:lang w:val="en-US" w:eastAsia="zh-CN"/>
        </w:rPr>
        <w:t xml:space="preserve">                 </w:t>
      </w:r>
      <w:r>
        <w:rPr>
          <w:rFonts w:hint="default" w:ascii="宋体" w:hAnsi="宋体" w:eastAsia="宋体" w:cs="宋体"/>
          <w:strike/>
          <w:color w:val="auto"/>
          <w:sz w:val="21"/>
          <w:szCs w:val="21"/>
          <w:highlight w:val="none"/>
          <w:lang w:val="en-US" w:eastAsia="zh-CN"/>
        </w:rPr>
        <w:t xml:space="preserve"> </w:t>
      </w:r>
    </w:p>
    <w:tbl>
      <w:tblPr>
        <w:tblStyle w:val="21"/>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65"/>
        <w:gridCol w:w="1822"/>
        <w:gridCol w:w="1822"/>
        <w:gridCol w:w="992"/>
      </w:tblGrid>
      <w:tr w14:paraId="7D88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14:paraId="7C19A6AA">
            <w:pPr>
              <w:jc w:val="center"/>
              <w:rPr>
                <w:rFonts w:hint="default" w:ascii="宋体" w:hAnsi="宋体" w:eastAsia="宋体" w:cs="宋体"/>
                <w:b/>
                <w:strike/>
                <w:color w:val="auto"/>
                <w:sz w:val="21"/>
                <w:szCs w:val="21"/>
                <w:highlight w:val="none"/>
              </w:rPr>
            </w:pPr>
            <w:r>
              <w:rPr>
                <w:rFonts w:hint="default" w:ascii="宋体" w:hAnsi="宋体" w:eastAsia="宋体" w:cs="宋体"/>
                <w:b/>
                <w:strike/>
                <w:color w:val="auto"/>
                <w:sz w:val="21"/>
                <w:szCs w:val="21"/>
                <w:highlight w:val="none"/>
              </w:rPr>
              <w:t>序号</w:t>
            </w:r>
          </w:p>
        </w:tc>
        <w:tc>
          <w:tcPr>
            <w:tcW w:w="3565" w:type="dxa"/>
            <w:tcBorders>
              <w:top w:val="single" w:color="auto" w:sz="4" w:space="0"/>
              <w:left w:val="single" w:color="auto" w:sz="4" w:space="0"/>
              <w:bottom w:val="single" w:color="auto" w:sz="4" w:space="0"/>
              <w:right w:val="single" w:color="auto" w:sz="4" w:space="0"/>
              <w:tl2br w:val="nil"/>
              <w:tr2bl w:val="nil"/>
            </w:tcBorders>
            <w:vAlign w:val="center"/>
          </w:tcPr>
          <w:p w14:paraId="08EA5E4C">
            <w:pPr>
              <w:jc w:val="center"/>
              <w:rPr>
                <w:rFonts w:hint="default" w:ascii="宋体" w:hAnsi="宋体" w:eastAsia="宋体" w:cs="宋体"/>
                <w:strike/>
                <w:color w:val="auto"/>
                <w:sz w:val="21"/>
                <w:szCs w:val="21"/>
                <w:highlight w:val="none"/>
              </w:rPr>
            </w:pPr>
            <w:r>
              <w:rPr>
                <w:rFonts w:hint="default" w:ascii="宋体" w:hAnsi="宋体" w:eastAsia="宋体" w:cs="宋体"/>
                <w:b/>
                <w:strike/>
                <w:color w:val="auto"/>
                <w:sz w:val="21"/>
                <w:szCs w:val="21"/>
                <w:highlight w:val="none"/>
              </w:rPr>
              <w:t>监理子项目名称</w:t>
            </w: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14:paraId="599F6063">
            <w:pPr>
              <w:jc w:val="center"/>
              <w:rPr>
                <w:rFonts w:hint="default" w:ascii="宋体" w:hAnsi="宋体" w:eastAsia="宋体" w:cs="宋体"/>
                <w:b/>
                <w:strike/>
                <w:color w:val="auto"/>
                <w:sz w:val="21"/>
                <w:szCs w:val="21"/>
                <w:highlight w:val="none"/>
                <w:lang w:eastAsia="zh-CN"/>
              </w:rPr>
            </w:pPr>
            <w:r>
              <w:rPr>
                <w:rFonts w:hint="default" w:ascii="宋体" w:hAnsi="宋体" w:eastAsia="宋体" w:cs="宋体"/>
                <w:b/>
                <w:strike/>
                <w:color w:val="auto"/>
                <w:sz w:val="21"/>
                <w:szCs w:val="21"/>
                <w:highlight w:val="none"/>
              </w:rPr>
              <w:t>投标下浮率(%)</w:t>
            </w: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14:paraId="722558EE">
            <w:pPr>
              <w:jc w:val="center"/>
              <w:rPr>
                <w:rFonts w:hint="default" w:ascii="宋体" w:hAnsi="宋体" w:eastAsia="宋体" w:cs="宋体"/>
                <w:b/>
                <w:strike/>
                <w:color w:val="auto"/>
                <w:sz w:val="21"/>
                <w:szCs w:val="21"/>
                <w:highlight w:val="none"/>
              </w:rPr>
            </w:pPr>
            <w:r>
              <w:rPr>
                <w:rFonts w:hint="default" w:ascii="宋体" w:hAnsi="宋体" w:eastAsia="宋体" w:cs="宋体"/>
                <w:b/>
                <w:strike/>
                <w:color w:val="auto"/>
                <w:sz w:val="21"/>
                <w:szCs w:val="21"/>
                <w:highlight w:val="none"/>
                <w:lang w:eastAsia="zh-CN"/>
              </w:rPr>
              <w:t>投标报价</w:t>
            </w:r>
            <w:r>
              <w:rPr>
                <w:rFonts w:hint="default" w:ascii="宋体" w:hAnsi="宋体" w:eastAsia="宋体" w:cs="宋体"/>
                <w:b/>
                <w:strike/>
                <w:color w:val="auto"/>
                <w:sz w:val="21"/>
                <w:szCs w:val="21"/>
                <w:highlight w:val="none"/>
              </w:rPr>
              <w:t>（元）</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0FE2416B">
            <w:pPr>
              <w:jc w:val="center"/>
              <w:rPr>
                <w:rFonts w:hint="default" w:ascii="宋体" w:hAnsi="宋体" w:eastAsia="宋体" w:cs="宋体"/>
                <w:b/>
                <w:strike/>
                <w:color w:val="auto"/>
                <w:sz w:val="21"/>
                <w:szCs w:val="21"/>
                <w:highlight w:val="none"/>
              </w:rPr>
            </w:pPr>
            <w:r>
              <w:rPr>
                <w:rFonts w:hint="default" w:ascii="宋体" w:hAnsi="宋体" w:eastAsia="宋体" w:cs="宋体"/>
                <w:b/>
                <w:strike/>
                <w:color w:val="auto"/>
                <w:sz w:val="21"/>
                <w:szCs w:val="21"/>
                <w:highlight w:val="none"/>
              </w:rPr>
              <w:t>备注</w:t>
            </w:r>
          </w:p>
        </w:tc>
      </w:tr>
      <w:tr w14:paraId="0E22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14:paraId="2B1C5981">
            <w:pPr>
              <w:spacing w:line="360" w:lineRule="auto"/>
              <w:jc w:val="center"/>
              <w:rPr>
                <w:rFonts w:hint="default" w:ascii="宋体" w:hAnsi="宋体" w:eastAsia="宋体" w:cs="宋体"/>
                <w:strike/>
                <w:color w:val="auto"/>
                <w:sz w:val="21"/>
                <w:szCs w:val="21"/>
                <w:highlight w:val="none"/>
              </w:rPr>
            </w:pPr>
          </w:p>
        </w:tc>
        <w:tc>
          <w:tcPr>
            <w:tcW w:w="3565" w:type="dxa"/>
            <w:tcBorders>
              <w:top w:val="single" w:color="auto" w:sz="4" w:space="0"/>
              <w:left w:val="single" w:color="auto" w:sz="4" w:space="0"/>
              <w:bottom w:val="single" w:color="auto" w:sz="4" w:space="0"/>
              <w:right w:val="single" w:color="auto" w:sz="4" w:space="0"/>
              <w:tl2br w:val="nil"/>
              <w:tr2bl w:val="nil"/>
            </w:tcBorders>
            <w:vAlign w:val="center"/>
          </w:tcPr>
          <w:p w14:paraId="1C09B2BD">
            <w:pPr>
              <w:rPr>
                <w:rFonts w:hint="default" w:ascii="宋体" w:hAnsi="宋体" w:eastAsia="宋体" w:cs="宋体"/>
                <w:strike/>
                <w:color w:val="auto"/>
                <w:sz w:val="21"/>
                <w:szCs w:val="21"/>
                <w:highlight w:val="none"/>
              </w:rPr>
            </w:pPr>
          </w:p>
        </w:tc>
        <w:tc>
          <w:tcPr>
            <w:tcW w:w="182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5367CCA">
            <w:pPr>
              <w:spacing w:line="360" w:lineRule="auto"/>
              <w:jc w:val="center"/>
              <w:rPr>
                <w:rFonts w:hint="default" w:ascii="宋体" w:hAnsi="宋体" w:eastAsia="宋体" w:cs="宋体"/>
                <w:strike/>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14:paraId="3278D1C6">
            <w:pPr>
              <w:spacing w:line="360" w:lineRule="auto"/>
              <w:jc w:val="center"/>
              <w:rPr>
                <w:rFonts w:hint="default" w:ascii="宋体" w:hAnsi="宋体" w:eastAsia="宋体" w:cs="宋体"/>
                <w:strike/>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2BE02570">
            <w:pPr>
              <w:spacing w:line="360" w:lineRule="auto"/>
              <w:jc w:val="center"/>
              <w:rPr>
                <w:rFonts w:hint="default" w:ascii="宋体" w:hAnsi="宋体" w:eastAsia="宋体" w:cs="宋体"/>
                <w:strike/>
                <w:color w:val="auto"/>
                <w:sz w:val="21"/>
                <w:szCs w:val="21"/>
                <w:highlight w:val="none"/>
              </w:rPr>
            </w:pPr>
          </w:p>
        </w:tc>
      </w:tr>
      <w:tr w14:paraId="7A79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14:paraId="3A7951A6">
            <w:pPr>
              <w:spacing w:line="360" w:lineRule="auto"/>
              <w:jc w:val="center"/>
              <w:rPr>
                <w:rFonts w:hint="default" w:ascii="宋体" w:hAnsi="宋体" w:eastAsia="宋体" w:cs="宋体"/>
                <w:strike/>
                <w:color w:val="auto"/>
                <w:sz w:val="21"/>
                <w:szCs w:val="21"/>
                <w:highlight w:val="none"/>
              </w:rPr>
            </w:pPr>
          </w:p>
        </w:tc>
        <w:tc>
          <w:tcPr>
            <w:tcW w:w="3565" w:type="dxa"/>
            <w:tcBorders>
              <w:top w:val="single" w:color="auto" w:sz="4" w:space="0"/>
              <w:left w:val="single" w:color="auto" w:sz="4" w:space="0"/>
              <w:bottom w:val="single" w:color="auto" w:sz="4" w:space="0"/>
              <w:right w:val="single" w:color="auto" w:sz="4" w:space="0"/>
              <w:tl2br w:val="nil"/>
              <w:tr2bl w:val="nil"/>
            </w:tcBorders>
            <w:vAlign w:val="center"/>
          </w:tcPr>
          <w:p w14:paraId="0B8E47E4">
            <w:pPr>
              <w:rPr>
                <w:rFonts w:hint="default" w:ascii="宋体" w:hAnsi="宋体" w:eastAsia="宋体" w:cs="宋体"/>
                <w:strike/>
                <w:color w:val="auto"/>
                <w:sz w:val="21"/>
                <w:szCs w:val="21"/>
                <w:highlight w:val="none"/>
              </w:rPr>
            </w:pPr>
          </w:p>
        </w:tc>
        <w:tc>
          <w:tcPr>
            <w:tcW w:w="182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1C239FB">
            <w:pPr>
              <w:spacing w:line="360" w:lineRule="auto"/>
              <w:jc w:val="center"/>
              <w:rPr>
                <w:rFonts w:hint="default" w:ascii="宋体" w:hAnsi="宋体" w:eastAsia="宋体" w:cs="宋体"/>
                <w:strike/>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14:paraId="1678D1A7">
            <w:pPr>
              <w:spacing w:line="360" w:lineRule="auto"/>
              <w:jc w:val="center"/>
              <w:rPr>
                <w:rFonts w:hint="default" w:ascii="宋体" w:hAnsi="宋体" w:eastAsia="宋体" w:cs="宋体"/>
                <w:strike/>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1B397DCF">
            <w:pPr>
              <w:spacing w:line="360" w:lineRule="auto"/>
              <w:jc w:val="center"/>
              <w:rPr>
                <w:rFonts w:hint="default" w:ascii="宋体" w:hAnsi="宋体" w:eastAsia="宋体" w:cs="宋体"/>
                <w:strike/>
                <w:color w:val="auto"/>
                <w:sz w:val="21"/>
                <w:szCs w:val="21"/>
                <w:highlight w:val="none"/>
              </w:rPr>
            </w:pPr>
          </w:p>
        </w:tc>
      </w:tr>
      <w:tr w14:paraId="51CA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38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E93E934">
            <w:pPr>
              <w:jc w:val="center"/>
              <w:rPr>
                <w:rFonts w:hint="default" w:ascii="宋体" w:hAnsi="宋体" w:eastAsia="宋体" w:cs="宋体"/>
                <w:b/>
                <w:strike/>
                <w:color w:val="auto"/>
                <w:sz w:val="21"/>
                <w:szCs w:val="21"/>
                <w:highlight w:val="none"/>
              </w:rPr>
            </w:pPr>
            <w:r>
              <w:rPr>
                <w:rFonts w:hint="default" w:ascii="宋体" w:hAnsi="宋体" w:eastAsia="宋体" w:cs="宋体"/>
                <w:b/>
                <w:strike/>
                <w:color w:val="auto"/>
                <w:sz w:val="21"/>
                <w:szCs w:val="21"/>
                <w:highlight w:val="none"/>
              </w:rPr>
              <w:t>合计报价</w:t>
            </w: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14:paraId="1138FDE0">
            <w:pPr>
              <w:spacing w:line="360" w:lineRule="auto"/>
              <w:jc w:val="center"/>
              <w:rPr>
                <w:rFonts w:hint="default" w:ascii="宋体" w:hAnsi="宋体" w:eastAsia="宋体" w:cs="宋体"/>
                <w:strike/>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14:paraId="318D13B1">
            <w:pPr>
              <w:spacing w:line="360" w:lineRule="auto"/>
              <w:jc w:val="center"/>
              <w:rPr>
                <w:rFonts w:hint="default" w:ascii="宋体" w:hAnsi="宋体" w:eastAsia="宋体" w:cs="宋体"/>
                <w:strike/>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59747B34">
            <w:pPr>
              <w:spacing w:line="360" w:lineRule="auto"/>
              <w:jc w:val="center"/>
              <w:rPr>
                <w:rFonts w:hint="default" w:ascii="宋体" w:hAnsi="宋体" w:eastAsia="宋体" w:cs="宋体"/>
                <w:strike/>
                <w:color w:val="auto"/>
                <w:sz w:val="21"/>
                <w:szCs w:val="21"/>
                <w:highlight w:val="none"/>
              </w:rPr>
            </w:pPr>
          </w:p>
        </w:tc>
      </w:tr>
    </w:tbl>
    <w:p w14:paraId="03D0279E">
      <w:pPr>
        <w:pStyle w:val="32"/>
        <w:spacing w:line="240" w:lineRule="auto"/>
        <w:ind w:firstLine="0" w:firstLineChars="0"/>
        <w:rPr>
          <w:rFonts w:hint="default" w:ascii="宋体" w:hAnsi="宋体" w:cs="宋体"/>
          <w:strike/>
          <w:color w:val="auto"/>
          <w:sz w:val="21"/>
          <w:szCs w:val="21"/>
          <w:highlight w:val="none"/>
        </w:rPr>
      </w:pPr>
    </w:p>
    <w:p w14:paraId="2896F21C">
      <w:pPr>
        <w:pStyle w:val="32"/>
        <w:spacing w:line="240" w:lineRule="auto"/>
        <w:ind w:firstLine="0" w:firstLineChars="0"/>
        <w:rPr>
          <w:rFonts w:hint="default" w:ascii="宋体" w:hAnsi="宋体" w:cs="宋体"/>
          <w:strike/>
          <w:color w:val="auto"/>
          <w:sz w:val="21"/>
          <w:szCs w:val="21"/>
          <w:highlight w:val="none"/>
        </w:rPr>
      </w:pPr>
      <w:r>
        <w:rPr>
          <w:rFonts w:hint="default" w:ascii="宋体" w:hAnsi="宋体" w:cs="宋体"/>
          <w:strike/>
          <w:color w:val="auto"/>
          <w:sz w:val="21"/>
          <w:szCs w:val="21"/>
          <w:highlight w:val="none"/>
        </w:rPr>
        <w:t>注：</w:t>
      </w:r>
    </w:p>
    <w:p w14:paraId="0E598310">
      <w:pPr>
        <w:pStyle w:val="32"/>
        <w:ind w:firstLine="436"/>
        <w:rPr>
          <w:rFonts w:hint="default" w:ascii="宋体" w:hAnsi="宋体" w:cs="宋体"/>
          <w:strike/>
          <w:color w:val="auto"/>
          <w:sz w:val="21"/>
          <w:szCs w:val="21"/>
          <w:highlight w:val="none"/>
        </w:rPr>
      </w:pPr>
      <w:r>
        <w:rPr>
          <w:rFonts w:hint="default" w:ascii="宋体" w:hAnsi="宋体" w:cs="宋体"/>
          <w:strike/>
          <w:color w:val="auto"/>
          <w:sz w:val="21"/>
          <w:szCs w:val="21"/>
          <w:highlight w:val="none"/>
          <w:lang w:val="en-US" w:eastAsia="zh-CN"/>
        </w:rPr>
        <w:t>1、</w:t>
      </w:r>
      <w:r>
        <w:rPr>
          <w:rFonts w:hint="default" w:ascii="宋体" w:hAnsi="宋体" w:cs="宋体"/>
          <w:strike/>
          <w:color w:val="auto"/>
          <w:sz w:val="21"/>
          <w:szCs w:val="21"/>
          <w:highlight w:val="none"/>
          <w:lang w:val="zh-CN"/>
        </w:rPr>
        <w:t>投标下浮率以百分比为单位，保留到小数点后</w:t>
      </w:r>
      <w:r>
        <w:rPr>
          <w:rFonts w:hint="eastAsia" w:ascii="宋体" w:hAnsi="宋体" w:cs="宋体"/>
          <w:strike/>
          <w:color w:val="auto"/>
          <w:sz w:val="21"/>
          <w:szCs w:val="21"/>
          <w:highlight w:val="none"/>
          <w:u w:val="single"/>
          <w:lang w:val="en-US" w:eastAsia="zh-CN"/>
        </w:rPr>
        <w:t>2</w:t>
      </w:r>
      <w:r>
        <w:rPr>
          <w:rFonts w:hint="default" w:ascii="宋体" w:hAnsi="宋体" w:cs="宋体"/>
          <w:strike/>
          <w:color w:val="auto"/>
          <w:sz w:val="21"/>
          <w:szCs w:val="21"/>
          <w:highlight w:val="none"/>
          <w:lang w:val="zh-CN"/>
        </w:rPr>
        <w:t>位</w:t>
      </w:r>
      <w:r>
        <w:rPr>
          <w:rFonts w:hint="default" w:ascii="宋体" w:hAnsi="宋体" w:cs="宋体"/>
          <w:strike/>
          <w:color w:val="auto"/>
          <w:sz w:val="21"/>
          <w:szCs w:val="21"/>
          <w:highlight w:val="none"/>
        </w:rPr>
        <w:t>，投标报价填报保留小数点后</w:t>
      </w:r>
      <w:r>
        <w:rPr>
          <w:rFonts w:hint="eastAsia" w:ascii="宋体" w:hAnsi="宋体" w:cs="宋体"/>
          <w:strike/>
          <w:color w:val="auto"/>
          <w:sz w:val="21"/>
          <w:szCs w:val="21"/>
          <w:highlight w:val="none"/>
          <w:u w:val="single"/>
          <w:lang w:val="en-US" w:eastAsia="zh-CN"/>
        </w:rPr>
        <w:t>2</w:t>
      </w:r>
      <w:r>
        <w:rPr>
          <w:rFonts w:hint="default" w:ascii="宋体" w:hAnsi="宋体" w:cs="宋体"/>
          <w:strike/>
          <w:color w:val="auto"/>
          <w:sz w:val="21"/>
          <w:szCs w:val="21"/>
          <w:highlight w:val="none"/>
        </w:rPr>
        <w:t>位。</w:t>
      </w:r>
    </w:p>
    <w:p w14:paraId="35A522D3">
      <w:pPr>
        <w:pStyle w:val="32"/>
        <w:ind w:firstLine="436"/>
        <w:rPr>
          <w:rFonts w:hint="default" w:ascii="宋体" w:hAnsi="宋体" w:cs="宋体"/>
          <w:strike/>
          <w:color w:val="auto"/>
          <w:sz w:val="21"/>
          <w:szCs w:val="21"/>
          <w:highlight w:val="none"/>
        </w:rPr>
      </w:pPr>
      <w:r>
        <w:rPr>
          <w:rFonts w:hint="default" w:ascii="宋体" w:hAnsi="宋体" w:cs="宋体"/>
          <w:strike/>
          <w:color w:val="auto"/>
          <w:sz w:val="21"/>
          <w:szCs w:val="21"/>
          <w:highlight w:val="none"/>
          <w:lang w:val="en-US" w:eastAsia="zh-CN"/>
        </w:rPr>
        <w:t>2</w:t>
      </w:r>
      <w:r>
        <w:rPr>
          <w:rFonts w:hint="default" w:ascii="宋体" w:hAnsi="宋体" w:cs="宋体"/>
          <w:strike/>
          <w:color w:val="auto"/>
          <w:sz w:val="21"/>
          <w:szCs w:val="21"/>
          <w:highlight w:val="none"/>
        </w:rPr>
        <w:t>、监理费投标下浮率=（监理费最高投标限价-监理费投标报价）/监理费最高投标限价*100%。</w:t>
      </w:r>
    </w:p>
    <w:p w14:paraId="641CFF68">
      <w:pPr>
        <w:pStyle w:val="32"/>
        <w:ind w:firstLine="436"/>
        <w:rPr>
          <w:rFonts w:hint="default" w:ascii="宋体" w:hAnsi="宋体" w:cs="宋体"/>
          <w:strike/>
          <w:color w:val="auto"/>
          <w:sz w:val="21"/>
          <w:szCs w:val="21"/>
          <w:highlight w:val="none"/>
        </w:rPr>
      </w:pPr>
      <w:bookmarkStart w:id="51" w:name="_Toc6894"/>
      <w:r>
        <w:rPr>
          <w:rFonts w:hint="default" w:ascii="宋体" w:hAnsi="宋体" w:cs="宋体"/>
          <w:strike/>
          <w:color w:val="auto"/>
          <w:sz w:val="21"/>
          <w:szCs w:val="21"/>
          <w:highlight w:val="none"/>
          <w:lang w:val="en-US" w:eastAsia="zh-CN"/>
        </w:rPr>
        <w:t>3、</w:t>
      </w:r>
      <w:r>
        <w:rPr>
          <w:rFonts w:hint="default" w:ascii="宋体" w:hAnsi="宋体" w:cs="宋体"/>
          <w:strike/>
          <w:color w:val="auto"/>
          <w:sz w:val="21"/>
          <w:szCs w:val="21"/>
          <w:highlight w:val="none"/>
        </w:rPr>
        <w:t>投标报价与投标下浮率不符时，以投标下浮率为准</w:t>
      </w:r>
      <w:r>
        <w:rPr>
          <w:rFonts w:hint="default" w:ascii="宋体" w:hAnsi="宋体" w:cs="宋体"/>
          <w:strike/>
          <w:color w:val="auto"/>
          <w:sz w:val="21"/>
          <w:szCs w:val="21"/>
          <w:highlight w:val="none"/>
          <w:lang w:eastAsia="zh-CN"/>
        </w:rPr>
        <w:t>修正总价</w:t>
      </w:r>
      <w:r>
        <w:rPr>
          <w:rFonts w:hint="default" w:ascii="宋体" w:hAnsi="宋体" w:cs="宋体"/>
          <w:strike/>
          <w:color w:val="auto"/>
          <w:sz w:val="21"/>
          <w:szCs w:val="21"/>
          <w:highlight w:val="none"/>
        </w:rPr>
        <w:t>。</w:t>
      </w:r>
      <w:bookmarkEnd w:id="51"/>
    </w:p>
    <w:p w14:paraId="2C7C98DD">
      <w:pPr>
        <w:pStyle w:val="32"/>
        <w:ind w:firstLine="436"/>
        <w:rPr>
          <w:rFonts w:hint="default" w:ascii="宋体" w:hAnsi="宋体" w:cs="宋体"/>
          <w:color w:val="auto"/>
          <w:sz w:val="21"/>
          <w:szCs w:val="21"/>
          <w:highlight w:val="none"/>
        </w:rPr>
        <w:sectPr>
          <w:pgSz w:w="11905" w:h="16838"/>
          <w:pgMar w:top="1417" w:right="1417" w:bottom="1417" w:left="1417" w:header="992" w:footer="992" w:gutter="0"/>
          <w:lnNumType w:countBy="0" w:distance="360"/>
          <w:cols w:space="720" w:num="1"/>
        </w:sectPr>
      </w:pPr>
    </w:p>
    <w:p w14:paraId="6A02D01E">
      <w:pPr>
        <w:pStyle w:val="4"/>
        <w:kinsoku w:val="0"/>
        <w:overflowPunct w:val="0"/>
        <w:spacing w:line="456" w:lineRule="exact"/>
        <w:ind w:right="1"/>
        <w:jc w:val="center"/>
        <w:outlineLvl w:val="1"/>
        <w:rPr>
          <w:rFonts w:hint="default"/>
          <w:b w:val="0"/>
          <w:color w:val="auto"/>
          <w:sz w:val="28"/>
          <w:szCs w:val="24"/>
          <w:highlight w:val="none"/>
        </w:rPr>
      </w:pPr>
      <w:bookmarkStart w:id="52" w:name="_Toc10013"/>
      <w:r>
        <w:rPr>
          <w:rFonts w:hint="default"/>
          <w:color w:val="auto"/>
          <w:sz w:val="28"/>
          <w:szCs w:val="24"/>
          <w:highlight w:val="none"/>
        </w:rPr>
        <w:t>六、资格审查资料</w:t>
      </w:r>
      <w:bookmarkEnd w:id="52"/>
    </w:p>
    <w:p w14:paraId="2AC7D2A2">
      <w:pPr>
        <w:pStyle w:val="11"/>
        <w:kinsoku w:val="0"/>
        <w:overflowPunct w:val="0"/>
        <w:spacing w:before="10"/>
        <w:ind w:left="0"/>
        <w:rPr>
          <w:rFonts w:hint="eastAsia" w:ascii="Microsoft JhengHei" w:hAnsi="Microsoft JhengHei" w:eastAsia="Microsoft JhengHei"/>
          <w:b/>
          <w:color w:val="auto"/>
          <w:sz w:val="15"/>
          <w:szCs w:val="24"/>
          <w:highlight w:val="none"/>
        </w:rPr>
      </w:pPr>
    </w:p>
    <w:p w14:paraId="36748B79">
      <w:pPr>
        <w:pStyle w:val="5"/>
        <w:outlineLvl w:val="2"/>
        <w:rPr>
          <w:rFonts w:hint="default"/>
          <w:b/>
          <w:color w:val="auto"/>
          <w:sz w:val="24"/>
          <w:szCs w:val="24"/>
          <w:highlight w:val="none"/>
        </w:rPr>
      </w:pPr>
      <w:bookmarkStart w:id="53" w:name="_Toc28818"/>
      <w:r>
        <w:rPr>
          <w:rFonts w:hint="default"/>
          <w:b/>
          <w:color w:val="auto"/>
          <w:sz w:val="24"/>
          <w:szCs w:val="24"/>
          <w:highlight w:val="none"/>
        </w:rPr>
        <w:t>（一）基本情况表</w:t>
      </w:r>
      <w:bookmarkEnd w:id="53"/>
    </w:p>
    <w:p w14:paraId="39DB1670">
      <w:pPr>
        <w:pStyle w:val="11"/>
        <w:kinsoku w:val="0"/>
        <w:overflowPunct w:val="0"/>
        <w:ind w:left="0"/>
        <w:rPr>
          <w:rFonts w:hint="default"/>
          <w:color w:val="auto"/>
          <w:sz w:val="23"/>
          <w:szCs w:val="24"/>
          <w:highlight w:val="none"/>
        </w:rPr>
      </w:pPr>
    </w:p>
    <w:tbl>
      <w:tblPr>
        <w:tblStyle w:val="21"/>
        <w:tblW w:w="9212"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0"/>
        <w:gridCol w:w="898"/>
        <w:gridCol w:w="1027"/>
        <w:gridCol w:w="1287"/>
        <w:gridCol w:w="415"/>
        <w:gridCol w:w="872"/>
        <w:gridCol w:w="669"/>
        <w:gridCol w:w="444"/>
        <w:gridCol w:w="1230"/>
      </w:tblGrid>
      <w:tr w14:paraId="28E29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08669BAC">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投标人名称</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vAlign w:val="top"/>
          </w:tcPr>
          <w:p w14:paraId="3C64DE6C">
            <w:pPr>
              <w:rPr>
                <w:rFonts w:hint="default" w:ascii="宋体" w:hAnsi="宋体" w:eastAsia="宋体" w:cs="宋体"/>
                <w:color w:val="auto"/>
                <w:sz w:val="21"/>
                <w:szCs w:val="21"/>
                <w:highlight w:val="none"/>
              </w:rPr>
            </w:pPr>
          </w:p>
        </w:tc>
      </w:tr>
      <w:tr w14:paraId="32F13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2A52F251">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注册地址</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D5B5CDF">
            <w:pPr>
              <w:rPr>
                <w:rFonts w:hint="default"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368F7BF">
            <w:pPr>
              <w:pStyle w:val="28"/>
              <w:kinsoku w:val="0"/>
              <w:overflowPunct w:val="0"/>
              <w:spacing w:before="107"/>
              <w:ind w:left="218"/>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邮政编码</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79929D39">
            <w:pPr>
              <w:rPr>
                <w:rFonts w:hint="default" w:ascii="宋体" w:hAnsi="宋体" w:eastAsia="宋体" w:cs="宋体"/>
                <w:color w:val="auto"/>
                <w:sz w:val="21"/>
                <w:szCs w:val="21"/>
                <w:highlight w:val="none"/>
              </w:rPr>
            </w:pPr>
          </w:p>
        </w:tc>
      </w:tr>
      <w:tr w14:paraId="674F1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514768A8">
            <w:pPr>
              <w:pStyle w:val="28"/>
              <w:kinsoku w:val="0"/>
              <w:overflowPunct w:val="0"/>
              <w:jc w:val="center"/>
              <w:rPr>
                <w:rFonts w:hint="default" w:ascii="宋体" w:hAnsi="宋体" w:eastAsia="宋体" w:cs="宋体"/>
                <w:color w:val="auto"/>
                <w:sz w:val="21"/>
                <w:szCs w:val="21"/>
                <w:highlight w:val="none"/>
              </w:rPr>
            </w:pPr>
          </w:p>
          <w:p w14:paraId="3DA7ECE2">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l2br w:val="nil"/>
              <w:tr2bl w:val="nil"/>
            </w:tcBorders>
            <w:vAlign w:val="top"/>
          </w:tcPr>
          <w:p w14:paraId="5BCE19B0">
            <w:pPr>
              <w:pStyle w:val="28"/>
              <w:kinsoku w:val="0"/>
              <w:overflowPunct w:val="0"/>
              <w:spacing w:before="107"/>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联系人</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B59AD04">
            <w:pPr>
              <w:rPr>
                <w:rFonts w:hint="default"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010C149">
            <w:pPr>
              <w:pStyle w:val="28"/>
              <w:kinsoku w:val="0"/>
              <w:overflowPunct w:val="0"/>
              <w:spacing w:before="107"/>
              <w:ind w:left="374"/>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电</w:t>
            </w:r>
            <w:r>
              <w:rPr>
                <w:rFonts w:hint="default" w:ascii="宋体" w:hAnsi="宋体" w:eastAsia="宋体" w:cs="宋体"/>
                <w:color w:val="auto"/>
                <w:spacing w:val="2"/>
                <w:sz w:val="21"/>
                <w:szCs w:val="21"/>
                <w:highlight w:val="none"/>
              </w:rPr>
              <w:t xml:space="preserve"> </w:t>
            </w:r>
            <w:r>
              <w:rPr>
                <w:rFonts w:hint="default" w:ascii="宋体" w:hAnsi="宋体" w:eastAsia="宋体" w:cs="宋体"/>
                <w:color w:val="auto"/>
                <w:sz w:val="21"/>
                <w:szCs w:val="21"/>
                <w:highlight w:val="none"/>
              </w:rPr>
              <w:t>话</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F47027A">
            <w:pPr>
              <w:rPr>
                <w:rFonts w:hint="default" w:ascii="宋体" w:hAnsi="宋体" w:eastAsia="宋体" w:cs="宋体"/>
                <w:color w:val="auto"/>
                <w:sz w:val="21"/>
                <w:szCs w:val="21"/>
                <w:highlight w:val="none"/>
              </w:rPr>
            </w:pPr>
          </w:p>
        </w:tc>
      </w:tr>
      <w:tr w14:paraId="20C55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3137D15">
            <w:pPr>
              <w:jc w:val="center"/>
              <w:rPr>
                <w:rFonts w:hint="default" w:ascii="宋体" w:hAnsi="宋体" w:eastAsia="宋体" w:cs="宋体"/>
                <w:color w:val="auto"/>
                <w:sz w:val="21"/>
                <w:szCs w:val="21"/>
                <w:highlight w:val="none"/>
              </w:rPr>
            </w:pPr>
          </w:p>
        </w:tc>
        <w:tc>
          <w:tcPr>
            <w:tcW w:w="898" w:type="dxa"/>
            <w:tcBorders>
              <w:top w:val="single" w:color="000000" w:sz="4" w:space="0"/>
              <w:left w:val="single" w:color="000000" w:sz="4" w:space="0"/>
              <w:bottom w:val="single" w:color="000000" w:sz="4" w:space="0"/>
              <w:right w:val="single" w:color="000000" w:sz="4" w:space="0"/>
              <w:tl2br w:val="nil"/>
              <w:tr2bl w:val="nil"/>
            </w:tcBorders>
            <w:vAlign w:val="top"/>
          </w:tcPr>
          <w:p w14:paraId="6E178EA3">
            <w:pPr>
              <w:pStyle w:val="28"/>
              <w:tabs>
                <w:tab w:val="left" w:pos="550"/>
              </w:tabs>
              <w:kinsoku w:val="0"/>
              <w:overflowPunct w:val="0"/>
              <w:spacing w:before="108"/>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传</w:t>
            </w:r>
            <w:r>
              <w:rPr>
                <w:rFonts w:hint="default" w:ascii="宋体" w:hAnsi="宋体" w:eastAsia="宋体" w:cs="宋体"/>
                <w:color w:val="auto"/>
                <w:sz w:val="21"/>
                <w:szCs w:val="21"/>
                <w:highlight w:val="none"/>
                <w:lang w:val="en-US" w:eastAsia="zh-CN"/>
              </w:rPr>
              <w:t>真</w:t>
            </w:r>
            <w:r>
              <w:rPr>
                <w:rFonts w:hint="default" w:ascii="宋体" w:hAnsi="宋体" w:eastAsia="宋体" w:cs="宋体"/>
                <w:color w:val="auto"/>
                <w:sz w:val="21"/>
                <w:szCs w:val="21"/>
                <w:highlight w:val="none"/>
              </w:rPr>
              <w:tab/>
            </w:r>
            <w:r>
              <w:rPr>
                <w:rFonts w:hint="default" w:ascii="宋体" w:hAnsi="宋体" w:eastAsia="宋体" w:cs="宋体"/>
                <w:color w:val="auto"/>
                <w:sz w:val="21"/>
                <w:szCs w:val="21"/>
                <w:highlight w:val="none"/>
              </w:rPr>
              <w:t>真</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91AD6DC">
            <w:pPr>
              <w:rPr>
                <w:rFonts w:hint="default"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7622709">
            <w:pPr>
              <w:pStyle w:val="28"/>
              <w:kinsoku w:val="0"/>
              <w:overflowPunct w:val="0"/>
              <w:spacing w:before="108"/>
              <w:ind w:left="374"/>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网</w:t>
            </w:r>
            <w:r>
              <w:rPr>
                <w:rFonts w:hint="default" w:ascii="宋体" w:hAnsi="宋体" w:eastAsia="宋体" w:cs="宋体"/>
                <w:color w:val="auto"/>
                <w:spacing w:val="2"/>
                <w:sz w:val="21"/>
                <w:szCs w:val="21"/>
                <w:highlight w:val="none"/>
              </w:rPr>
              <w:t xml:space="preserve"> </w:t>
            </w:r>
            <w:r>
              <w:rPr>
                <w:rFonts w:hint="default" w:ascii="宋体" w:hAnsi="宋体" w:eastAsia="宋体" w:cs="宋体"/>
                <w:color w:val="auto"/>
                <w:sz w:val="21"/>
                <w:szCs w:val="21"/>
                <w:highlight w:val="none"/>
              </w:rPr>
              <w:t>址</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30A64C2E">
            <w:pPr>
              <w:rPr>
                <w:rFonts w:hint="default" w:ascii="宋体" w:hAnsi="宋体" w:eastAsia="宋体" w:cs="宋体"/>
                <w:color w:val="auto"/>
                <w:sz w:val="21"/>
                <w:szCs w:val="21"/>
                <w:highlight w:val="none"/>
              </w:rPr>
            </w:pPr>
          </w:p>
        </w:tc>
      </w:tr>
      <w:tr w14:paraId="7C11A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173BCB08">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l2br w:val="nil"/>
              <w:tr2bl w:val="nil"/>
            </w:tcBorders>
            <w:vAlign w:val="top"/>
          </w:tcPr>
          <w:p w14:paraId="2AF66AF2">
            <w:pPr>
              <w:pStyle w:val="28"/>
              <w:kinsoku w:val="0"/>
              <w:overflowPunct w:val="0"/>
              <w:spacing w:before="107"/>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vAlign w:val="top"/>
          </w:tcPr>
          <w:p w14:paraId="47955AA6">
            <w:pPr>
              <w:rPr>
                <w:rFonts w:hint="default"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vAlign w:val="top"/>
          </w:tcPr>
          <w:p w14:paraId="3164DD44">
            <w:pPr>
              <w:pStyle w:val="28"/>
              <w:kinsoku w:val="0"/>
              <w:overflowPunct w:val="0"/>
              <w:spacing w:before="107"/>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2D51E43">
            <w:pPr>
              <w:rPr>
                <w:rFonts w:hint="default"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68350F6">
            <w:pPr>
              <w:pStyle w:val="28"/>
              <w:kinsoku w:val="0"/>
              <w:overflowPunct w:val="0"/>
              <w:spacing w:before="107"/>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vAlign w:val="top"/>
          </w:tcPr>
          <w:p w14:paraId="5C7CC59F">
            <w:pPr>
              <w:rPr>
                <w:rFonts w:hint="default" w:ascii="宋体" w:hAnsi="宋体" w:eastAsia="宋体" w:cs="宋体"/>
                <w:color w:val="auto"/>
                <w:sz w:val="21"/>
                <w:szCs w:val="21"/>
                <w:highlight w:val="none"/>
              </w:rPr>
            </w:pPr>
          </w:p>
        </w:tc>
      </w:tr>
      <w:tr w14:paraId="2F5C1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3A65D26C">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l2br w:val="nil"/>
              <w:tr2bl w:val="nil"/>
            </w:tcBorders>
            <w:vAlign w:val="top"/>
          </w:tcPr>
          <w:p w14:paraId="0DFCA600">
            <w:pPr>
              <w:pStyle w:val="28"/>
              <w:kinsoku w:val="0"/>
              <w:overflowPunct w:val="0"/>
              <w:spacing w:before="107"/>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vAlign w:val="top"/>
          </w:tcPr>
          <w:p w14:paraId="23E8E920">
            <w:pPr>
              <w:rPr>
                <w:rFonts w:hint="default"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vAlign w:val="top"/>
          </w:tcPr>
          <w:p w14:paraId="17010B54">
            <w:pPr>
              <w:pStyle w:val="28"/>
              <w:kinsoku w:val="0"/>
              <w:overflowPunct w:val="0"/>
              <w:spacing w:before="107"/>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2459A68">
            <w:pPr>
              <w:rPr>
                <w:rFonts w:hint="default"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7C3A9C9">
            <w:pPr>
              <w:pStyle w:val="28"/>
              <w:kinsoku w:val="0"/>
              <w:overflowPunct w:val="0"/>
              <w:spacing w:before="107"/>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vAlign w:val="top"/>
          </w:tcPr>
          <w:p w14:paraId="25B661AF">
            <w:pPr>
              <w:rPr>
                <w:rFonts w:hint="default" w:ascii="宋体" w:hAnsi="宋体" w:eastAsia="宋体" w:cs="宋体"/>
                <w:color w:val="auto"/>
                <w:sz w:val="21"/>
                <w:szCs w:val="21"/>
                <w:highlight w:val="none"/>
              </w:rPr>
            </w:pPr>
          </w:p>
        </w:tc>
      </w:tr>
      <w:tr w14:paraId="3A84A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7F17DDB9">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企业监理资质证书</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vAlign w:val="top"/>
          </w:tcPr>
          <w:p w14:paraId="7E031001">
            <w:pPr>
              <w:pStyle w:val="28"/>
              <w:tabs>
                <w:tab w:val="left" w:pos="3785"/>
                <w:tab w:val="left" w:pos="5045"/>
              </w:tabs>
              <w:kinsoku w:val="0"/>
              <w:overflowPunct w:val="0"/>
              <w:spacing w:before="107"/>
              <w:ind w:left="1054"/>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类型：</w:t>
            </w:r>
            <w:r>
              <w:rPr>
                <w:rFonts w:hint="default" w:ascii="宋体" w:hAnsi="宋体" w:eastAsia="宋体" w:cs="宋体"/>
                <w:color w:val="auto"/>
                <w:sz w:val="21"/>
                <w:szCs w:val="21"/>
                <w:highlight w:val="none"/>
              </w:rPr>
              <w:tab/>
            </w:r>
            <w:r>
              <w:rPr>
                <w:rFonts w:hint="default" w:ascii="宋体" w:hAnsi="宋体" w:eastAsia="宋体" w:cs="宋体"/>
                <w:color w:val="auto"/>
                <w:spacing w:val="-1"/>
                <w:sz w:val="21"/>
                <w:szCs w:val="21"/>
                <w:highlight w:val="none"/>
              </w:rPr>
              <w:t>等级：</w:t>
            </w:r>
            <w:r>
              <w:rPr>
                <w:rFonts w:hint="default" w:ascii="宋体" w:hAnsi="宋体" w:eastAsia="宋体" w:cs="宋体"/>
                <w:color w:val="auto"/>
                <w:spacing w:val="-1"/>
                <w:sz w:val="21"/>
                <w:szCs w:val="21"/>
                <w:highlight w:val="none"/>
              </w:rPr>
              <w:tab/>
            </w:r>
            <w:r>
              <w:rPr>
                <w:rFonts w:hint="default" w:ascii="宋体" w:hAnsi="宋体" w:eastAsia="宋体" w:cs="宋体"/>
                <w:color w:val="auto"/>
                <w:spacing w:val="-2"/>
                <w:sz w:val="21"/>
                <w:szCs w:val="21"/>
                <w:highlight w:val="none"/>
              </w:rPr>
              <w:t>证书号：</w:t>
            </w:r>
          </w:p>
        </w:tc>
      </w:tr>
      <w:tr w14:paraId="592A5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1A46C495">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质量管理体系证书</w:t>
            </w:r>
          </w:p>
          <w:p w14:paraId="78EE5EF9">
            <w:pPr>
              <w:pStyle w:val="28"/>
              <w:kinsoku w:val="0"/>
              <w:overflowPunct w:val="0"/>
              <w:ind w:right="101"/>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（如有）</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vAlign w:val="top"/>
          </w:tcPr>
          <w:p w14:paraId="08319201">
            <w:pPr>
              <w:pStyle w:val="28"/>
              <w:kinsoku w:val="0"/>
              <w:overflowPunct w:val="0"/>
              <w:spacing w:before="1"/>
              <w:rPr>
                <w:rFonts w:hint="default" w:ascii="宋体" w:hAnsi="宋体" w:eastAsia="宋体" w:cs="宋体"/>
                <w:color w:val="auto"/>
                <w:sz w:val="21"/>
                <w:szCs w:val="21"/>
                <w:highlight w:val="none"/>
              </w:rPr>
            </w:pPr>
          </w:p>
          <w:p w14:paraId="024E6A55">
            <w:pPr>
              <w:pStyle w:val="28"/>
              <w:tabs>
                <w:tab w:val="left" w:pos="3785"/>
                <w:tab w:val="left" w:pos="5045"/>
              </w:tabs>
              <w:kinsoku w:val="0"/>
              <w:overflowPunct w:val="0"/>
              <w:ind w:left="1054"/>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类型：</w:t>
            </w:r>
            <w:r>
              <w:rPr>
                <w:rFonts w:hint="default" w:ascii="宋体" w:hAnsi="宋体" w:eastAsia="宋体" w:cs="宋体"/>
                <w:color w:val="auto"/>
                <w:sz w:val="21"/>
                <w:szCs w:val="21"/>
                <w:highlight w:val="none"/>
              </w:rPr>
              <w:tab/>
            </w:r>
            <w:r>
              <w:rPr>
                <w:rFonts w:hint="default" w:ascii="宋体" w:hAnsi="宋体" w:eastAsia="宋体" w:cs="宋体"/>
                <w:color w:val="auto"/>
                <w:spacing w:val="-1"/>
                <w:sz w:val="21"/>
                <w:szCs w:val="21"/>
                <w:highlight w:val="none"/>
              </w:rPr>
              <w:t>等级：</w:t>
            </w:r>
            <w:r>
              <w:rPr>
                <w:rFonts w:hint="default" w:ascii="宋体" w:hAnsi="宋体" w:eastAsia="宋体" w:cs="宋体"/>
                <w:color w:val="auto"/>
                <w:spacing w:val="-1"/>
                <w:sz w:val="21"/>
                <w:szCs w:val="21"/>
                <w:highlight w:val="none"/>
              </w:rPr>
              <w:tab/>
            </w:r>
            <w:r>
              <w:rPr>
                <w:rFonts w:hint="default" w:ascii="宋体" w:hAnsi="宋体" w:eastAsia="宋体" w:cs="宋体"/>
                <w:color w:val="auto"/>
                <w:spacing w:val="-2"/>
                <w:sz w:val="21"/>
                <w:szCs w:val="21"/>
                <w:highlight w:val="none"/>
              </w:rPr>
              <w:t>证书号：</w:t>
            </w:r>
          </w:p>
        </w:tc>
      </w:tr>
      <w:tr w14:paraId="1900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30DAC7FD">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营业执照号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E0E64E8">
            <w:pPr>
              <w:rPr>
                <w:rFonts w:hint="default" w:ascii="宋体" w:hAnsi="宋体" w:eastAsia="宋体" w:cs="宋体"/>
                <w:color w:val="auto"/>
                <w:sz w:val="21"/>
                <w:szCs w:val="21"/>
                <w:highlight w:val="none"/>
              </w:rPr>
            </w:pPr>
          </w:p>
        </w:tc>
        <w:tc>
          <w:tcPr>
            <w:tcW w:w="3630" w:type="dxa"/>
            <w:gridSpan w:val="5"/>
            <w:tcBorders>
              <w:top w:val="single" w:color="000000" w:sz="4" w:space="0"/>
              <w:left w:val="single" w:color="000000" w:sz="4" w:space="0"/>
              <w:bottom w:val="single" w:color="000000" w:sz="4" w:space="0"/>
              <w:right w:val="single" w:color="000000" w:sz="4" w:space="0"/>
              <w:tl2br w:val="nil"/>
              <w:tr2bl w:val="nil"/>
            </w:tcBorders>
            <w:vAlign w:val="top"/>
          </w:tcPr>
          <w:p w14:paraId="759AC592">
            <w:pPr>
              <w:pStyle w:val="28"/>
              <w:kinsoku w:val="0"/>
              <w:overflowPunct w:val="0"/>
              <w:spacing w:before="107"/>
              <w:ind w:left="1178"/>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员工总人数：</w:t>
            </w:r>
          </w:p>
        </w:tc>
      </w:tr>
      <w:tr w14:paraId="1A937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644645FC">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注册资本</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4024104A">
            <w:pPr>
              <w:rPr>
                <w:rFonts w:hint="default" w:ascii="宋体" w:hAnsi="宋体" w:eastAsia="宋体" w:cs="宋体"/>
                <w:color w:val="auto"/>
                <w:sz w:val="21"/>
                <w:szCs w:val="21"/>
                <w:highlight w:val="none"/>
              </w:rPr>
            </w:pPr>
          </w:p>
        </w:tc>
        <w:tc>
          <w:tcPr>
            <w:tcW w:w="41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720FEE1D">
            <w:pPr>
              <w:pStyle w:val="28"/>
              <w:kinsoku w:val="0"/>
              <w:overflowPunct w:val="0"/>
              <w:spacing w:line="384" w:lineRule="auto"/>
              <w:ind w:right="89"/>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其 中</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DF3B6DA">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高级职称人员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6001D30">
            <w:pPr>
              <w:rPr>
                <w:rFonts w:hint="default" w:ascii="宋体" w:hAnsi="宋体" w:eastAsia="宋体" w:cs="宋体"/>
                <w:color w:val="auto"/>
                <w:sz w:val="21"/>
                <w:szCs w:val="21"/>
                <w:highlight w:val="none"/>
              </w:rPr>
            </w:pPr>
          </w:p>
        </w:tc>
      </w:tr>
      <w:tr w14:paraId="5050E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6E8FA566">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成立日期</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17B12C4C">
            <w:pPr>
              <w:rPr>
                <w:rFonts w:hint="default"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14:paraId="6B9F252B">
            <w:pPr>
              <w:rPr>
                <w:rFonts w:hint="default"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8B309CE">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中级职称人员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5CEEA402">
            <w:pPr>
              <w:rPr>
                <w:rFonts w:hint="default" w:ascii="宋体" w:hAnsi="宋体" w:eastAsia="宋体" w:cs="宋体"/>
                <w:color w:val="auto"/>
                <w:sz w:val="21"/>
                <w:szCs w:val="21"/>
                <w:highlight w:val="none"/>
              </w:rPr>
            </w:pPr>
          </w:p>
        </w:tc>
      </w:tr>
      <w:tr w14:paraId="4E62D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234CEB10">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基本账户开户银行</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0CEDCB6E">
            <w:pPr>
              <w:rPr>
                <w:rFonts w:hint="default"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14:paraId="2F4390CD">
            <w:pPr>
              <w:rPr>
                <w:rFonts w:hint="default"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702C0F0">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技术人员数量</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435AF2E4">
            <w:pPr>
              <w:rPr>
                <w:rFonts w:hint="default" w:ascii="宋体" w:hAnsi="宋体" w:eastAsia="宋体" w:cs="宋体"/>
                <w:color w:val="auto"/>
                <w:sz w:val="21"/>
                <w:szCs w:val="21"/>
                <w:highlight w:val="none"/>
              </w:rPr>
            </w:pPr>
          </w:p>
        </w:tc>
      </w:tr>
      <w:tr w14:paraId="3653B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0C28D2E9">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基本账户银行账号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vAlign w:val="top"/>
          </w:tcPr>
          <w:p w14:paraId="541BB117">
            <w:pPr>
              <w:rPr>
                <w:rFonts w:hint="default"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14:paraId="19212FE5">
            <w:pPr>
              <w:rPr>
                <w:rFonts w:hint="default"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113DCA5">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各类注册人员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08DA69A5">
            <w:pPr>
              <w:rPr>
                <w:rFonts w:hint="default" w:ascii="宋体" w:hAnsi="宋体" w:eastAsia="宋体" w:cs="宋体"/>
                <w:color w:val="auto"/>
                <w:sz w:val="21"/>
                <w:szCs w:val="21"/>
                <w:highlight w:val="none"/>
              </w:rPr>
            </w:pPr>
          </w:p>
        </w:tc>
      </w:tr>
      <w:tr w14:paraId="466A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67FA8BD9">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经营范围</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vAlign w:val="top"/>
          </w:tcPr>
          <w:p w14:paraId="74CDE7F9">
            <w:pPr>
              <w:rPr>
                <w:rFonts w:hint="default" w:ascii="宋体" w:hAnsi="宋体" w:eastAsia="宋体" w:cs="宋体"/>
                <w:color w:val="auto"/>
                <w:sz w:val="21"/>
                <w:szCs w:val="21"/>
                <w:highlight w:val="none"/>
              </w:rPr>
            </w:pPr>
          </w:p>
        </w:tc>
      </w:tr>
      <w:tr w14:paraId="4B492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6"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5BD06C2D">
            <w:pPr>
              <w:pStyle w:val="28"/>
              <w:kinsoku w:val="0"/>
              <w:overflowPunct w:val="0"/>
              <w:ind w:right="96"/>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投标人关联企业情</w:t>
            </w:r>
            <w:r>
              <w:rPr>
                <w:rFonts w:hint="default" w:ascii="宋体" w:hAnsi="宋体" w:eastAsia="宋体" w:cs="宋体"/>
                <w:color w:val="auto"/>
                <w:spacing w:val="-8"/>
                <w:sz w:val="21"/>
                <w:szCs w:val="21"/>
                <w:highlight w:val="none"/>
              </w:rPr>
              <w:t>况（包括但不限于与</w:t>
            </w:r>
            <w:r>
              <w:rPr>
                <w:rFonts w:hint="default" w:ascii="宋体" w:hAnsi="宋体" w:eastAsia="宋体" w:cs="宋体"/>
                <w:color w:val="auto"/>
                <w:spacing w:val="-102"/>
                <w:sz w:val="21"/>
                <w:szCs w:val="21"/>
                <w:highlight w:val="none"/>
              </w:rPr>
              <w:t xml:space="preserve"> </w:t>
            </w:r>
            <w:r>
              <w:rPr>
                <w:rFonts w:hint="default" w:ascii="宋体" w:hAnsi="宋体" w:eastAsia="宋体" w:cs="宋体"/>
                <w:color w:val="auto"/>
                <w:sz w:val="21"/>
                <w:szCs w:val="21"/>
                <w:highlight w:val="none"/>
              </w:rPr>
              <w:t>投标人法定代表人为同一人或者存在</w:t>
            </w:r>
            <w:r>
              <w:rPr>
                <w:rFonts w:hint="default" w:ascii="宋体" w:hAnsi="宋体" w:eastAsia="宋体" w:cs="宋体"/>
                <w:color w:val="auto"/>
                <w:spacing w:val="-8"/>
                <w:sz w:val="21"/>
                <w:szCs w:val="21"/>
                <w:highlight w:val="none"/>
              </w:rPr>
              <w:t>控股、管理关系的不</w:t>
            </w:r>
            <w:r>
              <w:rPr>
                <w:rFonts w:hint="default" w:ascii="宋体" w:hAnsi="宋体" w:eastAsia="宋体" w:cs="宋体"/>
                <w:color w:val="auto"/>
                <w:sz w:val="21"/>
                <w:szCs w:val="21"/>
                <w:highlight w:val="none"/>
              </w:rPr>
              <w:t>同单位）</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vAlign w:val="top"/>
          </w:tcPr>
          <w:p w14:paraId="162EAF4A">
            <w:pPr>
              <w:rPr>
                <w:rFonts w:hint="default" w:ascii="宋体" w:hAnsi="宋体" w:eastAsia="宋体" w:cs="宋体"/>
                <w:color w:val="auto"/>
                <w:sz w:val="21"/>
                <w:szCs w:val="21"/>
                <w:highlight w:val="none"/>
              </w:rPr>
            </w:pPr>
          </w:p>
        </w:tc>
      </w:tr>
      <w:tr w14:paraId="720AF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650C21C6">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备注</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vAlign w:val="top"/>
          </w:tcPr>
          <w:p w14:paraId="2137DAAB">
            <w:pPr>
              <w:rPr>
                <w:rFonts w:hint="default" w:ascii="宋体" w:hAnsi="宋体" w:eastAsia="宋体" w:cs="宋体"/>
                <w:color w:val="auto"/>
                <w:sz w:val="21"/>
                <w:szCs w:val="21"/>
                <w:highlight w:val="none"/>
              </w:rPr>
            </w:pPr>
          </w:p>
        </w:tc>
      </w:tr>
    </w:tbl>
    <w:p w14:paraId="1B3C8F66">
      <w:pPr>
        <w:pStyle w:val="11"/>
        <w:kinsoku w:val="0"/>
        <w:overflowPunct w:val="0"/>
        <w:spacing w:before="74" w:line="331" w:lineRule="auto"/>
        <w:ind w:left="240"/>
        <w:rPr>
          <w:rFonts w:hint="default" w:cs="宋体"/>
          <w:color w:val="auto"/>
          <w:sz w:val="21"/>
          <w:szCs w:val="21"/>
          <w:highlight w:val="none"/>
        </w:rPr>
      </w:pPr>
      <w:r>
        <w:rPr>
          <w:rFonts w:hint="default" w:cs="宋体"/>
          <w:color w:val="auto"/>
          <w:spacing w:val="-5"/>
          <w:sz w:val="21"/>
          <w:szCs w:val="21"/>
          <w:highlight w:val="none"/>
        </w:rPr>
        <w:t>注：</w:t>
      </w:r>
      <w:r>
        <w:rPr>
          <w:rFonts w:hint="default" w:cs="宋体"/>
          <w:color w:val="auto"/>
          <w:sz w:val="21"/>
          <w:szCs w:val="24"/>
          <w:highlight w:val="none"/>
        </w:rPr>
        <w:t>投标人应附营业执照、资质证书等相关证明材料。</w:t>
      </w:r>
    </w:p>
    <w:p w14:paraId="40479B0E">
      <w:pPr>
        <w:pStyle w:val="11"/>
        <w:kinsoku w:val="0"/>
        <w:overflowPunct w:val="0"/>
        <w:spacing w:before="74" w:line="331" w:lineRule="auto"/>
        <w:ind w:left="240"/>
        <w:rPr>
          <w:rFonts w:hint="default"/>
          <w:color w:val="auto"/>
          <w:sz w:val="21"/>
          <w:szCs w:val="24"/>
          <w:highlight w:val="none"/>
        </w:rPr>
        <w:sectPr>
          <w:footerReference r:id="rId12" w:type="default"/>
          <w:pgSz w:w="11905" w:h="16838"/>
          <w:pgMar w:top="1417" w:right="1417" w:bottom="1417" w:left="1417" w:header="992" w:footer="992" w:gutter="0"/>
          <w:lnNumType w:countBy="0" w:distance="360"/>
          <w:cols w:space="720" w:num="1"/>
        </w:sectPr>
      </w:pPr>
    </w:p>
    <w:p w14:paraId="0F69D7D4">
      <w:pPr>
        <w:pStyle w:val="5"/>
        <w:outlineLvl w:val="2"/>
        <w:rPr>
          <w:rFonts w:hint="default"/>
          <w:b/>
          <w:color w:val="auto"/>
          <w:sz w:val="24"/>
          <w:szCs w:val="24"/>
          <w:highlight w:val="none"/>
        </w:rPr>
      </w:pPr>
      <w:bookmarkStart w:id="54" w:name="_Toc12503"/>
      <w:r>
        <w:rPr>
          <w:rFonts w:hint="default"/>
          <w:b/>
          <w:color w:val="auto"/>
          <w:sz w:val="24"/>
          <w:szCs w:val="24"/>
          <w:highlight w:val="none"/>
        </w:rPr>
        <w:t>（</w:t>
      </w:r>
      <w:r>
        <w:rPr>
          <w:rFonts w:hint="default"/>
          <w:b/>
          <w:color w:val="auto"/>
          <w:sz w:val="24"/>
          <w:szCs w:val="24"/>
          <w:highlight w:val="none"/>
          <w:lang w:eastAsia="zh-CN"/>
        </w:rPr>
        <w:t>二</w:t>
      </w:r>
      <w:r>
        <w:rPr>
          <w:rFonts w:hint="default"/>
          <w:b/>
          <w:color w:val="auto"/>
          <w:sz w:val="24"/>
          <w:szCs w:val="24"/>
          <w:highlight w:val="none"/>
        </w:rPr>
        <w:t>）近年完成的类似项目情况表</w:t>
      </w:r>
      <w:bookmarkEnd w:id="54"/>
    </w:p>
    <w:p w14:paraId="4A7C9D66">
      <w:pPr>
        <w:pStyle w:val="11"/>
        <w:kinsoku w:val="0"/>
        <w:overflowPunct w:val="0"/>
        <w:ind w:left="0"/>
        <w:rPr>
          <w:rFonts w:hint="default"/>
          <w:color w:val="auto"/>
          <w:sz w:val="20"/>
          <w:szCs w:val="24"/>
          <w:highlight w:val="none"/>
        </w:rPr>
      </w:pPr>
    </w:p>
    <w:p w14:paraId="02B2E845">
      <w:pPr>
        <w:pStyle w:val="11"/>
        <w:kinsoku w:val="0"/>
        <w:overflowPunct w:val="0"/>
        <w:spacing w:before="11"/>
        <w:ind w:left="0"/>
        <w:rPr>
          <w:rFonts w:hint="default"/>
          <w:color w:val="auto"/>
          <w:sz w:val="22"/>
          <w:szCs w:val="24"/>
          <w:highlight w:val="none"/>
        </w:rPr>
      </w:pPr>
    </w:p>
    <w:tbl>
      <w:tblPr>
        <w:tblStyle w:val="21"/>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6253"/>
      </w:tblGrid>
      <w:tr w14:paraId="056E6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5B097C4A">
            <w:pPr>
              <w:pStyle w:val="28"/>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项目名称</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6E5EF658">
            <w:pPr>
              <w:rPr>
                <w:rFonts w:hint="default"/>
                <w:color w:val="auto"/>
                <w:sz w:val="21"/>
                <w:szCs w:val="24"/>
                <w:highlight w:val="none"/>
              </w:rPr>
            </w:pPr>
          </w:p>
        </w:tc>
      </w:tr>
      <w:tr w14:paraId="0E45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0E1B9ADA">
            <w:pPr>
              <w:pStyle w:val="28"/>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项目所在地</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1B4DBC3F">
            <w:pPr>
              <w:rPr>
                <w:rFonts w:hint="default"/>
                <w:color w:val="auto"/>
                <w:sz w:val="21"/>
                <w:szCs w:val="24"/>
                <w:highlight w:val="none"/>
              </w:rPr>
            </w:pPr>
          </w:p>
        </w:tc>
      </w:tr>
      <w:tr w14:paraId="7EFF6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66A5E505">
            <w:pPr>
              <w:pStyle w:val="28"/>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委托人名称</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413DB5C3">
            <w:pPr>
              <w:rPr>
                <w:rFonts w:hint="default"/>
                <w:color w:val="auto"/>
                <w:sz w:val="21"/>
                <w:szCs w:val="24"/>
                <w:highlight w:val="none"/>
              </w:rPr>
            </w:pPr>
          </w:p>
        </w:tc>
      </w:tr>
      <w:tr w14:paraId="45CB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31E4CFBD">
            <w:pPr>
              <w:pStyle w:val="28"/>
              <w:tabs>
                <w:tab w:val="left" w:pos="668"/>
                <w:tab w:val="center" w:pos="1387"/>
              </w:tabs>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委托人地址</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3FDE02E6">
            <w:pPr>
              <w:rPr>
                <w:rFonts w:hint="default"/>
                <w:color w:val="auto"/>
                <w:sz w:val="21"/>
                <w:szCs w:val="24"/>
                <w:highlight w:val="none"/>
              </w:rPr>
            </w:pPr>
          </w:p>
        </w:tc>
      </w:tr>
      <w:tr w14:paraId="75620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72FC20DB">
            <w:pPr>
              <w:pStyle w:val="28"/>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委托人电话</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5189FF07">
            <w:pPr>
              <w:rPr>
                <w:rFonts w:hint="default"/>
                <w:color w:val="auto"/>
                <w:sz w:val="21"/>
                <w:szCs w:val="24"/>
                <w:highlight w:val="none"/>
              </w:rPr>
            </w:pPr>
          </w:p>
        </w:tc>
      </w:tr>
      <w:tr w14:paraId="4BFC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5ADF3D3D">
            <w:pPr>
              <w:pStyle w:val="28"/>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合同价格</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0932888F">
            <w:pPr>
              <w:rPr>
                <w:rFonts w:hint="default"/>
                <w:color w:val="auto"/>
                <w:sz w:val="21"/>
                <w:szCs w:val="24"/>
                <w:highlight w:val="none"/>
              </w:rPr>
            </w:pPr>
          </w:p>
        </w:tc>
      </w:tr>
      <w:tr w14:paraId="7B492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41423948">
            <w:pPr>
              <w:pStyle w:val="28"/>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监理服务期限</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446E6408">
            <w:pPr>
              <w:rPr>
                <w:rFonts w:hint="default"/>
                <w:color w:val="auto"/>
                <w:sz w:val="21"/>
                <w:szCs w:val="24"/>
                <w:highlight w:val="none"/>
              </w:rPr>
            </w:pPr>
          </w:p>
        </w:tc>
      </w:tr>
      <w:tr w14:paraId="2D94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0BFECA86">
            <w:pPr>
              <w:pStyle w:val="28"/>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监理内容</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156CD27E">
            <w:pPr>
              <w:rPr>
                <w:rFonts w:hint="default"/>
                <w:color w:val="auto"/>
                <w:sz w:val="21"/>
                <w:szCs w:val="24"/>
                <w:highlight w:val="none"/>
              </w:rPr>
            </w:pPr>
          </w:p>
        </w:tc>
      </w:tr>
      <w:tr w14:paraId="18C54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3C881D3F">
            <w:pPr>
              <w:pStyle w:val="28"/>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总监理工程师</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64286C69">
            <w:pPr>
              <w:rPr>
                <w:rFonts w:hint="default"/>
                <w:color w:val="auto"/>
                <w:sz w:val="21"/>
                <w:szCs w:val="24"/>
                <w:highlight w:val="none"/>
              </w:rPr>
            </w:pPr>
          </w:p>
        </w:tc>
      </w:tr>
      <w:tr w14:paraId="0C21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2"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26749205">
            <w:pPr>
              <w:pStyle w:val="28"/>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项目描述</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62B425BF">
            <w:pPr>
              <w:rPr>
                <w:rFonts w:hint="default"/>
                <w:color w:val="auto"/>
                <w:sz w:val="21"/>
                <w:szCs w:val="24"/>
                <w:highlight w:val="none"/>
              </w:rPr>
            </w:pPr>
          </w:p>
        </w:tc>
      </w:tr>
      <w:tr w14:paraId="38A29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01F16BA3">
            <w:pPr>
              <w:pStyle w:val="28"/>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备注</w:t>
            </w:r>
          </w:p>
        </w:tc>
        <w:tc>
          <w:tcPr>
            <w:tcW w:w="6253" w:type="dxa"/>
            <w:tcBorders>
              <w:top w:val="single" w:color="000000" w:sz="4" w:space="0"/>
              <w:left w:val="single" w:color="000000" w:sz="4" w:space="0"/>
              <w:bottom w:val="single" w:color="000000" w:sz="4" w:space="0"/>
              <w:right w:val="single" w:color="000000" w:sz="4" w:space="0"/>
              <w:tl2br w:val="nil"/>
              <w:tr2bl w:val="nil"/>
            </w:tcBorders>
            <w:vAlign w:val="top"/>
          </w:tcPr>
          <w:p w14:paraId="20FD4FF9">
            <w:pPr>
              <w:rPr>
                <w:rFonts w:hint="default"/>
                <w:color w:val="auto"/>
                <w:sz w:val="21"/>
                <w:szCs w:val="24"/>
                <w:highlight w:val="none"/>
              </w:rPr>
            </w:pPr>
          </w:p>
        </w:tc>
      </w:tr>
    </w:tbl>
    <w:p w14:paraId="40F0F131">
      <w:pPr>
        <w:pStyle w:val="11"/>
        <w:kinsoku w:val="0"/>
        <w:overflowPunct w:val="0"/>
        <w:spacing w:before="6"/>
        <w:ind w:left="0"/>
        <w:rPr>
          <w:rFonts w:hint="default"/>
          <w:color w:val="auto"/>
          <w:sz w:val="24"/>
          <w:szCs w:val="24"/>
          <w:highlight w:val="none"/>
        </w:rPr>
      </w:pPr>
    </w:p>
    <w:p w14:paraId="6B43DDDB">
      <w:pPr>
        <w:pStyle w:val="11"/>
        <w:kinsoku w:val="0"/>
        <w:overflowPunct w:val="0"/>
        <w:spacing w:before="36"/>
        <w:ind w:left="100"/>
        <w:rPr>
          <w:rFonts w:hint="default"/>
          <w:color w:val="auto"/>
          <w:sz w:val="24"/>
          <w:szCs w:val="24"/>
          <w:highlight w:val="none"/>
        </w:rPr>
      </w:pPr>
    </w:p>
    <w:p w14:paraId="64DB69B6">
      <w:pPr>
        <w:pStyle w:val="11"/>
        <w:kinsoku w:val="0"/>
        <w:overflowPunct w:val="0"/>
        <w:spacing w:before="36"/>
        <w:ind w:left="100"/>
        <w:rPr>
          <w:rFonts w:hint="default"/>
          <w:color w:val="auto"/>
          <w:sz w:val="21"/>
          <w:szCs w:val="24"/>
          <w:highlight w:val="none"/>
        </w:rPr>
        <w:sectPr>
          <w:headerReference r:id="rId13" w:type="default"/>
          <w:footerReference r:id="rId14" w:type="default"/>
          <w:pgSz w:w="11905" w:h="16838"/>
          <w:pgMar w:top="1417" w:right="1417" w:bottom="1417" w:left="1417" w:header="992" w:footer="992" w:gutter="0"/>
          <w:lnNumType w:countBy="0" w:distance="360"/>
          <w:cols w:space="720" w:num="1"/>
        </w:sectPr>
      </w:pPr>
    </w:p>
    <w:p w14:paraId="6A6CBB9F">
      <w:pPr>
        <w:pStyle w:val="5"/>
        <w:outlineLvl w:val="2"/>
        <w:rPr>
          <w:rFonts w:hint="default"/>
          <w:b/>
          <w:color w:val="auto"/>
          <w:sz w:val="24"/>
          <w:szCs w:val="24"/>
          <w:highlight w:val="none"/>
        </w:rPr>
      </w:pPr>
      <w:bookmarkStart w:id="55" w:name="_Toc12109"/>
      <w:r>
        <w:rPr>
          <w:rFonts w:hint="default"/>
          <w:b/>
          <w:color w:val="auto"/>
          <w:sz w:val="24"/>
          <w:szCs w:val="24"/>
          <w:highlight w:val="none"/>
        </w:rPr>
        <w:t>（</w:t>
      </w:r>
      <w:r>
        <w:rPr>
          <w:rFonts w:hint="default"/>
          <w:b/>
          <w:color w:val="auto"/>
          <w:sz w:val="24"/>
          <w:szCs w:val="24"/>
          <w:highlight w:val="none"/>
          <w:lang w:eastAsia="zh-CN"/>
        </w:rPr>
        <w:t>三</w:t>
      </w:r>
      <w:r>
        <w:rPr>
          <w:rFonts w:hint="default"/>
          <w:b/>
          <w:color w:val="auto"/>
          <w:sz w:val="24"/>
          <w:szCs w:val="24"/>
          <w:highlight w:val="none"/>
        </w:rPr>
        <w:t>）拟委任的主要人员汇总表</w:t>
      </w:r>
      <w:bookmarkEnd w:id="55"/>
    </w:p>
    <w:p w14:paraId="696A5E04">
      <w:pPr>
        <w:pStyle w:val="11"/>
        <w:kinsoku w:val="0"/>
        <w:overflowPunct w:val="0"/>
        <w:ind w:left="0"/>
        <w:rPr>
          <w:rFonts w:hint="default"/>
          <w:color w:val="auto"/>
          <w:sz w:val="20"/>
          <w:szCs w:val="24"/>
          <w:highlight w:val="none"/>
        </w:rPr>
      </w:pPr>
    </w:p>
    <w:p w14:paraId="6D5F79A5">
      <w:pPr>
        <w:pStyle w:val="11"/>
        <w:kinsoku w:val="0"/>
        <w:overflowPunct w:val="0"/>
        <w:spacing w:before="11"/>
        <w:ind w:left="0"/>
        <w:rPr>
          <w:rFonts w:hint="default"/>
          <w:color w:val="auto"/>
          <w:sz w:val="22"/>
          <w:szCs w:val="24"/>
          <w:highlight w:val="none"/>
        </w:rPr>
      </w:pPr>
    </w:p>
    <w:tbl>
      <w:tblPr>
        <w:tblStyle w:val="21"/>
        <w:tblW w:w="8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6"/>
        <w:gridCol w:w="1275"/>
        <w:gridCol w:w="991"/>
        <w:gridCol w:w="895"/>
        <w:gridCol w:w="975"/>
        <w:gridCol w:w="844"/>
        <w:gridCol w:w="881"/>
        <w:gridCol w:w="825"/>
        <w:gridCol w:w="1275"/>
      </w:tblGrid>
      <w:tr w14:paraId="2E680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4D4C193D">
            <w:pPr>
              <w:pStyle w:val="28"/>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序号</w:t>
            </w:r>
          </w:p>
        </w:tc>
        <w:tc>
          <w:tcPr>
            <w:tcW w:w="12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343C8E14">
            <w:pPr>
              <w:pStyle w:val="28"/>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本项目任职</w:t>
            </w:r>
          </w:p>
        </w:tc>
        <w:tc>
          <w:tcPr>
            <w:tcW w:w="99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1CD923C8">
            <w:pPr>
              <w:pStyle w:val="28"/>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姓名</w:t>
            </w:r>
          </w:p>
        </w:tc>
        <w:tc>
          <w:tcPr>
            <w:tcW w:w="89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089481BA">
            <w:pPr>
              <w:pStyle w:val="28"/>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职 称</w:t>
            </w:r>
          </w:p>
        </w:tc>
        <w:tc>
          <w:tcPr>
            <w:tcW w:w="9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165D1284">
            <w:pPr>
              <w:pStyle w:val="28"/>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专 业</w:t>
            </w:r>
          </w:p>
        </w:tc>
        <w:tc>
          <w:tcPr>
            <w:tcW w:w="255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755B6994">
            <w:pPr>
              <w:pStyle w:val="28"/>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执业或职业资格证明</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14:paraId="144EB089">
            <w:pPr>
              <w:pStyle w:val="28"/>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备注</w:t>
            </w:r>
          </w:p>
        </w:tc>
      </w:tr>
      <w:tr w14:paraId="3D72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5542E0D">
            <w:pPr>
              <w:pStyle w:val="28"/>
              <w:kinsoku w:val="0"/>
              <w:overflowPunct w:val="0"/>
              <w:spacing w:line="240" w:lineRule="atLeast"/>
              <w:jc w:val="center"/>
              <w:rPr>
                <w:rFonts w:hint="default"/>
                <w:color w:val="auto"/>
                <w:sz w:val="21"/>
                <w:szCs w:val="24"/>
                <w:highlight w:val="none"/>
              </w:rPr>
            </w:pPr>
          </w:p>
        </w:tc>
        <w:tc>
          <w:tcPr>
            <w:tcW w:w="12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F487D68">
            <w:pPr>
              <w:pStyle w:val="28"/>
              <w:kinsoku w:val="0"/>
              <w:overflowPunct w:val="0"/>
              <w:spacing w:line="240" w:lineRule="atLeast"/>
              <w:jc w:val="center"/>
              <w:rPr>
                <w:rFonts w:hint="default"/>
                <w:color w:val="auto"/>
                <w:sz w:val="21"/>
                <w:szCs w:val="24"/>
                <w:highlight w:val="none"/>
              </w:rPr>
            </w:pPr>
          </w:p>
        </w:tc>
        <w:tc>
          <w:tcPr>
            <w:tcW w:w="9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D3BA3B3">
            <w:pPr>
              <w:pStyle w:val="28"/>
              <w:kinsoku w:val="0"/>
              <w:overflowPunct w:val="0"/>
              <w:spacing w:line="240" w:lineRule="atLeast"/>
              <w:jc w:val="center"/>
              <w:rPr>
                <w:rFonts w:hint="default"/>
                <w:color w:val="auto"/>
                <w:sz w:val="21"/>
                <w:szCs w:val="24"/>
                <w:highlight w:val="none"/>
              </w:rPr>
            </w:pPr>
          </w:p>
        </w:tc>
        <w:tc>
          <w:tcPr>
            <w:tcW w:w="89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3C5940D">
            <w:pPr>
              <w:pStyle w:val="28"/>
              <w:kinsoku w:val="0"/>
              <w:overflowPunct w:val="0"/>
              <w:spacing w:line="240" w:lineRule="atLeast"/>
              <w:jc w:val="center"/>
              <w:rPr>
                <w:rFonts w:hint="default"/>
                <w:color w:val="auto"/>
                <w:sz w:val="21"/>
                <w:szCs w:val="24"/>
                <w:highlight w:val="none"/>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C98357C">
            <w:pPr>
              <w:pStyle w:val="28"/>
              <w:kinsoku w:val="0"/>
              <w:overflowPunct w:val="0"/>
              <w:spacing w:line="240" w:lineRule="atLeast"/>
              <w:jc w:val="center"/>
              <w:rPr>
                <w:rFonts w:hint="default"/>
                <w:color w:val="auto"/>
                <w:sz w:val="21"/>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center"/>
          </w:tcPr>
          <w:p w14:paraId="58207416">
            <w:pPr>
              <w:pStyle w:val="28"/>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证书名称</w:t>
            </w:r>
          </w:p>
        </w:tc>
        <w:tc>
          <w:tcPr>
            <w:tcW w:w="881" w:type="dxa"/>
            <w:tcBorders>
              <w:top w:val="single" w:color="000000" w:sz="4" w:space="0"/>
              <w:left w:val="single" w:color="000000" w:sz="4" w:space="0"/>
              <w:bottom w:val="single" w:color="000000" w:sz="4" w:space="0"/>
              <w:right w:val="single" w:color="000000" w:sz="4" w:space="0"/>
              <w:tl2br w:val="nil"/>
              <w:tr2bl w:val="nil"/>
            </w:tcBorders>
            <w:vAlign w:val="center"/>
          </w:tcPr>
          <w:p w14:paraId="333AB60A">
            <w:pPr>
              <w:pStyle w:val="28"/>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级别</w:t>
            </w:r>
          </w:p>
        </w:tc>
        <w:tc>
          <w:tcPr>
            <w:tcW w:w="825" w:type="dxa"/>
            <w:tcBorders>
              <w:top w:val="single" w:color="000000" w:sz="4" w:space="0"/>
              <w:left w:val="single" w:color="000000" w:sz="4" w:space="0"/>
              <w:bottom w:val="single" w:color="000000" w:sz="4" w:space="0"/>
              <w:right w:val="single" w:color="000000" w:sz="4" w:space="0"/>
              <w:tl2br w:val="nil"/>
              <w:tr2bl w:val="nil"/>
            </w:tcBorders>
            <w:vAlign w:val="center"/>
          </w:tcPr>
          <w:p w14:paraId="2945666A">
            <w:pPr>
              <w:pStyle w:val="28"/>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证号</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14:paraId="575B1905">
            <w:pPr>
              <w:spacing w:line="240" w:lineRule="atLeast"/>
              <w:jc w:val="center"/>
              <w:rPr>
                <w:rFonts w:hint="default"/>
                <w:color w:val="auto"/>
                <w:sz w:val="21"/>
                <w:szCs w:val="24"/>
                <w:highlight w:val="none"/>
              </w:rPr>
            </w:pPr>
          </w:p>
        </w:tc>
      </w:tr>
      <w:tr w14:paraId="4DC66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586FDB61">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07F10A2E">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5DDCE45D">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6D45FE44">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3BF6DEAD">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3E50A9EB">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1BF5946E">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434490C1">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6CF6D6AE">
            <w:pPr>
              <w:rPr>
                <w:rFonts w:hint="default"/>
                <w:color w:val="auto"/>
                <w:sz w:val="24"/>
                <w:szCs w:val="24"/>
                <w:highlight w:val="none"/>
              </w:rPr>
            </w:pPr>
          </w:p>
        </w:tc>
      </w:tr>
      <w:tr w14:paraId="7DA0E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518721AC">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679BAF19">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1C3A456A">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673EBEA4">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0372C48B">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2C070E4D">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433D1CA8">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372AD921">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5AE3C518">
            <w:pPr>
              <w:rPr>
                <w:rFonts w:hint="default"/>
                <w:color w:val="auto"/>
                <w:sz w:val="24"/>
                <w:szCs w:val="24"/>
                <w:highlight w:val="none"/>
              </w:rPr>
            </w:pPr>
          </w:p>
        </w:tc>
      </w:tr>
      <w:tr w14:paraId="7DC59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037F7C14">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070004E2">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4394D34B">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7B948C00">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5EF6100E">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65276837">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77E4D56E">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56C02439">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0E79A2C0">
            <w:pPr>
              <w:rPr>
                <w:rFonts w:hint="default"/>
                <w:color w:val="auto"/>
                <w:sz w:val="24"/>
                <w:szCs w:val="24"/>
                <w:highlight w:val="none"/>
              </w:rPr>
            </w:pPr>
          </w:p>
        </w:tc>
      </w:tr>
      <w:tr w14:paraId="72B94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32D4618E">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2BF91F6A">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222F19EE">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1E3336F9">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0F94346B">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1D326F9B">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7B0FE5BD">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0EDCCA0F">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2147B569">
            <w:pPr>
              <w:rPr>
                <w:rFonts w:hint="default"/>
                <w:color w:val="auto"/>
                <w:sz w:val="24"/>
                <w:szCs w:val="24"/>
                <w:highlight w:val="none"/>
              </w:rPr>
            </w:pPr>
          </w:p>
        </w:tc>
      </w:tr>
      <w:tr w14:paraId="24942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0005A488">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6389189B">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1BC59C1C">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5F76517B">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32BC14B8">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5CEFAB59">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1557D98E">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3ACFBAF6">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638AFDC2">
            <w:pPr>
              <w:rPr>
                <w:rFonts w:hint="default"/>
                <w:color w:val="auto"/>
                <w:sz w:val="24"/>
                <w:szCs w:val="24"/>
                <w:highlight w:val="none"/>
              </w:rPr>
            </w:pPr>
          </w:p>
        </w:tc>
      </w:tr>
      <w:tr w14:paraId="5AF78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362A29DC">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6DA046BB">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68798671">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4158D8C9">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2C0A3811">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0FA5A9C0">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2250C75F">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78ED81D2">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0EF3A2FE">
            <w:pPr>
              <w:rPr>
                <w:rFonts w:hint="default"/>
                <w:color w:val="auto"/>
                <w:sz w:val="24"/>
                <w:szCs w:val="24"/>
                <w:highlight w:val="none"/>
              </w:rPr>
            </w:pPr>
          </w:p>
        </w:tc>
      </w:tr>
      <w:tr w14:paraId="357ED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23E7DFE0">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0332DF5E">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04F4ABD5">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3C97BBD6">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096CBA3D">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08EB2259">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52562579">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1BC905E3">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69C4196F">
            <w:pPr>
              <w:rPr>
                <w:rFonts w:hint="default"/>
                <w:color w:val="auto"/>
                <w:sz w:val="24"/>
                <w:szCs w:val="24"/>
                <w:highlight w:val="none"/>
              </w:rPr>
            </w:pPr>
          </w:p>
        </w:tc>
      </w:tr>
      <w:tr w14:paraId="4E614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38D6BACC">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4943B4A6">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31DB6327">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5AD58B83">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52282E7F">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330D0971">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6304A21F">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755BF369">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2D8B2889">
            <w:pPr>
              <w:rPr>
                <w:rFonts w:hint="default"/>
                <w:color w:val="auto"/>
                <w:sz w:val="24"/>
                <w:szCs w:val="24"/>
                <w:highlight w:val="none"/>
              </w:rPr>
            </w:pPr>
          </w:p>
        </w:tc>
      </w:tr>
      <w:tr w14:paraId="0B049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69E46356">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61EC61BD">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78721751">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42A88349">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517C50F1">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67F38B14">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7AAB23F1">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51C3F7C6">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66F0F49B">
            <w:pPr>
              <w:rPr>
                <w:rFonts w:hint="default"/>
                <w:color w:val="auto"/>
                <w:sz w:val="24"/>
                <w:szCs w:val="24"/>
                <w:highlight w:val="none"/>
              </w:rPr>
            </w:pPr>
          </w:p>
        </w:tc>
      </w:tr>
      <w:tr w14:paraId="04208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2CFC75AD">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134E39E7">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74A0BD76">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3C20EB7E">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3564115E">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6AD02B21">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3C03FACA">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65BE3645">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563461BE">
            <w:pPr>
              <w:rPr>
                <w:rFonts w:hint="default"/>
                <w:color w:val="auto"/>
                <w:sz w:val="24"/>
                <w:szCs w:val="24"/>
                <w:highlight w:val="none"/>
              </w:rPr>
            </w:pPr>
          </w:p>
        </w:tc>
      </w:tr>
      <w:tr w14:paraId="6552E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4BD9092D">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3CF0B075">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728F4CDB">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202992E8">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299A0FB8">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4D39DCEA">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25DDE177">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1966C84A">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40752A62">
            <w:pPr>
              <w:rPr>
                <w:rFonts w:hint="default"/>
                <w:color w:val="auto"/>
                <w:sz w:val="24"/>
                <w:szCs w:val="24"/>
                <w:highlight w:val="none"/>
              </w:rPr>
            </w:pPr>
          </w:p>
        </w:tc>
      </w:tr>
      <w:tr w14:paraId="155B3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32B9FA17">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5C54AC84">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4C568CA1">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4AD8C001">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79D133FD">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17CB6D7B">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468F8F92">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5C9FD039">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05DC3D56">
            <w:pPr>
              <w:rPr>
                <w:rFonts w:hint="default"/>
                <w:color w:val="auto"/>
                <w:sz w:val="24"/>
                <w:szCs w:val="24"/>
                <w:highlight w:val="none"/>
              </w:rPr>
            </w:pPr>
          </w:p>
        </w:tc>
      </w:tr>
      <w:tr w14:paraId="18D4E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4C4F941F">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1433B098">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6F5C7D9C">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2E255825">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068C6AB7">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21BEE3FC">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0ED95248">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3ABCD45C">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2F5B384D">
            <w:pPr>
              <w:rPr>
                <w:rFonts w:hint="default"/>
                <w:color w:val="auto"/>
                <w:sz w:val="24"/>
                <w:szCs w:val="24"/>
                <w:highlight w:val="none"/>
              </w:rPr>
            </w:pPr>
          </w:p>
        </w:tc>
      </w:tr>
      <w:tr w14:paraId="0AD30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04152A22">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70D1AF9C">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1D34F30E">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4F9F54CB">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65CE29EE">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1A439EAC">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48A3786A">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7EA23DCA">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0005BC1B">
            <w:pPr>
              <w:rPr>
                <w:rFonts w:hint="default"/>
                <w:color w:val="auto"/>
                <w:sz w:val="24"/>
                <w:szCs w:val="24"/>
                <w:highlight w:val="none"/>
              </w:rPr>
            </w:pPr>
          </w:p>
        </w:tc>
      </w:tr>
      <w:tr w14:paraId="71E6D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1A3C5E29">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31805956">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03096267">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66F575CF">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4F288A4B">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3BAAA223">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10DEBD20">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33D322EB">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5C0CF1D6">
            <w:pPr>
              <w:rPr>
                <w:rFonts w:hint="default"/>
                <w:color w:val="auto"/>
                <w:sz w:val="24"/>
                <w:szCs w:val="24"/>
                <w:highlight w:val="none"/>
              </w:rPr>
            </w:pPr>
          </w:p>
        </w:tc>
      </w:tr>
      <w:tr w14:paraId="47B82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167AE741">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33301060">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7BA298B5">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714A088D">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73D15744">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02994A2D">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36DA4403">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788C6608">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12C8404B">
            <w:pPr>
              <w:rPr>
                <w:rFonts w:hint="default"/>
                <w:color w:val="auto"/>
                <w:sz w:val="24"/>
                <w:szCs w:val="24"/>
                <w:highlight w:val="none"/>
              </w:rPr>
            </w:pPr>
          </w:p>
        </w:tc>
      </w:tr>
      <w:tr w14:paraId="684B8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03E62A24">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6A94C0CE">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7B288435">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63D3E50C">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4A9D03F2">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454A9ECC">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63F79B62">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776CE83B">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1190F783">
            <w:pPr>
              <w:rPr>
                <w:rFonts w:hint="default"/>
                <w:color w:val="auto"/>
                <w:sz w:val="24"/>
                <w:szCs w:val="24"/>
                <w:highlight w:val="none"/>
              </w:rPr>
            </w:pPr>
          </w:p>
        </w:tc>
      </w:tr>
      <w:tr w14:paraId="73537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1329738A">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4A3D54B3">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682D20CA">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645AF135">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6E2AD8CB">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28397147">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1D175C8D">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627FF0AB">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3BA0F54C">
            <w:pPr>
              <w:rPr>
                <w:rFonts w:hint="default"/>
                <w:color w:val="auto"/>
                <w:sz w:val="24"/>
                <w:szCs w:val="24"/>
                <w:highlight w:val="none"/>
              </w:rPr>
            </w:pPr>
          </w:p>
        </w:tc>
      </w:tr>
      <w:tr w14:paraId="0EF91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4E0408D1">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41457031">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3AF477FD">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323AEECB">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760555B2">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3B228DF6">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2863A42C">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334C7E00">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4B30B537">
            <w:pPr>
              <w:rPr>
                <w:rFonts w:hint="default"/>
                <w:color w:val="auto"/>
                <w:sz w:val="24"/>
                <w:szCs w:val="24"/>
                <w:highlight w:val="none"/>
              </w:rPr>
            </w:pPr>
          </w:p>
        </w:tc>
      </w:tr>
      <w:tr w14:paraId="101B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5384D8BE">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2837EFB3">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24051933">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3B8C3668">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2C337D5F">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6A03F49B">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7A635F6D">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20D59605">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4FC255E6">
            <w:pPr>
              <w:rPr>
                <w:rFonts w:hint="default"/>
                <w:color w:val="auto"/>
                <w:sz w:val="24"/>
                <w:szCs w:val="24"/>
                <w:highlight w:val="none"/>
              </w:rPr>
            </w:pPr>
          </w:p>
        </w:tc>
      </w:tr>
      <w:tr w14:paraId="6FE9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vAlign w:val="top"/>
          </w:tcPr>
          <w:p w14:paraId="6D534994">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154D891E">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vAlign w:val="top"/>
          </w:tcPr>
          <w:p w14:paraId="518C9EE0">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vAlign w:val="top"/>
          </w:tcPr>
          <w:p w14:paraId="37F527DD">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top"/>
          </w:tcPr>
          <w:p w14:paraId="10EC940F">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top"/>
          </w:tcPr>
          <w:p w14:paraId="03E8F044">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vAlign w:val="top"/>
          </w:tcPr>
          <w:p w14:paraId="03DBB911">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top"/>
          </w:tcPr>
          <w:p w14:paraId="1F686884">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vAlign w:val="top"/>
          </w:tcPr>
          <w:p w14:paraId="7B723340">
            <w:pPr>
              <w:rPr>
                <w:rFonts w:hint="default"/>
                <w:color w:val="auto"/>
                <w:sz w:val="24"/>
                <w:szCs w:val="24"/>
                <w:highlight w:val="none"/>
              </w:rPr>
            </w:pPr>
          </w:p>
        </w:tc>
      </w:tr>
    </w:tbl>
    <w:p w14:paraId="43267B49">
      <w:pPr>
        <w:rPr>
          <w:rFonts w:hint="default"/>
          <w:color w:val="auto"/>
          <w:sz w:val="24"/>
          <w:szCs w:val="24"/>
          <w:highlight w:val="none"/>
        </w:rPr>
        <w:sectPr>
          <w:headerReference r:id="rId15" w:type="default"/>
          <w:footerReference r:id="rId16" w:type="default"/>
          <w:pgSz w:w="11905" w:h="16838"/>
          <w:pgMar w:top="1417" w:right="1417" w:bottom="1417" w:left="1417" w:header="992" w:footer="992" w:gutter="0"/>
          <w:lnNumType w:countBy="0" w:distance="360"/>
          <w:cols w:space="720" w:num="1"/>
        </w:sectPr>
      </w:pPr>
    </w:p>
    <w:p w14:paraId="611C7239">
      <w:pPr>
        <w:pStyle w:val="5"/>
        <w:outlineLvl w:val="2"/>
        <w:rPr>
          <w:rFonts w:hint="default"/>
          <w:b/>
          <w:color w:val="auto"/>
          <w:sz w:val="24"/>
          <w:szCs w:val="24"/>
          <w:highlight w:val="none"/>
        </w:rPr>
      </w:pPr>
      <w:bookmarkStart w:id="56" w:name="_Toc30346"/>
      <w:r>
        <w:rPr>
          <w:rFonts w:hint="default"/>
          <w:b/>
          <w:color w:val="auto"/>
          <w:sz w:val="24"/>
          <w:szCs w:val="24"/>
          <w:highlight w:val="none"/>
        </w:rPr>
        <w:t>（</w:t>
      </w:r>
      <w:r>
        <w:rPr>
          <w:rFonts w:hint="default"/>
          <w:b/>
          <w:color w:val="auto"/>
          <w:sz w:val="24"/>
          <w:szCs w:val="24"/>
          <w:highlight w:val="none"/>
          <w:lang w:eastAsia="zh-CN"/>
        </w:rPr>
        <w:t>四</w:t>
      </w:r>
      <w:r>
        <w:rPr>
          <w:rFonts w:hint="default"/>
          <w:b/>
          <w:color w:val="auto"/>
          <w:sz w:val="24"/>
          <w:szCs w:val="24"/>
          <w:highlight w:val="none"/>
        </w:rPr>
        <w:t>）主要人员简历表</w:t>
      </w:r>
      <w:bookmarkEnd w:id="56"/>
    </w:p>
    <w:p w14:paraId="115C551C">
      <w:pPr>
        <w:pStyle w:val="11"/>
        <w:kinsoku w:val="0"/>
        <w:overflowPunct w:val="0"/>
        <w:ind w:left="0"/>
        <w:rPr>
          <w:rFonts w:hint="default"/>
          <w:b/>
          <w:color w:val="auto"/>
          <w:sz w:val="24"/>
          <w:szCs w:val="24"/>
          <w:highlight w:val="none"/>
        </w:rPr>
      </w:pPr>
    </w:p>
    <w:p w14:paraId="1587BCD3">
      <w:pPr>
        <w:pStyle w:val="11"/>
        <w:kinsoku w:val="0"/>
        <w:overflowPunct w:val="0"/>
        <w:spacing w:before="5"/>
        <w:ind w:left="0"/>
        <w:rPr>
          <w:rFonts w:hint="default"/>
          <w:color w:val="auto"/>
          <w:sz w:val="16"/>
          <w:szCs w:val="24"/>
          <w:highlight w:val="none"/>
        </w:rPr>
      </w:pPr>
    </w:p>
    <w:tbl>
      <w:tblPr>
        <w:tblStyle w:val="21"/>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5"/>
        <w:gridCol w:w="358"/>
        <w:gridCol w:w="692"/>
        <w:gridCol w:w="957"/>
        <w:gridCol w:w="1066"/>
        <w:gridCol w:w="705"/>
        <w:gridCol w:w="1261"/>
        <w:gridCol w:w="401"/>
        <w:gridCol w:w="1896"/>
      </w:tblGrid>
      <w:tr w14:paraId="7F45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26654FDB">
            <w:pPr>
              <w:pStyle w:val="28"/>
              <w:tabs>
                <w:tab w:val="left" w:pos="695"/>
              </w:tabs>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姓名</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28E0384B">
            <w:pPr>
              <w:rPr>
                <w:rFonts w:hint="default"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vAlign w:val="center"/>
          </w:tcPr>
          <w:p w14:paraId="46884252">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年龄</w:t>
            </w:r>
          </w:p>
        </w:tc>
        <w:tc>
          <w:tcPr>
            <w:tcW w:w="1066" w:type="dxa"/>
            <w:tcBorders>
              <w:top w:val="single" w:color="000000" w:sz="4" w:space="0"/>
              <w:left w:val="single" w:color="000000" w:sz="4" w:space="0"/>
              <w:bottom w:val="single" w:color="000000" w:sz="4" w:space="0"/>
              <w:right w:val="single" w:color="000000" w:sz="4" w:space="0"/>
              <w:tl2br w:val="nil"/>
              <w:tr2bl w:val="nil"/>
            </w:tcBorders>
            <w:vAlign w:val="top"/>
          </w:tcPr>
          <w:p w14:paraId="749C1916">
            <w:pPr>
              <w:rPr>
                <w:rFonts w:hint="default"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5014FB93">
            <w:pPr>
              <w:pStyle w:val="28"/>
              <w:kinsoku w:val="0"/>
              <w:overflowPunct w:val="0"/>
              <w:spacing w:before="3" w:line="440" w:lineRule="exact"/>
              <w:ind w:right="122"/>
              <w:jc w:val="center"/>
              <w:rPr>
                <w:rFonts w:hint="default" w:ascii="宋体" w:hAnsi="宋体" w:eastAsia="宋体" w:cs="宋体"/>
                <w:color w:val="auto"/>
                <w:sz w:val="21"/>
                <w:szCs w:val="21"/>
                <w:highlight w:val="none"/>
              </w:rPr>
            </w:pPr>
            <w:r>
              <w:rPr>
                <w:rFonts w:hint="default" w:ascii="宋体" w:hAnsi="宋体" w:eastAsia="宋体" w:cs="宋体"/>
                <w:color w:val="auto"/>
                <w:spacing w:val="-2"/>
                <w:sz w:val="21"/>
                <w:szCs w:val="21"/>
                <w:highlight w:val="none"/>
              </w:rPr>
              <w:t>执业资格证书（或上岗</w:t>
            </w:r>
            <w:r>
              <w:rPr>
                <w:rFonts w:hint="default" w:ascii="宋体" w:hAnsi="宋体" w:eastAsia="宋体" w:cs="宋体"/>
                <w:color w:val="auto"/>
                <w:spacing w:val="-85"/>
                <w:sz w:val="21"/>
                <w:szCs w:val="21"/>
                <w:highlight w:val="none"/>
              </w:rPr>
              <w:t xml:space="preserve"> </w:t>
            </w:r>
            <w:r>
              <w:rPr>
                <w:rFonts w:hint="default" w:ascii="宋体" w:hAnsi="宋体" w:eastAsia="宋体" w:cs="宋体"/>
                <w:color w:val="auto"/>
                <w:sz w:val="21"/>
                <w:szCs w:val="21"/>
                <w:highlight w:val="none"/>
              </w:rPr>
              <w:t>证书）名称</w:t>
            </w:r>
          </w:p>
        </w:tc>
        <w:tc>
          <w:tcPr>
            <w:tcW w:w="1896" w:type="dxa"/>
            <w:tcBorders>
              <w:top w:val="single" w:color="000000" w:sz="4" w:space="0"/>
              <w:left w:val="single" w:color="000000" w:sz="4" w:space="0"/>
              <w:bottom w:val="single" w:color="000000" w:sz="4" w:space="0"/>
              <w:right w:val="single" w:color="000000" w:sz="4" w:space="0"/>
              <w:tl2br w:val="nil"/>
              <w:tr2bl w:val="nil"/>
            </w:tcBorders>
            <w:vAlign w:val="top"/>
          </w:tcPr>
          <w:p w14:paraId="76A15302">
            <w:pPr>
              <w:rPr>
                <w:rFonts w:hint="default" w:ascii="宋体" w:hAnsi="宋体" w:eastAsia="宋体" w:cs="宋体"/>
                <w:color w:val="auto"/>
                <w:sz w:val="21"/>
                <w:szCs w:val="21"/>
                <w:highlight w:val="none"/>
              </w:rPr>
            </w:pPr>
          </w:p>
        </w:tc>
      </w:tr>
      <w:tr w14:paraId="41CFF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3C7C3C4C">
            <w:pPr>
              <w:pStyle w:val="28"/>
              <w:tabs>
                <w:tab w:val="left" w:pos="695"/>
              </w:tabs>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职称</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vAlign w:val="top"/>
          </w:tcPr>
          <w:p w14:paraId="3791AE8E">
            <w:pPr>
              <w:rPr>
                <w:rFonts w:hint="default"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vAlign w:val="center"/>
          </w:tcPr>
          <w:p w14:paraId="07889F1C">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学历</w:t>
            </w:r>
          </w:p>
        </w:tc>
        <w:tc>
          <w:tcPr>
            <w:tcW w:w="1066" w:type="dxa"/>
            <w:tcBorders>
              <w:top w:val="single" w:color="000000" w:sz="4" w:space="0"/>
              <w:left w:val="single" w:color="000000" w:sz="4" w:space="0"/>
              <w:bottom w:val="single" w:color="000000" w:sz="4" w:space="0"/>
              <w:right w:val="single" w:color="000000" w:sz="4" w:space="0"/>
              <w:tl2br w:val="nil"/>
              <w:tr2bl w:val="nil"/>
            </w:tcBorders>
            <w:vAlign w:val="top"/>
          </w:tcPr>
          <w:p w14:paraId="75BEB578">
            <w:pPr>
              <w:rPr>
                <w:rFonts w:hint="default"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0CCCEF20">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拟在本项目任职</w:t>
            </w:r>
          </w:p>
        </w:tc>
        <w:tc>
          <w:tcPr>
            <w:tcW w:w="1896" w:type="dxa"/>
            <w:tcBorders>
              <w:top w:val="single" w:color="000000" w:sz="4" w:space="0"/>
              <w:left w:val="single" w:color="000000" w:sz="4" w:space="0"/>
              <w:bottom w:val="single" w:color="000000" w:sz="4" w:space="0"/>
              <w:right w:val="single" w:color="000000" w:sz="4" w:space="0"/>
              <w:tl2br w:val="nil"/>
              <w:tr2bl w:val="nil"/>
            </w:tcBorders>
            <w:vAlign w:val="top"/>
          </w:tcPr>
          <w:p w14:paraId="7A1D8FD2">
            <w:pPr>
              <w:rPr>
                <w:rFonts w:hint="default" w:ascii="宋体" w:hAnsi="宋体" w:eastAsia="宋体" w:cs="宋体"/>
                <w:color w:val="auto"/>
                <w:sz w:val="21"/>
                <w:szCs w:val="21"/>
                <w:highlight w:val="none"/>
              </w:rPr>
            </w:pPr>
          </w:p>
        </w:tc>
      </w:tr>
      <w:tr w14:paraId="5AE6D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0F26539C">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工作年限</w:t>
            </w:r>
          </w:p>
        </w:tc>
        <w:tc>
          <w:tcPr>
            <w:tcW w:w="3073" w:type="dxa"/>
            <w:gridSpan w:val="4"/>
            <w:tcBorders>
              <w:top w:val="single" w:color="000000" w:sz="4" w:space="0"/>
              <w:left w:val="single" w:color="000000" w:sz="4" w:space="0"/>
              <w:bottom w:val="single" w:color="000000" w:sz="4" w:space="0"/>
              <w:right w:val="single" w:color="000000" w:sz="4" w:space="0"/>
              <w:tl2br w:val="nil"/>
              <w:tr2bl w:val="nil"/>
            </w:tcBorders>
            <w:vAlign w:val="top"/>
          </w:tcPr>
          <w:p w14:paraId="3563E94B">
            <w:pPr>
              <w:rPr>
                <w:rFonts w:hint="default"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148B242D">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从事监理工作年限</w:t>
            </w:r>
          </w:p>
        </w:tc>
        <w:tc>
          <w:tcPr>
            <w:tcW w:w="1896" w:type="dxa"/>
            <w:tcBorders>
              <w:top w:val="single" w:color="000000" w:sz="4" w:space="0"/>
              <w:left w:val="single" w:color="000000" w:sz="4" w:space="0"/>
              <w:bottom w:val="single" w:color="000000" w:sz="4" w:space="0"/>
              <w:right w:val="single" w:color="000000" w:sz="4" w:space="0"/>
              <w:tl2br w:val="nil"/>
              <w:tr2bl w:val="nil"/>
            </w:tcBorders>
            <w:vAlign w:val="top"/>
          </w:tcPr>
          <w:p w14:paraId="75464B12">
            <w:pPr>
              <w:rPr>
                <w:rFonts w:hint="default" w:ascii="宋体" w:hAnsi="宋体" w:eastAsia="宋体" w:cs="宋体"/>
                <w:color w:val="auto"/>
                <w:sz w:val="21"/>
                <w:szCs w:val="21"/>
                <w:highlight w:val="none"/>
              </w:rPr>
            </w:pPr>
          </w:p>
        </w:tc>
      </w:tr>
      <w:tr w14:paraId="2A42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l2br w:val="nil"/>
              <w:tr2bl w:val="nil"/>
            </w:tcBorders>
            <w:vAlign w:val="center"/>
          </w:tcPr>
          <w:p w14:paraId="78873BA0">
            <w:pPr>
              <w:pStyle w:val="28"/>
              <w:kinsoku w:val="0"/>
              <w:overflowPunct w:val="0"/>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主要工作经历</w:t>
            </w:r>
          </w:p>
        </w:tc>
      </w:tr>
      <w:tr w14:paraId="6AB8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CC5D799">
            <w:pPr>
              <w:pStyle w:val="28"/>
              <w:tabs>
                <w:tab w:val="left" w:pos="873"/>
              </w:tabs>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时</w:t>
            </w:r>
            <w:r>
              <w:rPr>
                <w:rFonts w:hint="default" w:ascii="宋体" w:hAnsi="宋体" w:eastAsia="宋体" w:cs="宋体"/>
                <w:color w:val="auto"/>
                <w:sz w:val="21"/>
                <w:szCs w:val="21"/>
                <w:highlight w:val="none"/>
              </w:rPr>
              <w:tab/>
            </w:r>
            <w:r>
              <w:rPr>
                <w:rFonts w:hint="default" w:ascii="宋体" w:hAnsi="宋体" w:eastAsia="宋体" w:cs="宋体"/>
                <w:color w:val="auto"/>
                <w:sz w:val="21"/>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1F00E962">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参加过的类似项目</w:t>
            </w: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07B5F82B">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708A09C">
            <w:pPr>
              <w:pStyle w:val="28"/>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委托人及联系电话</w:t>
            </w:r>
          </w:p>
        </w:tc>
      </w:tr>
      <w:tr w14:paraId="7E00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FB149E4">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03880884">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6F04694A">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09E9272">
            <w:pPr>
              <w:jc w:val="center"/>
              <w:rPr>
                <w:rFonts w:hint="default" w:ascii="宋体" w:hAnsi="宋体" w:eastAsia="宋体" w:cs="宋体"/>
                <w:color w:val="auto"/>
                <w:sz w:val="21"/>
                <w:szCs w:val="21"/>
                <w:highlight w:val="none"/>
              </w:rPr>
            </w:pPr>
          </w:p>
        </w:tc>
      </w:tr>
      <w:tr w14:paraId="2C829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F701CB9">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6A5CFEC5">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4F758935">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148F4D1">
            <w:pPr>
              <w:jc w:val="center"/>
              <w:rPr>
                <w:rFonts w:hint="default" w:ascii="宋体" w:hAnsi="宋体" w:eastAsia="宋体" w:cs="宋体"/>
                <w:color w:val="auto"/>
                <w:sz w:val="21"/>
                <w:szCs w:val="21"/>
                <w:highlight w:val="none"/>
              </w:rPr>
            </w:pPr>
          </w:p>
        </w:tc>
      </w:tr>
      <w:tr w14:paraId="4B885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23BFF10">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78A30F05">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5012B79E">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DD7B6BA">
            <w:pPr>
              <w:jc w:val="center"/>
              <w:rPr>
                <w:rFonts w:hint="default" w:ascii="宋体" w:hAnsi="宋体" w:eastAsia="宋体" w:cs="宋体"/>
                <w:color w:val="auto"/>
                <w:sz w:val="21"/>
                <w:szCs w:val="21"/>
                <w:highlight w:val="none"/>
              </w:rPr>
            </w:pPr>
          </w:p>
        </w:tc>
      </w:tr>
      <w:tr w14:paraId="0771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BECA35B">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52C88C3E">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73DC6ABB">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85724AE">
            <w:pPr>
              <w:jc w:val="center"/>
              <w:rPr>
                <w:rFonts w:hint="default" w:ascii="宋体" w:hAnsi="宋体" w:eastAsia="宋体" w:cs="宋体"/>
                <w:color w:val="auto"/>
                <w:sz w:val="21"/>
                <w:szCs w:val="21"/>
                <w:highlight w:val="none"/>
              </w:rPr>
            </w:pPr>
          </w:p>
        </w:tc>
      </w:tr>
      <w:tr w14:paraId="26F9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706A3ED">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420445DD">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667F9B1B">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A91E92D">
            <w:pPr>
              <w:jc w:val="center"/>
              <w:rPr>
                <w:rFonts w:hint="default" w:ascii="宋体" w:hAnsi="宋体" w:eastAsia="宋体" w:cs="宋体"/>
                <w:color w:val="auto"/>
                <w:sz w:val="21"/>
                <w:szCs w:val="21"/>
                <w:highlight w:val="none"/>
              </w:rPr>
            </w:pPr>
          </w:p>
        </w:tc>
      </w:tr>
      <w:tr w14:paraId="7AAFA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47D8A71">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236423E8">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3DCD6443">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C12B738">
            <w:pPr>
              <w:jc w:val="center"/>
              <w:rPr>
                <w:rFonts w:hint="default" w:ascii="宋体" w:hAnsi="宋体" w:eastAsia="宋体" w:cs="宋体"/>
                <w:color w:val="auto"/>
                <w:sz w:val="21"/>
                <w:szCs w:val="21"/>
                <w:highlight w:val="none"/>
              </w:rPr>
            </w:pPr>
          </w:p>
        </w:tc>
      </w:tr>
      <w:tr w14:paraId="1304C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1214E7D">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6A78B7FD">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1543062E">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92CA71D">
            <w:pPr>
              <w:jc w:val="center"/>
              <w:rPr>
                <w:rFonts w:hint="default" w:ascii="宋体" w:hAnsi="宋体" w:eastAsia="宋体" w:cs="宋体"/>
                <w:color w:val="auto"/>
                <w:sz w:val="21"/>
                <w:szCs w:val="21"/>
                <w:highlight w:val="none"/>
              </w:rPr>
            </w:pPr>
          </w:p>
        </w:tc>
      </w:tr>
    </w:tbl>
    <w:p w14:paraId="4E38650A">
      <w:pPr>
        <w:pStyle w:val="11"/>
        <w:kinsoku w:val="0"/>
        <w:overflowPunct w:val="0"/>
        <w:spacing w:before="6"/>
        <w:ind w:left="0"/>
        <w:rPr>
          <w:rFonts w:hint="default" w:cs="宋体"/>
          <w:color w:val="auto"/>
          <w:sz w:val="24"/>
          <w:szCs w:val="24"/>
          <w:highlight w:val="none"/>
        </w:rPr>
      </w:pPr>
    </w:p>
    <w:p w14:paraId="611832E6">
      <w:pPr>
        <w:pStyle w:val="11"/>
        <w:kinsoku w:val="0"/>
        <w:overflowPunct w:val="0"/>
        <w:spacing w:before="36"/>
        <w:ind w:left="100"/>
        <w:rPr>
          <w:rFonts w:hint="default" w:cs="宋体"/>
          <w:color w:val="auto"/>
          <w:sz w:val="24"/>
          <w:szCs w:val="24"/>
          <w:highlight w:val="none"/>
        </w:rPr>
      </w:pPr>
    </w:p>
    <w:p w14:paraId="5786E554">
      <w:pPr>
        <w:pStyle w:val="11"/>
        <w:kinsoku w:val="0"/>
        <w:overflowPunct w:val="0"/>
        <w:spacing w:before="36"/>
        <w:ind w:left="100"/>
        <w:rPr>
          <w:rFonts w:hint="default"/>
          <w:color w:val="auto"/>
          <w:sz w:val="24"/>
          <w:szCs w:val="24"/>
          <w:highlight w:val="none"/>
        </w:rPr>
        <w:sectPr>
          <w:headerReference r:id="rId17" w:type="default"/>
          <w:footerReference r:id="rId18" w:type="default"/>
          <w:pgSz w:w="11905" w:h="16838"/>
          <w:pgMar w:top="1417" w:right="1417" w:bottom="1417" w:left="1417" w:header="992" w:footer="992" w:gutter="0"/>
          <w:lnNumType w:countBy="0" w:distance="360"/>
          <w:cols w:space="720" w:num="1"/>
        </w:sectPr>
      </w:pPr>
    </w:p>
    <w:p w14:paraId="51E376FB">
      <w:pPr>
        <w:pStyle w:val="5"/>
        <w:outlineLvl w:val="2"/>
        <w:rPr>
          <w:rFonts w:hint="default" w:cs="Times New Roman"/>
          <w:b/>
          <w:color w:val="auto"/>
          <w:sz w:val="24"/>
          <w:szCs w:val="24"/>
          <w:highlight w:val="none"/>
        </w:rPr>
      </w:pPr>
      <w:bookmarkStart w:id="57" w:name="_Toc6052"/>
      <w:r>
        <w:rPr>
          <w:rFonts w:hint="default" w:cs="Times New Roman"/>
          <w:b/>
          <w:color w:val="auto"/>
          <w:sz w:val="24"/>
          <w:szCs w:val="24"/>
          <w:highlight w:val="none"/>
        </w:rPr>
        <w:t>（</w:t>
      </w:r>
      <w:r>
        <w:rPr>
          <w:rFonts w:hint="default" w:cs="Times New Roman"/>
          <w:b/>
          <w:color w:val="auto"/>
          <w:sz w:val="24"/>
          <w:szCs w:val="24"/>
          <w:highlight w:val="none"/>
          <w:lang w:eastAsia="zh-CN"/>
        </w:rPr>
        <w:t>五</w:t>
      </w:r>
      <w:r>
        <w:rPr>
          <w:rFonts w:hint="default" w:cs="Times New Roman"/>
          <w:b/>
          <w:color w:val="auto"/>
          <w:sz w:val="24"/>
          <w:szCs w:val="24"/>
          <w:highlight w:val="none"/>
        </w:rPr>
        <w:t>）拟投入本项目的主要试验检测仪器设备表</w:t>
      </w:r>
      <w:bookmarkEnd w:id="57"/>
    </w:p>
    <w:p w14:paraId="7D91D81F">
      <w:pPr>
        <w:pStyle w:val="11"/>
        <w:kinsoku w:val="0"/>
        <w:overflowPunct w:val="0"/>
        <w:ind w:left="0"/>
        <w:rPr>
          <w:rFonts w:hint="default"/>
          <w:color w:val="auto"/>
          <w:sz w:val="20"/>
          <w:szCs w:val="24"/>
          <w:highlight w:val="none"/>
        </w:rPr>
      </w:pPr>
    </w:p>
    <w:p w14:paraId="7E018B69">
      <w:pPr>
        <w:pStyle w:val="11"/>
        <w:kinsoku w:val="0"/>
        <w:overflowPunct w:val="0"/>
        <w:spacing w:before="11"/>
        <w:ind w:left="0"/>
        <w:rPr>
          <w:rFonts w:hint="default"/>
          <w:color w:val="auto"/>
          <w:sz w:val="22"/>
          <w:szCs w:val="24"/>
          <w:highlight w:val="none"/>
        </w:rPr>
      </w:pPr>
    </w:p>
    <w:tbl>
      <w:tblPr>
        <w:tblStyle w:val="21"/>
        <w:tblW w:w="8594"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635"/>
        <w:gridCol w:w="1170"/>
        <w:gridCol w:w="747"/>
        <w:gridCol w:w="993"/>
        <w:gridCol w:w="994"/>
        <w:gridCol w:w="1529"/>
        <w:gridCol w:w="990"/>
      </w:tblGrid>
      <w:tr w14:paraId="61049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center"/>
          </w:tcPr>
          <w:p w14:paraId="26D0C4F4">
            <w:pPr>
              <w:pStyle w:val="28"/>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序号</w:t>
            </w:r>
          </w:p>
        </w:tc>
        <w:tc>
          <w:tcPr>
            <w:tcW w:w="1635" w:type="dxa"/>
            <w:tcBorders>
              <w:top w:val="single" w:color="000000" w:sz="4" w:space="0"/>
              <w:left w:val="single" w:color="000000" w:sz="4" w:space="0"/>
              <w:bottom w:val="single" w:color="000000" w:sz="4" w:space="0"/>
              <w:right w:val="single" w:color="000000" w:sz="4" w:space="0"/>
              <w:tl2br w:val="nil"/>
              <w:tr2bl w:val="nil"/>
            </w:tcBorders>
            <w:vAlign w:val="center"/>
          </w:tcPr>
          <w:p w14:paraId="256E335F">
            <w:pPr>
              <w:pStyle w:val="28"/>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仪器</w:t>
            </w:r>
            <w:r>
              <w:rPr>
                <w:rFonts w:hint="default" w:ascii="宋体" w:hAnsi="宋体" w:eastAsia="宋体"/>
                <w:color w:val="auto"/>
                <w:sz w:val="21"/>
                <w:szCs w:val="24"/>
                <w:highlight w:val="none"/>
                <w:lang w:eastAsia="zh-CN"/>
              </w:rPr>
              <w:t>设</w:t>
            </w:r>
            <w:r>
              <w:rPr>
                <w:rFonts w:hint="default" w:ascii="宋体" w:hAnsi="宋体" w:eastAsia="宋体"/>
                <w:color w:val="auto"/>
                <w:sz w:val="21"/>
                <w:szCs w:val="24"/>
                <w:highlight w:val="none"/>
              </w:rPr>
              <w:t>备名称</w:t>
            </w:r>
          </w:p>
        </w:tc>
        <w:tc>
          <w:tcPr>
            <w:tcW w:w="1170" w:type="dxa"/>
            <w:tcBorders>
              <w:top w:val="single" w:color="000000" w:sz="4" w:space="0"/>
              <w:left w:val="single" w:color="000000" w:sz="4" w:space="0"/>
              <w:bottom w:val="single" w:color="000000" w:sz="4" w:space="0"/>
              <w:right w:val="single" w:color="000000" w:sz="4" w:space="0"/>
              <w:tl2br w:val="nil"/>
              <w:tr2bl w:val="nil"/>
            </w:tcBorders>
            <w:vAlign w:val="center"/>
          </w:tcPr>
          <w:p w14:paraId="504DE118">
            <w:pPr>
              <w:pStyle w:val="28"/>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型号</w:t>
            </w:r>
            <w:r>
              <w:rPr>
                <w:rFonts w:hint="default" w:ascii="宋体" w:hAnsi="宋体" w:eastAsia="宋体"/>
                <w:color w:val="auto"/>
                <w:spacing w:val="-103"/>
                <w:sz w:val="21"/>
                <w:szCs w:val="24"/>
                <w:highlight w:val="none"/>
              </w:rPr>
              <w:t xml:space="preserve"> </w:t>
            </w:r>
            <w:r>
              <w:rPr>
                <w:rFonts w:hint="default" w:ascii="宋体" w:hAnsi="宋体" w:eastAsia="宋体"/>
                <w:color w:val="auto"/>
                <w:sz w:val="21"/>
                <w:szCs w:val="24"/>
                <w:highlight w:val="none"/>
              </w:rPr>
              <w:t>规格</w:t>
            </w:r>
          </w:p>
        </w:tc>
        <w:tc>
          <w:tcPr>
            <w:tcW w:w="747" w:type="dxa"/>
            <w:tcBorders>
              <w:top w:val="single" w:color="000000" w:sz="4" w:space="0"/>
              <w:left w:val="single" w:color="000000" w:sz="4" w:space="0"/>
              <w:bottom w:val="single" w:color="000000" w:sz="4" w:space="0"/>
              <w:right w:val="single" w:color="000000" w:sz="4" w:space="0"/>
              <w:tl2br w:val="nil"/>
              <w:tr2bl w:val="nil"/>
            </w:tcBorders>
            <w:vAlign w:val="center"/>
          </w:tcPr>
          <w:p w14:paraId="593D0E2B">
            <w:pPr>
              <w:pStyle w:val="28"/>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数量</w:t>
            </w:r>
          </w:p>
        </w:tc>
        <w:tc>
          <w:tcPr>
            <w:tcW w:w="993" w:type="dxa"/>
            <w:tcBorders>
              <w:top w:val="single" w:color="000000" w:sz="4" w:space="0"/>
              <w:left w:val="single" w:color="000000" w:sz="4" w:space="0"/>
              <w:bottom w:val="single" w:color="000000" w:sz="4" w:space="0"/>
              <w:right w:val="single" w:color="000000" w:sz="4" w:space="0"/>
              <w:tl2br w:val="nil"/>
              <w:tr2bl w:val="nil"/>
            </w:tcBorders>
            <w:vAlign w:val="center"/>
          </w:tcPr>
          <w:p w14:paraId="33B07198">
            <w:pPr>
              <w:pStyle w:val="28"/>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国别</w:t>
            </w:r>
            <w:r>
              <w:rPr>
                <w:rFonts w:hint="default" w:ascii="宋体" w:hAnsi="宋体" w:eastAsia="宋体"/>
                <w:color w:val="auto"/>
                <w:spacing w:val="-103"/>
                <w:sz w:val="21"/>
                <w:szCs w:val="24"/>
                <w:highlight w:val="none"/>
              </w:rPr>
              <w:t xml:space="preserve"> </w:t>
            </w:r>
            <w:r>
              <w:rPr>
                <w:rFonts w:hint="default" w:ascii="宋体" w:hAnsi="宋体" w:eastAsia="宋体"/>
                <w:color w:val="auto"/>
                <w:sz w:val="21"/>
                <w:szCs w:val="24"/>
                <w:highlight w:val="none"/>
              </w:rPr>
              <w:t>产地</w:t>
            </w:r>
          </w:p>
        </w:tc>
        <w:tc>
          <w:tcPr>
            <w:tcW w:w="994" w:type="dxa"/>
            <w:tcBorders>
              <w:top w:val="single" w:color="000000" w:sz="4" w:space="0"/>
              <w:left w:val="single" w:color="000000" w:sz="4" w:space="0"/>
              <w:bottom w:val="single" w:color="000000" w:sz="4" w:space="0"/>
              <w:right w:val="single" w:color="000000" w:sz="4" w:space="0"/>
              <w:tl2br w:val="nil"/>
              <w:tr2bl w:val="nil"/>
            </w:tcBorders>
            <w:vAlign w:val="center"/>
          </w:tcPr>
          <w:p w14:paraId="11CC56E2">
            <w:pPr>
              <w:pStyle w:val="28"/>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制造</w:t>
            </w:r>
            <w:r>
              <w:rPr>
                <w:rFonts w:hint="default" w:ascii="宋体" w:hAnsi="宋体" w:eastAsia="宋体"/>
                <w:color w:val="auto"/>
                <w:spacing w:val="-103"/>
                <w:sz w:val="21"/>
                <w:szCs w:val="24"/>
                <w:highlight w:val="none"/>
              </w:rPr>
              <w:t xml:space="preserve"> </w:t>
            </w:r>
            <w:r>
              <w:rPr>
                <w:rFonts w:hint="default" w:ascii="宋体" w:hAnsi="宋体" w:eastAsia="宋体"/>
                <w:color w:val="auto"/>
                <w:sz w:val="21"/>
                <w:szCs w:val="24"/>
                <w:highlight w:val="none"/>
              </w:rPr>
              <w:t>年份</w:t>
            </w:r>
          </w:p>
        </w:tc>
        <w:tc>
          <w:tcPr>
            <w:tcW w:w="1529" w:type="dxa"/>
            <w:tcBorders>
              <w:top w:val="single" w:color="000000" w:sz="4" w:space="0"/>
              <w:left w:val="single" w:color="000000" w:sz="4" w:space="0"/>
              <w:bottom w:val="single" w:color="000000" w:sz="4" w:space="0"/>
              <w:right w:val="single" w:color="000000" w:sz="4" w:space="0"/>
              <w:tl2br w:val="nil"/>
              <w:tr2bl w:val="nil"/>
            </w:tcBorders>
            <w:vAlign w:val="center"/>
          </w:tcPr>
          <w:p w14:paraId="7036CC40">
            <w:pPr>
              <w:pStyle w:val="28"/>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用途</w:t>
            </w:r>
          </w:p>
        </w:tc>
        <w:tc>
          <w:tcPr>
            <w:tcW w:w="990" w:type="dxa"/>
            <w:tcBorders>
              <w:top w:val="single" w:color="000000" w:sz="4" w:space="0"/>
              <w:left w:val="single" w:color="000000" w:sz="4" w:space="0"/>
              <w:bottom w:val="single" w:color="000000" w:sz="4" w:space="0"/>
              <w:right w:val="single" w:color="000000" w:sz="4" w:space="0"/>
              <w:tl2br w:val="nil"/>
              <w:tr2bl w:val="nil"/>
            </w:tcBorders>
            <w:vAlign w:val="center"/>
          </w:tcPr>
          <w:p w14:paraId="145EF58F">
            <w:pPr>
              <w:pStyle w:val="28"/>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备注</w:t>
            </w:r>
          </w:p>
        </w:tc>
      </w:tr>
      <w:tr w14:paraId="2825B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366553B3">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746843DC">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1275A3A6">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12BE1BF3">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238F1330">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0065CF40">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74F9A1F1">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734C86A5">
            <w:pPr>
              <w:rPr>
                <w:rFonts w:hint="default"/>
                <w:color w:val="auto"/>
                <w:sz w:val="24"/>
                <w:szCs w:val="24"/>
                <w:highlight w:val="none"/>
              </w:rPr>
            </w:pPr>
          </w:p>
        </w:tc>
      </w:tr>
      <w:tr w14:paraId="0E12E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1ECC57FC">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6EC92DCF">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76534513">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3D7E5CDE">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313E7982">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7C94DCBF">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56F54B59">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23E03A15">
            <w:pPr>
              <w:rPr>
                <w:rFonts w:hint="default"/>
                <w:color w:val="auto"/>
                <w:sz w:val="24"/>
                <w:szCs w:val="24"/>
                <w:highlight w:val="none"/>
              </w:rPr>
            </w:pPr>
          </w:p>
        </w:tc>
      </w:tr>
      <w:tr w14:paraId="7FD5A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40942BBD">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0CCCBC6A">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4326255A">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29710B9F">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523E2477">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082BD2F7">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7F4F41A8">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36CD570B">
            <w:pPr>
              <w:rPr>
                <w:rFonts w:hint="default"/>
                <w:color w:val="auto"/>
                <w:sz w:val="24"/>
                <w:szCs w:val="24"/>
                <w:highlight w:val="none"/>
              </w:rPr>
            </w:pPr>
          </w:p>
        </w:tc>
      </w:tr>
      <w:tr w14:paraId="0348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50BC9B1E">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0CE55C90">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2A2C4E53">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10444BB9">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42CF1FB6">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5461996E">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671BE08F">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1F66F15B">
            <w:pPr>
              <w:rPr>
                <w:rFonts w:hint="default"/>
                <w:color w:val="auto"/>
                <w:sz w:val="24"/>
                <w:szCs w:val="24"/>
                <w:highlight w:val="none"/>
              </w:rPr>
            </w:pPr>
          </w:p>
        </w:tc>
      </w:tr>
      <w:tr w14:paraId="4D117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7A272B48">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3C99A49B">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51623CCA">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01ED095C">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15EB46BF">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2C8EBC8E">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0235A2EB">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31AC8A0A">
            <w:pPr>
              <w:rPr>
                <w:rFonts w:hint="default"/>
                <w:color w:val="auto"/>
                <w:sz w:val="24"/>
                <w:szCs w:val="24"/>
                <w:highlight w:val="none"/>
              </w:rPr>
            </w:pPr>
          </w:p>
        </w:tc>
      </w:tr>
      <w:tr w14:paraId="3433B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2CE2352A">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53A8E0A1">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19B1289A">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68E950DA">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4AFBBFCC">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1FAD6112">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149B5A7F">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63AA3859">
            <w:pPr>
              <w:rPr>
                <w:rFonts w:hint="default"/>
                <w:color w:val="auto"/>
                <w:sz w:val="24"/>
                <w:szCs w:val="24"/>
                <w:highlight w:val="none"/>
              </w:rPr>
            </w:pPr>
          </w:p>
        </w:tc>
      </w:tr>
      <w:tr w14:paraId="39357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6F4CA165">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66455F89">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69741453">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75709705">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29C13DB7">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1C9C607E">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0AD4D5A6">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5CD870CA">
            <w:pPr>
              <w:rPr>
                <w:rFonts w:hint="default"/>
                <w:color w:val="auto"/>
                <w:sz w:val="24"/>
                <w:szCs w:val="24"/>
                <w:highlight w:val="none"/>
              </w:rPr>
            </w:pPr>
          </w:p>
        </w:tc>
      </w:tr>
      <w:tr w14:paraId="11014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5801F7FE">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19E78C9D">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296F7C1E">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1F3C829C">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595B7A26">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7708386C">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6E68E4FB">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69031565">
            <w:pPr>
              <w:rPr>
                <w:rFonts w:hint="default"/>
                <w:color w:val="auto"/>
                <w:sz w:val="24"/>
                <w:szCs w:val="24"/>
                <w:highlight w:val="none"/>
              </w:rPr>
            </w:pPr>
          </w:p>
        </w:tc>
      </w:tr>
      <w:tr w14:paraId="5C201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06385549">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422BC0F7">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3E46E983">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006D69AD">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61BD92BA">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510FFAB8">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2D788EC7">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50FDB686">
            <w:pPr>
              <w:rPr>
                <w:rFonts w:hint="default"/>
                <w:color w:val="auto"/>
                <w:sz w:val="24"/>
                <w:szCs w:val="24"/>
                <w:highlight w:val="none"/>
              </w:rPr>
            </w:pPr>
          </w:p>
        </w:tc>
      </w:tr>
      <w:tr w14:paraId="23EF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44C473B7">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1C4FAE94">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56519091">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51F5B692">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72188E3E">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2ADD926B">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30FC30D8">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5038835A">
            <w:pPr>
              <w:rPr>
                <w:rFonts w:hint="default"/>
                <w:color w:val="auto"/>
                <w:sz w:val="24"/>
                <w:szCs w:val="24"/>
                <w:highlight w:val="none"/>
              </w:rPr>
            </w:pPr>
          </w:p>
        </w:tc>
      </w:tr>
      <w:tr w14:paraId="542E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26576D97">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04A85972">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00E7DB61">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118EF7C8">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3C1E8307">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288FD5CE">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1F49923F">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173BC83D">
            <w:pPr>
              <w:rPr>
                <w:rFonts w:hint="default"/>
                <w:color w:val="auto"/>
                <w:sz w:val="24"/>
                <w:szCs w:val="24"/>
                <w:highlight w:val="none"/>
              </w:rPr>
            </w:pPr>
          </w:p>
        </w:tc>
      </w:tr>
      <w:tr w14:paraId="197F1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2B8F1538">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31A84CA3">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762D8FD0">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0C80875C">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37CFC73B">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29C09243">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22C85937">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31D0DD0D">
            <w:pPr>
              <w:rPr>
                <w:rFonts w:hint="default"/>
                <w:color w:val="auto"/>
                <w:sz w:val="24"/>
                <w:szCs w:val="24"/>
                <w:highlight w:val="none"/>
              </w:rPr>
            </w:pPr>
          </w:p>
        </w:tc>
      </w:tr>
      <w:tr w14:paraId="75E8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30F900C1">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33F7B7F2">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4BFD3196">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4E47DD37">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53EF47FE">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230E54F2">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01096C93">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4D83CB50">
            <w:pPr>
              <w:rPr>
                <w:rFonts w:hint="default"/>
                <w:color w:val="auto"/>
                <w:sz w:val="24"/>
                <w:szCs w:val="24"/>
                <w:highlight w:val="none"/>
              </w:rPr>
            </w:pPr>
          </w:p>
        </w:tc>
      </w:tr>
      <w:tr w14:paraId="6EB0A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1035F116">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447B323A">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65245BC7">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1FDBEFE2">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76B2DCEB">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37290CD3">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47E2913C">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094E4EBB">
            <w:pPr>
              <w:rPr>
                <w:rFonts w:hint="default"/>
                <w:color w:val="auto"/>
                <w:sz w:val="24"/>
                <w:szCs w:val="24"/>
                <w:highlight w:val="none"/>
              </w:rPr>
            </w:pPr>
          </w:p>
        </w:tc>
      </w:tr>
      <w:tr w14:paraId="20307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1C63217F">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2FB91630">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681DEC43">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7A1C77F4">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58054454">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1910F159">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1A2D63A3">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044F47EF">
            <w:pPr>
              <w:rPr>
                <w:rFonts w:hint="default"/>
                <w:color w:val="auto"/>
                <w:sz w:val="24"/>
                <w:szCs w:val="24"/>
                <w:highlight w:val="none"/>
              </w:rPr>
            </w:pPr>
          </w:p>
        </w:tc>
      </w:tr>
      <w:tr w14:paraId="70A55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16B07240">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180500E8">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0B9C3B2F">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3D5F8070">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5B58E03E">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2C4FA3F2">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7DD7BC54">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5EECE2E0">
            <w:pPr>
              <w:rPr>
                <w:rFonts w:hint="default"/>
                <w:color w:val="auto"/>
                <w:sz w:val="24"/>
                <w:szCs w:val="24"/>
                <w:highlight w:val="none"/>
              </w:rPr>
            </w:pPr>
          </w:p>
        </w:tc>
      </w:tr>
      <w:tr w14:paraId="6322B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1E845429">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24B355D5">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45438412">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2FCD21F1">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788DF0C2">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3E727DBC">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05BC3EC8">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1EDB1AEC">
            <w:pPr>
              <w:rPr>
                <w:rFonts w:hint="default"/>
                <w:color w:val="auto"/>
                <w:sz w:val="24"/>
                <w:szCs w:val="24"/>
                <w:highlight w:val="none"/>
              </w:rPr>
            </w:pPr>
          </w:p>
        </w:tc>
      </w:tr>
      <w:tr w14:paraId="63AA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0B63A700">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2797D73E">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37C22A84">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53AEC6B6">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77670652">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7D30F465">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0EC640AF">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0C60A7D6">
            <w:pPr>
              <w:rPr>
                <w:rFonts w:hint="default"/>
                <w:color w:val="auto"/>
                <w:sz w:val="24"/>
                <w:szCs w:val="24"/>
                <w:highlight w:val="none"/>
              </w:rPr>
            </w:pPr>
          </w:p>
        </w:tc>
      </w:tr>
      <w:tr w14:paraId="5BED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536" w:type="dxa"/>
            <w:tcBorders>
              <w:top w:val="single" w:color="000000" w:sz="4" w:space="0"/>
              <w:left w:val="single" w:color="000000" w:sz="4" w:space="0"/>
              <w:bottom w:val="single" w:color="000000" w:sz="4" w:space="0"/>
              <w:right w:val="single" w:color="000000" w:sz="4" w:space="0"/>
              <w:tl2br w:val="nil"/>
              <w:tr2bl w:val="nil"/>
            </w:tcBorders>
            <w:vAlign w:val="top"/>
          </w:tcPr>
          <w:p w14:paraId="354DBB23">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vAlign w:val="top"/>
          </w:tcPr>
          <w:p w14:paraId="6216227B">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vAlign w:val="top"/>
          </w:tcPr>
          <w:p w14:paraId="6CD55AA0">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vAlign w:val="top"/>
          </w:tcPr>
          <w:p w14:paraId="4544E9AA">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top"/>
          </w:tcPr>
          <w:p w14:paraId="2B3DA97E">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vAlign w:val="top"/>
          </w:tcPr>
          <w:p w14:paraId="5429DE4F">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vAlign w:val="top"/>
          </w:tcPr>
          <w:p w14:paraId="073C1BB1">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vAlign w:val="top"/>
          </w:tcPr>
          <w:p w14:paraId="7AA7277B">
            <w:pPr>
              <w:rPr>
                <w:rFonts w:hint="default"/>
                <w:color w:val="auto"/>
                <w:sz w:val="24"/>
                <w:szCs w:val="24"/>
                <w:highlight w:val="none"/>
              </w:rPr>
            </w:pPr>
          </w:p>
        </w:tc>
      </w:tr>
    </w:tbl>
    <w:p w14:paraId="0A465307">
      <w:pPr>
        <w:rPr>
          <w:rFonts w:hint="default"/>
          <w:color w:val="auto"/>
          <w:sz w:val="24"/>
          <w:szCs w:val="24"/>
          <w:highlight w:val="none"/>
        </w:rPr>
        <w:sectPr>
          <w:headerReference r:id="rId19" w:type="default"/>
          <w:footerReference r:id="rId20" w:type="default"/>
          <w:pgSz w:w="11905" w:h="16838"/>
          <w:pgMar w:top="1417" w:right="1417" w:bottom="1417" w:left="1417" w:header="992" w:footer="992" w:gutter="0"/>
          <w:lnNumType w:countBy="0" w:distance="360"/>
          <w:cols w:space="720" w:num="1"/>
        </w:sectPr>
      </w:pPr>
    </w:p>
    <w:p w14:paraId="0943E8E5">
      <w:pPr>
        <w:pStyle w:val="5"/>
        <w:outlineLvl w:val="2"/>
        <w:rPr>
          <w:rFonts w:hint="default" w:cs="Times New Roman"/>
          <w:b/>
          <w:color w:val="auto"/>
          <w:sz w:val="24"/>
          <w:szCs w:val="24"/>
          <w:highlight w:val="none"/>
        </w:rPr>
      </w:pPr>
      <w:r>
        <w:rPr>
          <w:rFonts w:hint="default" w:cs="Times New Roman"/>
          <w:b/>
          <w:color w:val="auto"/>
          <w:sz w:val="24"/>
          <w:szCs w:val="24"/>
          <w:highlight w:val="none"/>
          <w:lang w:val="en-US" w:eastAsia="zh-CN"/>
        </w:rPr>
        <w:t>（六）投标人声明格式</w:t>
      </w:r>
    </w:p>
    <w:p w14:paraId="65B78566">
      <w:pPr>
        <w:jc w:val="center"/>
        <w:rPr>
          <w:rFonts w:hint="default"/>
          <w:b/>
          <w:bCs/>
          <w:color w:val="auto"/>
          <w:sz w:val="32"/>
          <w:szCs w:val="32"/>
          <w:highlight w:val="none"/>
        </w:rPr>
      </w:pPr>
      <w:bookmarkStart w:id="58" w:name="_Toc7353"/>
      <w:r>
        <w:rPr>
          <w:rFonts w:hint="default"/>
          <w:b/>
          <w:bCs/>
          <w:color w:val="auto"/>
          <w:sz w:val="32"/>
          <w:szCs w:val="32"/>
          <w:highlight w:val="none"/>
          <w:lang w:val="en-US" w:eastAsia="zh-CN"/>
        </w:rPr>
        <w:t>投标人声明</w:t>
      </w:r>
      <w:bookmarkEnd w:id="58"/>
      <w:r>
        <w:rPr>
          <w:rFonts w:hint="default"/>
          <w:b/>
          <w:bCs/>
          <w:color w:val="auto"/>
          <w:sz w:val="32"/>
          <w:szCs w:val="32"/>
          <w:highlight w:val="none"/>
          <w:lang w:val="en-US" w:eastAsia="zh-CN"/>
        </w:rPr>
        <w:t>（参考格式）</w:t>
      </w:r>
    </w:p>
    <w:p w14:paraId="7248FF24">
      <w:pPr>
        <w:snapToGrid w:val="0"/>
        <w:spacing w:line="360" w:lineRule="auto"/>
        <w:rPr>
          <w:rFonts w:hint="default" w:ascii="宋体" w:hAnsi="宋体" w:eastAsia="宋体" w:cs="宋体"/>
          <w:color w:val="auto"/>
          <w:sz w:val="21"/>
          <w:szCs w:val="21"/>
          <w:highlight w:val="none"/>
        </w:rPr>
      </w:pPr>
    </w:p>
    <w:p w14:paraId="14DAE621">
      <w:pPr>
        <w:snapToGrid w:val="0"/>
        <w:spacing w:line="360" w:lineRule="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本招标项目招标人及招标监管机构：</w:t>
      </w:r>
    </w:p>
    <w:p w14:paraId="38405269">
      <w:pPr>
        <w:snapToGrid w:val="0"/>
        <w:spacing w:line="360" w:lineRule="auto"/>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本公司就参加</w:t>
      </w:r>
      <w:r>
        <w:rPr>
          <w:rFonts w:hint="default" w:ascii="宋体" w:hAnsi="宋体" w:eastAsia="宋体" w:cs="宋体"/>
          <w:color w:val="auto"/>
          <w:sz w:val="24"/>
          <w:szCs w:val="24"/>
          <w:highlight w:val="none"/>
          <w:u w:val="single"/>
        </w:rPr>
        <w:t>    </w:t>
      </w:r>
      <w:r>
        <w:rPr>
          <w:rFonts w:hint="default" w:ascii="宋体" w:hAnsi="宋体" w:eastAsia="宋体" w:cs="宋体"/>
          <w:color w:val="auto"/>
          <w:sz w:val="24"/>
          <w:szCs w:val="24"/>
          <w:highlight w:val="none"/>
          <w:u w:val="single"/>
          <w:lang w:eastAsia="zh-CN"/>
        </w:rPr>
        <w:t>（项目名称）</w:t>
      </w:r>
      <w:r>
        <w:rPr>
          <w:rFonts w:hint="default" w:ascii="宋体" w:hAnsi="宋体" w:eastAsia="宋体" w:cs="宋体"/>
          <w:color w:val="auto"/>
          <w:sz w:val="24"/>
          <w:szCs w:val="24"/>
          <w:highlight w:val="none"/>
          <w:u w:val="single"/>
        </w:rPr>
        <w:t>    </w:t>
      </w:r>
      <w:r>
        <w:rPr>
          <w:rFonts w:hint="default" w:ascii="宋体" w:hAnsi="宋体" w:eastAsia="宋体" w:cs="宋体"/>
          <w:color w:val="auto"/>
          <w:sz w:val="24"/>
          <w:szCs w:val="24"/>
          <w:highlight w:val="none"/>
        </w:rPr>
        <w:t>项目投标工作，作出郑重声明：</w:t>
      </w:r>
    </w:p>
    <w:p w14:paraId="25C32C85">
      <w:pPr>
        <w:snapToGrid w:val="0"/>
        <w:spacing w:line="360" w:lineRule="auto"/>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一、本公司保证投标</w:t>
      </w:r>
      <w:r>
        <w:rPr>
          <w:rFonts w:hint="default" w:ascii="宋体" w:hAnsi="宋体" w:eastAsia="宋体" w:cs="宋体"/>
          <w:color w:val="auto"/>
          <w:sz w:val="24"/>
          <w:szCs w:val="24"/>
          <w:highlight w:val="none"/>
          <w:lang w:eastAsia="zh-CN"/>
        </w:rPr>
        <w:t>文件</w:t>
      </w:r>
      <w:r>
        <w:rPr>
          <w:rFonts w:hint="default" w:ascii="宋体" w:hAnsi="宋体" w:eastAsia="宋体" w:cs="宋体"/>
          <w:color w:val="auto"/>
          <w:sz w:val="24"/>
          <w:szCs w:val="24"/>
          <w:highlight w:val="none"/>
        </w:rPr>
        <w:t>及其后提供的一切材料都是真实的。如我司成为本项目中标候选人，我司同意并授权招标人将我司投标文件商务部分的人员、业绩、奖项等资料进行公开。</w:t>
      </w:r>
    </w:p>
    <w:p w14:paraId="027E2DAB">
      <w:pPr>
        <w:snapToGrid w:val="0"/>
        <w:spacing w:line="360" w:lineRule="auto"/>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二、本公司保证不与其他单位围标、串标，不出让投标资格，不向招标人或评标委员会成员行贿。</w:t>
      </w:r>
    </w:p>
    <w:p w14:paraId="1E816783">
      <w:pPr>
        <w:snapToGrid w:val="0"/>
        <w:spacing w:line="360" w:lineRule="auto"/>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三、本公司不存在招标文件第二章投标人须知第1.4.3项所规定的任何一种情形。</w:t>
      </w:r>
    </w:p>
    <w:p w14:paraId="19559FD5">
      <w:pPr>
        <w:snapToGrid w:val="0"/>
        <w:spacing w:line="360" w:lineRule="auto"/>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四、本公司及其有隶属关系的机构，没有参加本项目招标文件的编写工作；本公司与本次招标的招标代理机构没有隶属关系或其他利害关系。</w:t>
      </w:r>
    </w:p>
    <w:p w14:paraId="30369645">
      <w:pPr>
        <w:snapToGrid w:val="0"/>
        <w:spacing w:line="360" w:lineRule="auto"/>
        <w:ind w:firstLine="480" w:firstLineChars="200"/>
        <w:outlineLvl w:val="9"/>
        <w:rPr>
          <w:rFonts w:hint="default" w:ascii="宋体" w:hAnsi="宋体" w:eastAsia="宋体" w:cs="宋体"/>
          <w:color w:val="auto"/>
          <w:sz w:val="24"/>
          <w:szCs w:val="24"/>
          <w:highlight w:val="none"/>
        </w:rPr>
      </w:pPr>
      <w:bookmarkStart w:id="59" w:name="_Toc29942"/>
      <w:bookmarkStart w:id="60" w:name="_Toc14569"/>
      <w:r>
        <w:rPr>
          <w:rFonts w:hint="default" w:ascii="宋体" w:hAnsi="宋体" w:eastAsia="宋体" w:cs="宋体"/>
          <w:color w:val="auto"/>
          <w:sz w:val="24"/>
          <w:szCs w:val="24"/>
          <w:highlight w:val="none"/>
        </w:rPr>
        <w:t>五、本公司承诺，中标后严格执行安全生产相关管理规定。</w:t>
      </w:r>
      <w:bookmarkEnd w:id="59"/>
      <w:bookmarkEnd w:id="60"/>
    </w:p>
    <w:p w14:paraId="142DEFC4">
      <w:pPr>
        <w:snapToGrid w:val="0"/>
        <w:spacing w:line="360" w:lineRule="auto"/>
        <w:ind w:firstLine="480" w:firstLineChars="200"/>
        <w:outlineLvl w:val="9"/>
        <w:rPr>
          <w:rFonts w:hint="default"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、本公司积极响应广州市关于投身“百千万工程”的号召，主动参与政府投资类建设工程施工项目的建筑业结对帮扶等活动（市属国有企业投资项目参照执行）。</w:t>
      </w:r>
    </w:p>
    <w:p w14:paraId="3960FD59">
      <w:pPr>
        <w:snapToGrid w:val="0"/>
        <w:spacing w:line="360" w:lineRule="auto"/>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本公司违反上述保证，或本声明陈述与事实不符，经查实，本公司愿意接受公开通报，承担由此带来的法律后果。</w:t>
      </w:r>
    </w:p>
    <w:p w14:paraId="458C54EA">
      <w:pPr>
        <w:widowControl/>
        <w:shd w:val="clear" w:color="auto" w:fill="FFFFFF"/>
        <w:spacing w:line="360" w:lineRule="auto"/>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特此声明。</w:t>
      </w:r>
    </w:p>
    <w:p w14:paraId="582978CB">
      <w:pPr>
        <w:pStyle w:val="34"/>
        <w:ind w:right="1449" w:firstLine="420" w:firstLineChars="200"/>
        <w:rPr>
          <w:rFonts w:hint="default" w:ascii="宋体" w:eastAsia="宋体" w:cs="宋体"/>
          <w:color w:val="auto"/>
          <w:sz w:val="21"/>
          <w:szCs w:val="21"/>
          <w:highlight w:val="none"/>
        </w:rPr>
      </w:pPr>
    </w:p>
    <w:p w14:paraId="2E622D36">
      <w:pPr>
        <w:pStyle w:val="34"/>
        <w:spacing w:line="600" w:lineRule="exact"/>
        <w:ind w:left="629" w:right="1449" w:firstLine="420" w:firstLineChars="200"/>
        <w:rPr>
          <w:rFonts w:hint="default" w:ascii="宋体" w:eastAsia="宋体" w:cs="宋体"/>
          <w:color w:val="auto"/>
          <w:sz w:val="24"/>
          <w:szCs w:val="24"/>
          <w:highlight w:val="none"/>
        </w:rPr>
      </w:pPr>
      <w:r>
        <w:rPr>
          <w:rFonts w:hint="default" w:ascii="宋体" w:eastAsia="宋体" w:cs="宋体"/>
          <w:color w:val="auto"/>
          <w:sz w:val="21"/>
          <w:szCs w:val="21"/>
          <w:highlight w:val="none"/>
        </w:rPr>
        <w:t xml:space="preserve">                                        </w:t>
      </w:r>
      <w:r>
        <w:rPr>
          <w:rFonts w:hint="default" w:ascii="宋体" w:eastAsia="宋体" w:cs="宋体"/>
          <w:color w:val="auto"/>
          <w:sz w:val="24"/>
          <w:szCs w:val="24"/>
          <w:highlight w:val="none"/>
        </w:rPr>
        <w:t xml:space="preserve">   声明企业：</w:t>
      </w:r>
    </w:p>
    <w:p w14:paraId="2328740A">
      <w:pPr>
        <w:pStyle w:val="29"/>
        <w:spacing w:line="600" w:lineRule="exact"/>
        <w:ind w:right="1779" w:firstLine="0"/>
        <w:jc w:val="right"/>
        <w:rPr>
          <w:rFonts w:hint="default" w:ascii="宋体" w:eastAsia="宋体" w:cs="宋体"/>
          <w:color w:val="auto"/>
          <w:sz w:val="24"/>
          <w:szCs w:val="24"/>
          <w:highlight w:val="none"/>
        </w:rPr>
      </w:pPr>
      <w:r>
        <w:rPr>
          <w:rFonts w:hint="default" w:ascii="宋体" w:eastAsia="宋体" w:cs="宋体"/>
          <w:color w:val="auto"/>
          <w:sz w:val="24"/>
          <w:szCs w:val="24"/>
          <w:highlight w:val="none"/>
        </w:rPr>
        <w:t>法定代表人（签字）：</w:t>
      </w:r>
    </w:p>
    <w:p w14:paraId="715AFF39">
      <w:pPr>
        <w:pStyle w:val="29"/>
        <w:spacing w:line="600" w:lineRule="exact"/>
        <w:ind w:right="1779" w:firstLine="0"/>
        <w:jc w:val="right"/>
        <w:rPr>
          <w:rFonts w:hint="default" w:ascii="宋体" w:eastAsia="宋体" w:cs="宋体"/>
          <w:color w:val="auto"/>
          <w:sz w:val="24"/>
          <w:szCs w:val="24"/>
          <w:highlight w:val="none"/>
        </w:rPr>
      </w:pPr>
      <w:r>
        <w:rPr>
          <w:rFonts w:hint="default" w:ascii="宋体" w:eastAsia="宋体" w:cs="宋体"/>
          <w:color w:val="auto"/>
          <w:sz w:val="24"/>
          <w:szCs w:val="24"/>
          <w:highlight w:val="none"/>
        </w:rPr>
        <w:t>总监理工程师（签字）：</w:t>
      </w:r>
    </w:p>
    <w:p w14:paraId="2E702C39">
      <w:pPr>
        <w:pStyle w:val="29"/>
        <w:spacing w:line="600" w:lineRule="exact"/>
        <w:ind w:right="1779" w:firstLine="0"/>
        <w:jc w:val="right"/>
        <w:rPr>
          <w:rFonts w:hint="default"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技术负责人（签字）：</w:t>
      </w:r>
    </w:p>
    <w:p w14:paraId="32FAC981">
      <w:pPr>
        <w:pStyle w:val="29"/>
        <w:spacing w:line="600" w:lineRule="exact"/>
        <w:ind w:right="879" w:firstLine="480" w:firstLineChars="200"/>
        <w:jc w:val="right"/>
        <w:rPr>
          <w:rFonts w:hint="default" w:ascii="宋体" w:eastAsia="宋体" w:cs="宋体"/>
          <w:color w:val="auto"/>
          <w:sz w:val="24"/>
          <w:szCs w:val="24"/>
          <w:highlight w:val="none"/>
        </w:rPr>
      </w:pPr>
      <w:r>
        <w:rPr>
          <w:rFonts w:hint="default" w:ascii="宋体" w:eastAsia="宋体" w:cs="宋体"/>
          <w:color w:val="auto"/>
          <w:sz w:val="24"/>
          <w:szCs w:val="24"/>
          <w:highlight w:val="none"/>
        </w:rPr>
        <w:t>（企业公章）</w:t>
      </w:r>
    </w:p>
    <w:p w14:paraId="0DCA6F9C">
      <w:pPr>
        <w:pStyle w:val="29"/>
        <w:ind w:right="879" w:firstLine="480" w:firstLineChars="200"/>
        <w:jc w:val="right"/>
        <w:rPr>
          <w:rFonts w:hint="default" w:ascii="宋体" w:eastAsia="宋体" w:cs="宋体"/>
          <w:color w:val="auto"/>
          <w:sz w:val="24"/>
          <w:szCs w:val="24"/>
          <w:highlight w:val="none"/>
        </w:rPr>
      </w:pPr>
      <w:r>
        <w:rPr>
          <w:rFonts w:hint="default" w:ascii="宋体" w:eastAsia="宋体" w:cs="宋体"/>
          <w:color w:val="auto"/>
          <w:sz w:val="24"/>
          <w:szCs w:val="24"/>
          <w:highlight w:val="none"/>
        </w:rPr>
        <w:t>年  月  日</w:t>
      </w:r>
    </w:p>
    <w:p w14:paraId="287B1692">
      <w:pPr>
        <w:pStyle w:val="25"/>
        <w:ind w:firstLine="0" w:firstLineChars="0"/>
        <w:rPr>
          <w:rFonts w:hint="eastAsia"/>
          <w:color w:val="auto"/>
          <w:sz w:val="24"/>
          <w:szCs w:val="24"/>
          <w:highlight w:val="none"/>
        </w:rPr>
        <w:sectPr>
          <w:pgSz w:w="11905" w:h="16838"/>
          <w:pgMar w:top="1417" w:right="1417" w:bottom="1417" w:left="1417" w:header="992" w:footer="992" w:gutter="0"/>
          <w:lnNumType w:countBy="0" w:distance="360"/>
          <w:cols w:space="720" w:num="1"/>
        </w:sectPr>
      </w:pPr>
    </w:p>
    <w:p w14:paraId="7E75BE71">
      <w:pPr>
        <w:pStyle w:val="5"/>
        <w:pageBreakBefore/>
        <w:outlineLvl w:val="2"/>
        <w:rPr>
          <w:b/>
          <w:color w:val="auto"/>
          <w:sz w:val="24"/>
          <w:szCs w:val="24"/>
          <w:highlight w:val="none"/>
        </w:rPr>
      </w:pPr>
      <w:r>
        <w:rPr>
          <w:rFonts w:hint="eastAsia" w:eastAsia="宋体"/>
          <w:b/>
          <w:bCs/>
          <w:color w:val="auto"/>
          <w:sz w:val="24"/>
          <w:szCs w:val="24"/>
          <w:highlight w:val="none"/>
          <w:lang w:eastAsia="zh-CN"/>
        </w:rPr>
        <w:t>（</w:t>
      </w:r>
      <w:r>
        <w:rPr>
          <w:rFonts w:hint="eastAsia" w:eastAsia="宋体"/>
          <w:b/>
          <w:bCs/>
          <w:color w:val="auto"/>
          <w:sz w:val="24"/>
          <w:szCs w:val="24"/>
          <w:highlight w:val="none"/>
          <w:lang w:val="en-US" w:eastAsia="zh-CN"/>
        </w:rPr>
        <w:t>七</w:t>
      </w:r>
      <w:r>
        <w:rPr>
          <w:rFonts w:hint="eastAsia" w:eastAsia="宋体"/>
          <w:b/>
          <w:bCs/>
          <w:color w:val="auto"/>
          <w:sz w:val="24"/>
          <w:szCs w:val="24"/>
          <w:highlight w:val="none"/>
          <w:lang w:eastAsia="zh-CN"/>
        </w:rPr>
        <w:t>）</w:t>
      </w:r>
      <w:r>
        <w:rPr>
          <w:rFonts w:hint="eastAsia"/>
          <w:b/>
          <w:color w:val="auto"/>
          <w:sz w:val="24"/>
          <w:szCs w:val="24"/>
          <w:highlight w:val="none"/>
        </w:rPr>
        <w:t>投标人廉洁承诺书（格式）</w:t>
      </w:r>
    </w:p>
    <w:p w14:paraId="7413B0A1">
      <w:pPr>
        <w:pStyle w:val="18"/>
        <w:spacing w:before="157" w:beforeLines="50" w:beforeAutospacing="0" w:after="157" w:afterLines="50" w:afterAutospacing="0" w:line="360" w:lineRule="auto"/>
        <w:ind w:firstLine="0"/>
        <w:jc w:val="center"/>
        <w:rPr>
          <w:rFonts w:hint="eastAsia" w:ascii="宋体" w:hAnsi="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556269A1">
      <w:pPr>
        <w:pStyle w:val="18"/>
        <w:shd w:val="clear" w:color="auto" w:fill="FFFFFF"/>
        <w:spacing w:before="0" w:beforeAutospacing="0" w:after="0" w:afterAutospacing="0" w:line="360" w:lineRule="auto"/>
        <w:ind w:firstLine="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广州市水务局、本招标项目招标人及招标监管机构：</w:t>
      </w:r>
    </w:p>
    <w:p w14:paraId="7E0F969F">
      <w:pPr>
        <w:pStyle w:val="13"/>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本公司参加了</w:t>
      </w:r>
      <w:r>
        <w:rPr>
          <w:rFonts w:hint="eastAsia" w:ascii="宋体" w:hAnsi="宋体" w:eastAsia="宋体" w:cs="宋体"/>
          <w:color w:val="auto"/>
          <w:sz w:val="24"/>
          <w:szCs w:val="24"/>
          <w:highlight w:val="none"/>
          <w:u w:val="single"/>
        </w:rPr>
        <w:t xml:space="preserve">   （项目名称/标段名称）    </w:t>
      </w:r>
      <w:r>
        <w:rPr>
          <w:rFonts w:hint="eastAsia" w:ascii="宋体" w:hAnsi="宋体" w:eastAsia="宋体" w:cs="宋体"/>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222EB71A">
      <w:pPr>
        <w:pStyle w:val="13"/>
        <w:spacing w:line="360" w:lineRule="auto"/>
        <w:ind w:right="420" w:firstLine="480" w:firstLineChars="200"/>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一、自觉遵守国家有关法律法规及廉洁规定。</w:t>
      </w:r>
    </w:p>
    <w:p w14:paraId="4AD7CD3E">
      <w:pPr>
        <w:pStyle w:val="13"/>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二、不与招标单位工作人员串通投标，损害国家利益、企业利益以及他人的合法利益；</w:t>
      </w:r>
    </w:p>
    <w:p w14:paraId="1E52F974">
      <w:pPr>
        <w:pStyle w:val="13"/>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三、不与其他单位围标、串标，不出让投标资格，不向招标人或评标委员会成员行贿。</w:t>
      </w:r>
    </w:p>
    <w:p w14:paraId="548F2711">
      <w:pPr>
        <w:pStyle w:val="13"/>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14:paraId="155BC4F0">
      <w:pPr>
        <w:pStyle w:val="13"/>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五、不以任何名义为参与招标、评标工作的有关人员装修住房、婚丧嫁取、配偶子女的工作安排以及境内外旅游等提供方便；</w:t>
      </w:r>
    </w:p>
    <w:p w14:paraId="589E0570">
      <w:pPr>
        <w:pStyle w:val="13"/>
        <w:spacing w:line="360" w:lineRule="auto"/>
        <w:ind w:right="42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六、不以谋取非正当利益为目的，擅自与参与招标、评标工作的有关人员就业务问题进行私下商谈或者达成利益默契</w:t>
      </w:r>
      <w:r>
        <w:rPr>
          <w:rFonts w:hint="eastAsia" w:hAnsi="宋体" w:cs="宋体"/>
          <w:color w:val="auto"/>
          <w:sz w:val="24"/>
          <w:szCs w:val="24"/>
          <w:highlight w:val="none"/>
          <w:lang w:eastAsia="zh-CN"/>
        </w:rPr>
        <w:t>。</w:t>
      </w:r>
    </w:p>
    <w:p w14:paraId="466F9C22">
      <w:pPr>
        <w:pStyle w:val="13"/>
        <w:autoSpaceDE/>
        <w:autoSpaceDN/>
        <w:spacing w:line="360" w:lineRule="auto"/>
        <w:ind w:right="420" w:firstLine="480" w:firstLineChars="200"/>
        <w:rPr>
          <w:rFonts w:hint="eastAsia"/>
          <w:color w:val="auto"/>
          <w:highlight w:val="none"/>
        </w:rPr>
      </w:pPr>
      <w:r>
        <w:rPr>
          <w:rFonts w:hint="eastAsia"/>
          <w:color w:val="auto"/>
          <w:highlight w:val="none"/>
        </w:rPr>
        <w:t>本公司违反上述承诺，或本承诺陈述与事实不符，经查实，本公司愿意接受公开通报，承担由此带来的法律后果。</w:t>
      </w:r>
    </w:p>
    <w:p w14:paraId="7911C34A">
      <w:pPr>
        <w:pStyle w:val="13"/>
        <w:autoSpaceDE/>
        <w:autoSpaceDN/>
        <w:spacing w:line="360" w:lineRule="auto"/>
        <w:ind w:right="420" w:firstLine="480" w:firstLineChars="200"/>
        <w:rPr>
          <w:rFonts w:hint="default" w:ascii="宋体" w:hAnsi="Courier New" w:eastAsia="宋体" w:cs="Times New Roman"/>
          <w:color w:val="auto"/>
          <w:sz w:val="24"/>
          <w:szCs w:val="24"/>
          <w:highlight w:val="none"/>
          <w:lang w:eastAsia="zh-CN"/>
        </w:rPr>
      </w:pPr>
      <w:r>
        <w:rPr>
          <w:rFonts w:hint="eastAsia"/>
          <w:color w:val="auto"/>
          <w:highlight w:val="none"/>
        </w:rPr>
        <w:t>特此承诺</w:t>
      </w:r>
      <w:r>
        <w:rPr>
          <w:rFonts w:hint="default" w:ascii="宋体" w:hAnsi="Courier New" w:eastAsia="宋体" w:cs="Times New Roman"/>
          <w:color w:val="auto"/>
          <w:sz w:val="24"/>
          <w:szCs w:val="24"/>
          <w:highlight w:val="none"/>
          <w:lang w:eastAsia="zh-CN"/>
        </w:rPr>
        <w:t>。</w:t>
      </w:r>
    </w:p>
    <w:p w14:paraId="7E78AF4B">
      <w:pPr>
        <w:pStyle w:val="18"/>
        <w:shd w:val="clear" w:color="auto" w:fill="FFFFFF"/>
        <w:spacing w:before="0" w:beforeAutospacing="0" w:after="0" w:afterAutospacing="0" w:line="360" w:lineRule="auto"/>
        <w:ind w:right="1455" w:firstLine="2880"/>
        <w:jc w:val="righ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承诺企业（</w:t>
      </w:r>
      <w:r>
        <w:rPr>
          <w:rFonts w:hint="eastAsia" w:ascii="宋体" w:hAnsi="宋体" w:cs="宋体"/>
          <w:color w:val="auto"/>
          <w:sz w:val="24"/>
          <w:szCs w:val="24"/>
          <w:highlight w:val="none"/>
          <w:lang w:eastAsia="zh-CN"/>
        </w:rPr>
        <w:t>盖</w:t>
      </w:r>
      <w:r>
        <w:rPr>
          <w:rFonts w:hint="eastAsia" w:ascii="宋体" w:hAnsi="宋体" w:eastAsia="宋体" w:cs="宋体"/>
          <w:color w:val="auto"/>
          <w:sz w:val="24"/>
          <w:szCs w:val="24"/>
          <w:highlight w:val="none"/>
        </w:rPr>
        <w:t>单位章）：      </w:t>
      </w:r>
    </w:p>
    <w:p w14:paraId="384E2854">
      <w:pPr>
        <w:pStyle w:val="18"/>
        <w:shd w:val="clear" w:color="auto" w:fill="FFFFFF"/>
        <w:spacing w:before="0" w:beforeAutospacing="0" w:after="0" w:afterAutospacing="0" w:line="360" w:lineRule="auto"/>
        <w:ind w:firstLine="480"/>
        <w:jc w:val="righ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cs="宋体"/>
          <w:color w:val="auto"/>
          <w:sz w:val="24"/>
          <w:szCs w:val="24"/>
          <w:highlight w:val="none"/>
        </w:rPr>
        <w:t xml:space="preserve">           </w:t>
      </w:r>
    </w:p>
    <w:p w14:paraId="5B85C97E">
      <w:pPr>
        <w:pStyle w:val="18"/>
        <w:shd w:val="clear" w:color="auto" w:fill="FFFFFF"/>
        <w:spacing w:before="0" w:after="0"/>
        <w:ind w:firstLine="480"/>
        <w:jc w:val="right"/>
        <w:rPr>
          <w:rFonts w:hint="default"/>
          <w:color w:val="auto"/>
          <w:sz w:val="28"/>
          <w:szCs w:val="24"/>
          <w:highlight w:val="none"/>
        </w:rPr>
        <w:sectPr>
          <w:pgSz w:w="11905" w:h="16838"/>
          <w:pgMar w:top="1417" w:right="1417" w:bottom="1417" w:left="1417" w:header="992" w:footer="992" w:gutter="0"/>
          <w:lnNumType w:countBy="0" w:distance="360"/>
          <w:cols w:space="720" w:num="1"/>
        </w:sectPr>
      </w:pPr>
      <w:r>
        <w:rPr>
          <w:rFonts w:hint="eastAsia" w:ascii="宋体" w:hAnsi="宋体" w:eastAsia="宋体" w:cs="宋体"/>
          <w:color w:val="auto"/>
          <w:sz w:val="24"/>
          <w:szCs w:val="24"/>
          <w:highlight w:val="none"/>
        </w:rPr>
        <w:t>年   月   日</w:t>
      </w:r>
      <w:bookmarkStart w:id="61" w:name="_Toc13291"/>
    </w:p>
    <w:p w14:paraId="7F154C9C">
      <w:pPr>
        <w:pStyle w:val="4"/>
        <w:jc w:val="center"/>
        <w:outlineLvl w:val="1"/>
        <w:rPr>
          <w:rFonts w:hint="default"/>
          <w:color w:val="auto"/>
          <w:sz w:val="28"/>
          <w:szCs w:val="24"/>
          <w:highlight w:val="none"/>
        </w:rPr>
      </w:pPr>
      <w:r>
        <w:rPr>
          <w:rFonts w:hint="default"/>
          <w:color w:val="auto"/>
          <w:sz w:val="28"/>
          <w:szCs w:val="24"/>
          <w:highlight w:val="none"/>
        </w:rPr>
        <w:t>七、监理大纲</w:t>
      </w:r>
      <w:bookmarkEnd w:id="61"/>
    </w:p>
    <w:p w14:paraId="52BD9227">
      <w:pPr>
        <w:pStyle w:val="11"/>
        <w:kinsoku w:val="0"/>
        <w:overflowPunct w:val="0"/>
        <w:spacing w:beforeLines="100" w:line="360" w:lineRule="auto"/>
        <w:ind w:left="0" w:firstLine="480" w:firstLineChars="200"/>
        <w:rPr>
          <w:rFonts w:hint="default"/>
          <w:color w:val="auto"/>
          <w:sz w:val="24"/>
          <w:szCs w:val="24"/>
          <w:highlight w:val="none"/>
        </w:rPr>
      </w:pPr>
      <w:r>
        <w:rPr>
          <w:rFonts w:hint="default"/>
          <w:color w:val="auto"/>
          <w:sz w:val="24"/>
          <w:szCs w:val="24"/>
          <w:highlight w:val="none"/>
        </w:rPr>
        <w:t>监理大纲应包括（但不限于）下列内容：</w:t>
      </w:r>
    </w:p>
    <w:p w14:paraId="72783665">
      <w:pPr>
        <w:pStyle w:val="11"/>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lang w:val="en-US" w:eastAsia="zh-CN"/>
        </w:rPr>
        <w:t>一、</w:t>
      </w:r>
      <w:r>
        <w:rPr>
          <w:rFonts w:hint="default"/>
          <w:color w:val="auto"/>
          <w:sz w:val="24"/>
          <w:szCs w:val="24"/>
          <w:highlight w:val="none"/>
        </w:rPr>
        <w:t>监理工程概况；</w:t>
      </w:r>
    </w:p>
    <w:p w14:paraId="53A624DA">
      <w:pPr>
        <w:pStyle w:val="11"/>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 xml:space="preserve">二、监理范围、监理内容； </w:t>
      </w:r>
    </w:p>
    <w:p w14:paraId="01BA7406">
      <w:pPr>
        <w:pStyle w:val="11"/>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三、监理依据、监理工作目标；</w:t>
      </w:r>
    </w:p>
    <w:p w14:paraId="4BF4509B">
      <w:pPr>
        <w:pStyle w:val="11"/>
        <w:numPr>
          <w:ilvl w:val="0"/>
          <w:numId w:val="0"/>
        </w:numPr>
        <w:kinsoku w:val="0"/>
        <w:overflowPunct w:val="0"/>
        <w:spacing w:line="360" w:lineRule="auto"/>
        <w:ind w:left="480"/>
        <w:rPr>
          <w:rFonts w:hint="default"/>
          <w:color w:val="auto"/>
          <w:sz w:val="24"/>
          <w:szCs w:val="24"/>
          <w:highlight w:val="none"/>
        </w:rPr>
      </w:pPr>
      <w:r>
        <w:rPr>
          <w:rFonts w:hint="default"/>
          <w:color w:val="auto"/>
          <w:spacing w:val="-8"/>
          <w:sz w:val="24"/>
          <w:szCs w:val="24"/>
          <w:highlight w:val="none"/>
        </w:rPr>
        <w:t>四、监理机构设置（框图）、岗位职责；</w:t>
      </w:r>
      <w:r>
        <w:rPr>
          <w:rFonts w:hint="default"/>
          <w:color w:val="auto"/>
          <w:spacing w:val="-69"/>
          <w:sz w:val="24"/>
          <w:szCs w:val="24"/>
          <w:highlight w:val="none"/>
        </w:rPr>
        <w:t xml:space="preserve"> </w:t>
      </w:r>
    </w:p>
    <w:p w14:paraId="6F808CBE">
      <w:pPr>
        <w:pStyle w:val="11"/>
        <w:numPr>
          <w:ilvl w:val="0"/>
          <w:numId w:val="0"/>
        </w:numPr>
        <w:kinsoku w:val="0"/>
        <w:overflowPunct w:val="0"/>
        <w:spacing w:line="360" w:lineRule="auto"/>
        <w:ind w:left="0" w:firstLine="480" w:firstLineChars="200"/>
        <w:rPr>
          <w:rFonts w:hint="default"/>
          <w:color w:val="auto"/>
          <w:sz w:val="24"/>
          <w:szCs w:val="24"/>
          <w:highlight w:val="none"/>
        </w:rPr>
      </w:pPr>
      <w:r>
        <w:rPr>
          <w:rFonts w:hint="default"/>
          <w:color w:val="auto"/>
          <w:sz w:val="24"/>
          <w:szCs w:val="24"/>
          <w:highlight w:val="none"/>
        </w:rPr>
        <w:t xml:space="preserve">五、监理工作程序、方法和制度； </w:t>
      </w:r>
    </w:p>
    <w:p w14:paraId="28263D6B">
      <w:pPr>
        <w:pStyle w:val="11"/>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 xml:space="preserve">六、拟投入的监理人员、试验检测仪器设备； </w:t>
      </w:r>
    </w:p>
    <w:p w14:paraId="16957D94">
      <w:pPr>
        <w:pStyle w:val="11"/>
        <w:numPr>
          <w:ilvl w:val="0"/>
          <w:numId w:val="0"/>
        </w:numPr>
        <w:kinsoku w:val="0"/>
        <w:overflowPunct w:val="0"/>
        <w:spacing w:line="360" w:lineRule="auto"/>
        <w:ind w:left="480"/>
        <w:rPr>
          <w:rFonts w:hint="default"/>
          <w:color w:val="auto"/>
          <w:sz w:val="24"/>
          <w:szCs w:val="24"/>
          <w:highlight w:val="none"/>
        </w:rPr>
      </w:pPr>
      <w:r>
        <w:rPr>
          <w:rFonts w:hint="default"/>
          <w:color w:val="auto"/>
          <w:spacing w:val="-2"/>
          <w:sz w:val="24"/>
          <w:szCs w:val="24"/>
          <w:highlight w:val="none"/>
        </w:rPr>
        <w:t>七、质量、进度、造价、安全、环保监理措施；</w:t>
      </w:r>
      <w:r>
        <w:rPr>
          <w:rFonts w:hint="default"/>
          <w:color w:val="auto"/>
          <w:spacing w:val="-66"/>
          <w:sz w:val="24"/>
          <w:szCs w:val="24"/>
          <w:highlight w:val="none"/>
        </w:rPr>
        <w:t xml:space="preserve"> </w:t>
      </w:r>
    </w:p>
    <w:p w14:paraId="2B7397C3">
      <w:pPr>
        <w:pStyle w:val="11"/>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八、合同、信息管理方案；</w:t>
      </w:r>
    </w:p>
    <w:p w14:paraId="436EF2C6">
      <w:pPr>
        <w:pStyle w:val="11"/>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lang w:val="en-US" w:eastAsia="zh-CN"/>
        </w:rPr>
        <w:t xml:space="preserve">九 </w:t>
      </w:r>
      <w:r>
        <w:rPr>
          <w:rFonts w:hint="default"/>
          <w:color w:val="auto"/>
          <w:sz w:val="24"/>
          <w:szCs w:val="24"/>
          <w:highlight w:val="none"/>
        </w:rPr>
        <w:t xml:space="preserve">、组织协调内容及措施； </w:t>
      </w:r>
    </w:p>
    <w:p w14:paraId="7693339F">
      <w:pPr>
        <w:pStyle w:val="11"/>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 xml:space="preserve">十、监理工作重点、难点分析； </w:t>
      </w:r>
    </w:p>
    <w:p w14:paraId="737E1F6B">
      <w:pPr>
        <w:pStyle w:val="11"/>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十</w:t>
      </w:r>
      <w:r>
        <w:rPr>
          <w:rFonts w:hint="default"/>
          <w:color w:val="auto"/>
          <w:sz w:val="24"/>
          <w:szCs w:val="24"/>
          <w:highlight w:val="none"/>
          <w:lang w:val="en-US" w:eastAsia="zh-CN"/>
        </w:rPr>
        <w:t>一</w:t>
      </w:r>
      <w:r>
        <w:rPr>
          <w:rFonts w:hint="default"/>
          <w:color w:val="auto"/>
          <w:sz w:val="24"/>
          <w:szCs w:val="24"/>
          <w:highlight w:val="none"/>
        </w:rPr>
        <w:t>、对本工程监理的合理化建议。</w:t>
      </w:r>
    </w:p>
    <w:p w14:paraId="07AA8C1E">
      <w:pPr>
        <w:pStyle w:val="11"/>
        <w:kinsoku w:val="0"/>
        <w:overflowPunct w:val="0"/>
        <w:spacing w:before="275" w:line="357" w:lineRule="auto"/>
        <w:ind w:left="555" w:right="3835"/>
        <w:rPr>
          <w:rFonts w:hint="default"/>
          <w:color w:val="auto"/>
          <w:sz w:val="24"/>
          <w:szCs w:val="24"/>
          <w:highlight w:val="none"/>
        </w:rPr>
        <w:sectPr>
          <w:pgSz w:w="11905" w:h="16838"/>
          <w:pgMar w:top="1417" w:right="1417" w:bottom="1417" w:left="1417" w:header="992" w:footer="992" w:gutter="0"/>
          <w:lnNumType w:countBy="0" w:distance="360"/>
          <w:cols w:space="720" w:num="1"/>
        </w:sectPr>
      </w:pPr>
    </w:p>
    <w:p w14:paraId="38889F60">
      <w:pPr>
        <w:pStyle w:val="4"/>
        <w:jc w:val="center"/>
        <w:outlineLvl w:val="1"/>
        <w:rPr>
          <w:rFonts w:hint="default"/>
          <w:color w:val="auto"/>
          <w:sz w:val="28"/>
          <w:szCs w:val="24"/>
          <w:highlight w:val="none"/>
        </w:rPr>
        <w:sectPr>
          <w:headerReference r:id="rId21" w:type="default"/>
          <w:footerReference r:id="rId22" w:type="default"/>
          <w:pgSz w:w="11905" w:h="16838"/>
          <w:pgMar w:top="1417" w:right="1417" w:bottom="1417" w:left="1417" w:header="992" w:footer="992" w:gutter="0"/>
          <w:lnNumType w:countBy="0" w:distance="360"/>
          <w:cols w:space="720" w:num="1"/>
        </w:sectPr>
      </w:pPr>
      <w:bookmarkStart w:id="62" w:name="_Toc26031"/>
      <w:r>
        <w:rPr>
          <w:rFonts w:hint="default"/>
          <w:color w:val="auto"/>
          <w:sz w:val="28"/>
          <w:szCs w:val="24"/>
          <w:highlight w:val="none"/>
        </w:rPr>
        <w:t>八、其他资料</w:t>
      </w:r>
      <w:bookmarkEnd w:id="62"/>
    </w:p>
    <w:p w14:paraId="55965873">
      <w:pPr>
        <w:pStyle w:val="3"/>
        <w:outlineLvl w:val="0"/>
        <w:rPr>
          <w:rFonts w:hint="default" w:cs="Times New Roman"/>
          <w:color w:val="auto"/>
          <w:sz w:val="44"/>
          <w:szCs w:val="44"/>
          <w:highlight w:val="none"/>
        </w:rPr>
      </w:pPr>
      <w:bookmarkStart w:id="63" w:name="_Toc22888"/>
      <w:r>
        <w:rPr>
          <w:rFonts w:hint="default" w:cs="Times New Roman"/>
          <w:color w:val="auto"/>
          <w:sz w:val="44"/>
          <w:szCs w:val="44"/>
          <w:highlight w:val="none"/>
          <w:lang w:val="en-US" w:eastAsia="zh-CN"/>
        </w:rPr>
        <w:t xml:space="preserve">第七章 </w:t>
      </w:r>
      <w:r>
        <w:rPr>
          <w:rFonts w:hint="default" w:cs="Times New Roman"/>
          <w:color w:val="auto"/>
          <w:sz w:val="44"/>
          <w:szCs w:val="44"/>
          <w:highlight w:val="none"/>
        </w:rPr>
        <w:t>投标人须知前附表规定的其他资料。</w:t>
      </w:r>
      <w:bookmarkEnd w:id="63"/>
    </w:p>
    <w:p w14:paraId="370B1824">
      <w:pPr>
        <w:rPr>
          <w:rFonts w:hint="default"/>
          <w:color w:val="auto"/>
          <w:sz w:val="24"/>
          <w:szCs w:val="24"/>
          <w:highlight w:val="none"/>
        </w:rPr>
      </w:pPr>
    </w:p>
    <w:p w14:paraId="0962A3BD">
      <w:pPr>
        <w:pStyle w:val="4"/>
        <w:jc w:val="center"/>
        <w:outlineLvl w:val="0"/>
        <w:rPr>
          <w:rFonts w:hint="default"/>
          <w:color w:val="auto"/>
          <w:sz w:val="30"/>
          <w:szCs w:val="24"/>
          <w:highlight w:val="none"/>
          <w:lang w:val="en-US" w:eastAsia="zh-CN"/>
        </w:rPr>
      </w:pPr>
      <w:bookmarkStart w:id="64" w:name="_Toc8548"/>
      <w:r>
        <w:rPr>
          <w:rFonts w:hint="default"/>
          <w:color w:val="auto"/>
          <w:sz w:val="30"/>
          <w:szCs w:val="24"/>
          <w:highlight w:val="none"/>
          <w:lang w:val="en-US" w:eastAsia="zh-CN"/>
        </w:rPr>
        <w:t>否决性条款汇总</w:t>
      </w:r>
      <w:bookmarkEnd w:id="64"/>
    </w:p>
    <w:p w14:paraId="02D6A742">
      <w:pPr>
        <w:keepNext w:val="0"/>
        <w:keepLines w:val="0"/>
        <w:pageBreakBefore w:val="0"/>
        <w:widowControl/>
        <w:kinsoku/>
        <w:wordWrap/>
        <w:overflowPunct/>
        <w:topLinePunct w:val="0"/>
        <w:autoSpaceDE w:val="0"/>
        <w:autoSpaceDN w:val="0"/>
        <w:bidi w:val="0"/>
        <w:adjustRightInd w:val="0"/>
        <w:snapToGrid/>
        <w:spacing w:after="0" w:line="288" w:lineRule="auto"/>
        <w:ind w:firstLine="482"/>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否决性条款单列参考格式</w:t>
      </w:r>
    </w:p>
    <w:p w14:paraId="5C8371A9">
      <w:pPr>
        <w:keepNext w:val="0"/>
        <w:keepLines w:val="0"/>
        <w:pageBreakBefore w:val="0"/>
        <w:kinsoku/>
        <w:wordWrap/>
        <w:overflowPunct/>
        <w:topLinePunct w:val="0"/>
        <w:autoSpaceDE w:val="0"/>
        <w:autoSpaceDN w:val="0"/>
        <w:bidi w:val="0"/>
        <w:adjustRightInd w:val="0"/>
        <w:snapToGrid/>
        <w:spacing w:line="288" w:lineRule="auto"/>
        <w:ind w:firstLine="480" w:firstLineChars="200"/>
        <w:textAlignment w:val="auto"/>
        <w:rPr>
          <w:rFonts w:hint="eastAsia"/>
          <w:color w:val="auto"/>
          <w:highlight w:val="none"/>
        </w:rPr>
      </w:pPr>
      <w:r>
        <w:rPr>
          <w:rFonts w:hint="eastAsia"/>
          <w:color w:val="auto"/>
          <w:highlight w:val="none"/>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14:paraId="31B3312E">
      <w:pPr>
        <w:keepNext w:val="0"/>
        <w:keepLines w:val="0"/>
        <w:pageBreakBefore w:val="0"/>
        <w:kinsoku/>
        <w:wordWrap/>
        <w:overflowPunct/>
        <w:topLinePunct w:val="0"/>
        <w:autoSpaceDE w:val="0"/>
        <w:autoSpaceDN w:val="0"/>
        <w:bidi w:val="0"/>
        <w:adjustRightInd w:val="0"/>
        <w:snapToGrid/>
        <w:spacing w:line="288" w:lineRule="auto"/>
        <w:ind w:firstLine="480" w:firstLineChars="200"/>
        <w:textAlignment w:val="auto"/>
        <w:rPr>
          <w:rFonts w:hint="eastAsia"/>
          <w:color w:val="auto"/>
          <w:highlight w:val="none"/>
        </w:rPr>
      </w:pPr>
      <w:r>
        <w:rPr>
          <w:rFonts w:hint="eastAsia"/>
          <w:color w:val="auto"/>
          <w:highlight w:val="none"/>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27C62B0A">
      <w:pPr>
        <w:keepNext w:val="0"/>
        <w:keepLines w:val="0"/>
        <w:pageBreakBefore w:val="0"/>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eastAsia="宋体" w:cs="宋体"/>
          <w:color w:val="auto"/>
          <w:kern w:val="0"/>
          <w:sz w:val="24"/>
          <w:szCs w:val="24"/>
          <w:highlight w:val="none"/>
        </w:rPr>
      </w:pPr>
      <w:r>
        <w:rPr>
          <w:rFonts w:hint="eastAsia"/>
          <w:color w:val="auto"/>
          <w:highlight w:val="none"/>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6987432">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一、开标时，出现下列情形之一的，不参与资格审查和评标</w:t>
      </w:r>
    </w:p>
    <w:p w14:paraId="43D7E0D1">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1.未成功递交投标文件的；</w:t>
      </w:r>
    </w:p>
    <w:p w14:paraId="690F695A">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因投标人原因造成投标文件未解密的；</w:t>
      </w:r>
    </w:p>
    <w:p w14:paraId="335E535F">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3.两个（含两个）以上的投标人加密打包投标文件电脑机器特征码一致的；</w:t>
      </w:r>
    </w:p>
    <w:p w14:paraId="1B8FBF51">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cs="宋体"/>
          <w:color w:val="auto"/>
          <w:highlight w:val="none"/>
        </w:rPr>
        <w:t>若递交投标文件的投标人不足3家，则重新组织招标。</w:t>
      </w:r>
    </w:p>
    <w:p w14:paraId="1D9CC1F2">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二、作无效投标的情形</w:t>
      </w:r>
    </w:p>
    <w:p w14:paraId="2B8F5BF0">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投标文件不符合招标文件评标办法中形式评审标准、资格评审标准、响应性评审标准、技术评审标准（若有）的要求。</w:t>
      </w:r>
    </w:p>
    <w:p w14:paraId="65ED81A5">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三、作不合格标处理的情形</w:t>
      </w:r>
    </w:p>
    <w:p w14:paraId="494E4C11">
      <w:pPr>
        <w:widowControl/>
        <w:autoSpaceDE/>
        <w:autoSpaceDN/>
        <w:adjustRightInd/>
        <w:spacing w:after="135" w:line="360" w:lineRule="auto"/>
        <w:ind w:firstLine="480" w:firstLineChars="200"/>
        <w:rPr>
          <w:rFonts w:ascii="宋体" w:hAnsi="宋体" w:cs="宋体"/>
          <w:color w:val="auto"/>
          <w:highlight w:val="none"/>
        </w:rPr>
      </w:pPr>
      <w:r>
        <w:rPr>
          <w:rFonts w:hint="eastAsia" w:ascii="宋体" w:hAnsi="宋体" w:cs="宋体"/>
          <w:color w:val="auto"/>
          <w:highlight w:val="none"/>
        </w:rPr>
        <w:t>1.串通投标或弄虚作假或有其他违法行为的；</w:t>
      </w:r>
    </w:p>
    <w:p w14:paraId="3CDBAEDC">
      <w:pPr>
        <w:widowControl/>
        <w:autoSpaceDE/>
        <w:autoSpaceDN/>
        <w:adjustRightInd/>
        <w:spacing w:after="135" w:line="360" w:lineRule="auto"/>
        <w:ind w:firstLine="480" w:firstLineChars="200"/>
        <w:rPr>
          <w:rFonts w:ascii="宋体" w:hAnsi="宋体" w:cs="宋体"/>
          <w:color w:val="auto"/>
          <w:highlight w:val="none"/>
        </w:rPr>
      </w:pPr>
      <w:r>
        <w:rPr>
          <w:rFonts w:hint="eastAsia" w:ascii="宋体" w:hAnsi="宋体" w:cs="宋体"/>
          <w:color w:val="auto"/>
          <w:highlight w:val="none"/>
        </w:rPr>
        <w:t>2.不按评标委员会要求澄清、说明或补正的。</w:t>
      </w:r>
    </w:p>
    <w:p w14:paraId="3C0EDC82">
      <w:pPr>
        <w:spacing w:line="360" w:lineRule="auto"/>
        <w:ind w:firstLine="484" w:firstLineChars="202"/>
        <w:rPr>
          <w:rFonts w:hint="eastAsia" w:ascii="宋体" w:hAnsi="宋体" w:cs="宋体"/>
          <w:color w:val="auto"/>
          <w:highlight w:val="none"/>
        </w:rPr>
      </w:pPr>
      <w:r>
        <w:rPr>
          <w:rFonts w:hint="eastAsia" w:ascii="宋体" w:hAnsi="宋体" w:cs="宋体"/>
          <w:color w:val="auto"/>
          <w:highlight w:val="none"/>
        </w:rPr>
        <w:t>3.第二章“投标人须知”第1.4.3项规定的任何一种情形的；</w:t>
      </w:r>
    </w:p>
    <w:p w14:paraId="7AC12D62">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四、其他否定投标文件效力情形</w:t>
      </w:r>
    </w:p>
    <w:p w14:paraId="3E0848A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eastAsia" w:ascii="宋体" w:hAnsi="宋体" w:cs="宋体"/>
          <w:color w:val="auto"/>
          <w:kern w:val="21"/>
          <w:sz w:val="24"/>
          <w:szCs w:val="24"/>
          <w:highlight w:val="none"/>
          <w:lang w:val="en-US" w:eastAsia="zh-CN"/>
        </w:rPr>
        <w:t>1.</w:t>
      </w:r>
      <w:r>
        <w:rPr>
          <w:rFonts w:hint="default" w:cs="Times New Roman"/>
          <w:color w:val="auto"/>
          <w:sz w:val="24"/>
          <w:szCs w:val="24"/>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5500492C">
      <w:pPr>
        <w:spacing w:line="360" w:lineRule="auto"/>
        <w:ind w:firstLine="484" w:firstLineChars="202"/>
        <w:rPr>
          <w:rFonts w:hint="default" w:ascii="宋体" w:hAnsi="宋体" w:eastAsia="宋体" w:cs="宋体"/>
          <w:color w:val="auto"/>
          <w:kern w:val="21"/>
          <w:sz w:val="24"/>
          <w:szCs w:val="24"/>
          <w:highlight w:val="none"/>
          <w:lang w:val="en-US" w:eastAsia="zh-CN"/>
        </w:rPr>
      </w:pPr>
    </w:p>
    <w:sectPr>
      <w:pgSz w:w="11905" w:h="16838"/>
      <w:pgMar w:top="1417" w:right="1417" w:bottom="1417" w:left="1417" w:header="992" w:footer="992"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C8DA4">
    <w:pPr>
      <w:pStyle w:val="14"/>
      <w:rPr>
        <w:rFonts w:hint="default"/>
        <w:sz w:val="18"/>
        <w:szCs w:val="24"/>
      </w:rPr>
    </w:pPr>
    <w:r>
      <w:rPr>
        <w:rFonts w:hint="default"/>
        <w:sz w:val="18"/>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F616F6">
                          <w:pPr>
                            <w:pStyle w:val="14"/>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ie7z98BAAC/AwAADgAAAAAA&#10;AAABACAAAAAeAQAAZHJzL2Uyb0RvYy54bWxQSwUGAAAAAAYABgBZAQAAbwUAAAAA&#10;">
              <v:fill on="f" focussize="0,0"/>
              <v:stroke on="f"/>
              <v:imagedata o:title=""/>
              <o:lock v:ext="edit" aspectratio="f"/>
              <v:textbox inset="0mm,0mm,0mm,0mm" style="mso-fit-shape-to-text:t;">
                <w:txbxContent>
                  <w:p w14:paraId="00F616F6">
                    <w:pPr>
                      <w:pStyle w:val="14"/>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EB3BD">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67005" cy="1397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E29A5F0">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848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X0avfCAQAAgQ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0EsgSZywtPHDzx+HX38O&#10;v7+z+VUSqA9YUd1doMo4vPMDFU9xpGDiPbRg05cYMcoT1v4krxoik+nS5VVZvuFMUmr++pqchFI8&#10;XA6A8b3yliWj5kDby6KK3UeMY+lUkno5f6uNyRs07r8AYaZIkSYfJ0xWHNbDkc7aN3ti09Pia47f&#10;tgIUZ+aDI2XTK5kMmIz1ZGwD6E1Hw2UFcgPaTGZxfEVp9f/6eYyHP2f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BV9Gr3wgEAAIEDAAAOAAAAAAAAAAEAIAAAACIBAABkcnMvZTJvRG9jLnht&#10;bFBLBQYAAAAABgAGAFkBAABWBQAAAAA=&#10;">
              <v:fill on="f" focussize="0,0"/>
              <v:stroke on="f"/>
              <v:imagedata o:title=""/>
              <o:lock v:ext="edit" aspectratio="f"/>
              <v:textbox inset="0mm,0mm,0mm,0mm">
                <w:txbxContent>
                  <w:p w14:paraId="6E29A5F0">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B3083">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67005" cy="1397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C71E3F9">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950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CVlHMIwgEAAIEDAAAOAAAAAAAAAAEAIAAAACIBAABkcnMvZTJvRG9jLnht&#10;bFBLBQYAAAAABgAGAFkBAABWBQAAAAA=&#10;">
              <v:fill on="f" focussize="0,0"/>
              <v:stroke on="f"/>
              <v:imagedata o:title=""/>
              <o:lock v:ext="edit" aspectratio="f"/>
              <v:textbox inset="0mm,0mm,0mm,0mm">
                <w:txbxContent>
                  <w:p w14:paraId="2C71E3F9">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BF051">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67005" cy="1397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3D31B20C">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745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BsPAGMMBAACAAwAADgAAAAAAAAABACAAAAAiAQAAZHJzL2Uyb0RvYy54&#10;bWxQSwUGAAAAAAYABgBZAQAAVwUAAAAA&#10;">
              <v:fill on="f" focussize="0,0"/>
              <v:stroke on="f"/>
              <v:imagedata o:title=""/>
              <o:lock v:ext="edit" aspectratio="f"/>
              <v:textbox inset="0mm,0mm,0mm,0mm">
                <w:txbxContent>
                  <w:p w14:paraId="3D31B20C">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D8246">
    <w:pPr>
      <w:pStyle w:val="11"/>
      <w:kinsoku w:val="0"/>
      <w:overflowPunct w:val="0"/>
      <w:spacing w:line="14" w:lineRule="auto"/>
      <w:ind w:left="0"/>
      <w:rPr>
        <w:rFonts w:hint="default"/>
        <w:sz w:val="18"/>
        <w:szCs w:val="24"/>
      </w:rPr>
    </w:pPr>
    <w:r>
      <w:rPr>
        <w:rFonts w:hint="default" w:ascii="Calibri" w:hAnsi="Calibri" w:eastAsia="Calibri"/>
        <w:sz w:val="21"/>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582ACF4A">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0pt;height:11pt;width:8.6pt;mso-position-horizontal:center;mso-position-horizontal-relative:margin;z-index:251659264;mso-width-relative:page;mso-height-relative:page;" filled="f" stroked="f" coordsize="21600,21600" o:gfxdata="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RA6i0wAAAAMBAAAPAAAAAAAAAAEAIAAA&#10;ACIAAABkcnMvZG93bnJldi54bWxQSwECFAAUAAAACACHTuJAP9E6UNgBAACkAwAADgAAAAAAAAAB&#10;ACAAAAAiAQAAZHJzL2Uyb0RvYy54bWxQSwUGAAAAAAYABgBZAQAAbAUAAAAA&#10;">
              <v:fill on="f" focussize="0,0"/>
              <v:stroke on="f"/>
              <v:imagedata o:title=""/>
              <o:lock v:ext="edit" aspectratio="f"/>
              <v:textbox inset="0mm,0mm,0mm,0mm">
                <w:txbxContent>
                  <w:p w14:paraId="582ACF4A">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68D9F">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005" cy="1397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5840D64D">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5" o:spid="_x0000_s1026" o:spt="202" type="#_x0000_t202" style="position:absolute;left:0pt;margin-top:0pt;height:11pt;width:13.15pt;mso-position-horizontal:center;mso-position-horizontal-relative:margin;z-index:25166028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JP2jTAAAAAwEAAA8AAAAAAAAAAQAgAAAA&#10;IgAAAGRycy9kb3ducmV2LnhtbFBLAQIUABQAAAAIAIdO4kAsxo181wEAAKQDAAAOAAAAAAAAAAEA&#10;IAAAACIBAABkcnMvZTJvRG9jLnhtbFBLBQYAAAAABgAGAFkBAABrBQAAAAA=&#10;">
              <v:fill on="f" focussize="0,0"/>
              <v:stroke on="f"/>
              <v:imagedata o:title=""/>
              <o:lock v:ext="edit" aspectratio="f"/>
              <v:textbox inset="0mm,0mm,0mm,0mm">
                <w:txbxContent>
                  <w:p w14:paraId="5840D64D">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2BFCF">
    <w:pPr>
      <w:pStyle w:val="11"/>
      <w:kinsoku w:val="0"/>
      <w:overflowPunct w:val="0"/>
      <w:spacing w:line="14" w:lineRule="auto"/>
      <w:ind w:left="0"/>
      <w:rPr>
        <w:rFonts w:hint="default"/>
        <w:sz w:val="18"/>
        <w:szCs w:val="24"/>
      </w:rPr>
    </w:pPr>
    <w:r>
      <w:rPr>
        <w:rFonts w:hint="default"/>
        <w:sz w:val="21"/>
        <w:szCs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67005" cy="1397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4E420558">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7" o:spid="_x0000_s1026" o:spt="202" type="#_x0000_t202" style="position:absolute;left:0pt;margin-top:0pt;height:11pt;width:13.15pt;mso-position-horizontal:center;mso-position-horizontal-relative:margin;z-index:25166643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DdTT57BAQAAfw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1JzW7oSlhR9+/jj8+nP4&#10;/Z1dJXn6gBVV3QWqi8M7P9CjmeJIwcR6aMGmL/FhlCdx9ydx1RCZTJcur8ryDWeSUvPX1+QklOLh&#10;cgCM75W3LBk1B9pdllTsPmIcS6eS1Mv5W21M3p9x/wUIM0WKNPk4YbLisB6OdNa+2RObntZec/y2&#10;FaA4Mx8c6ZreyGTAZKwnYxtAbzoaLiuQG9BeMovjG0qL/9fPYzz8N8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sk/aNMAAAADAQAADwAAAAAAAAABACAAAAAiAAAAZHJzL2Rvd25yZXYueG1sUEsB&#10;AhQAFAAAAAgAh07iQDdTT57BAQAAfwMAAA4AAAAAAAAAAQAgAAAAIgEAAGRycy9lMm9Eb2MueG1s&#10;UEsFBgAAAAAGAAYAWQEAAFUFAAAAAA==&#10;">
              <v:fill on="f" focussize="0,0"/>
              <v:stroke on="f"/>
              <v:imagedata o:title=""/>
              <o:lock v:ext="edit" aspectratio="f"/>
              <v:textbox inset="0mm,0mm,0mm,0mm">
                <w:txbxContent>
                  <w:p w14:paraId="4E420558">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EFB32">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397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A15347D">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3" o:spid="_x0000_s1026"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HeZl9NgBAAClAwAADgAAAAAAAAAB&#10;ACAAAAAiAQAAZHJzL2Uyb0RvYy54bWxQSwUGAAAAAAYABgBZAQAAbAUAAAAA&#10;">
              <v:fill on="f" focussize="0,0"/>
              <v:stroke on="f"/>
              <v:imagedata o:title=""/>
              <o:lock v:ext="edit" aspectratio="f"/>
              <v:textbox inset="0mm,0mm,0mm,0mm">
                <w:txbxContent>
                  <w:p w14:paraId="6A15347D">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7457A">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7005" cy="1397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62DCFAB">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5" o:spid="_x0000_s1026" o:spt="202" type="#_x0000_t202" style="position:absolute;left:0pt;margin-top:0pt;height:11pt;width:13.15pt;mso-position-horizontal:center;mso-position-horizontal-relative:margin;z-index:25166233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V426ANgBAAClAwAADgAAAAAAAAAB&#10;ACAAAAAiAQAAZHJzL2Uyb0RvYy54bWxQSwUGAAAAAAYABgBZAQAAbAUAAAAA&#10;">
              <v:fill on="f" focussize="0,0"/>
              <v:stroke on="f"/>
              <v:imagedata o:title=""/>
              <o:lock v:ext="edit" aspectratio="f"/>
              <v:textbox inset="0mm,0mm,0mm,0mm">
                <w:txbxContent>
                  <w:p w14:paraId="762DCFAB">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A6EF">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67005" cy="139700"/>
              <wp:effectExtent l="0" t="0" r="0" b="0"/>
              <wp:wrapNone/>
              <wp:docPr id="13"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3905F62">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5" o:spid="_x0000_s1026" o:spt="202" type="#_x0000_t202" style="position:absolute;left:0pt;margin-top:0pt;height:11pt;width:13.15pt;mso-position-horizontal:center;mso-position-horizontal-relative:margin;z-index:25167155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Xys1VcMBAACBAwAADgAAAAAAAAABACAAAAAiAQAAZHJzL2Uyb0RvYy54&#10;bWxQSwUGAAAAAAYABgBZAQAAVwUAAAAA&#10;">
              <v:fill on="f" focussize="0,0"/>
              <v:stroke on="f"/>
              <v:imagedata o:title=""/>
              <o:lock v:ext="edit" aspectratio="f"/>
              <v:textbox inset="0mm,0mm,0mm,0mm">
                <w:txbxContent>
                  <w:p w14:paraId="23905F62">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87FCF">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D97D60">
                          <w:pPr>
                            <w:pStyle w:val="14"/>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81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aEbYd8BAAC/AwAADgAAAGRycy9lMm9Eb2MueG1srVPNjtMwEL4j8Q6W&#10;7zRphaCq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fc+aEpYGff/08//57/vOD&#10;vZwnfboAK0q7CZSI/Vvf09ZMfiBnot030aY/EWIUJ3VPF3VVj0ymS8vFcllSSFJsOhB+cXc9RMD3&#10;yluWjIpHGl9WVRw/Ag6pU0qq5vy1NiaP0Lj/HISZPEXqfegxWdjv+pHQztcn4kPvgOq0Pn7nrKMt&#10;qLijpefMfHAkclqYyYiTsZsM4SRdrDhyNpjvcFisQ4h63xLuPDcP4c0BqdNMILUx1B67o7lmCcYd&#10;TIvz7zln3b27z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paEbYd8BAAC/AwAADgAAAAAA&#10;AAABACAAAAAeAQAAZHJzL2Uyb0RvYy54bWxQSwUGAAAAAAYABgBZAQAAbwUAAAAA&#10;">
              <v:fill on="f" focussize="0,0"/>
              <v:stroke on="f"/>
              <v:imagedata o:title=""/>
              <o:lock v:ext="edit" aspectratio="f"/>
              <v:textbox inset="0mm,0mm,0mm,0mm" style="mso-fit-shape-to-text:t;">
                <w:txbxContent>
                  <w:p w14:paraId="4FD97D60">
                    <w:pPr>
                      <w:pStyle w:val="14"/>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81</w:t>
                    </w:r>
                    <w:r>
                      <w:rPr>
                        <w:rFonts w:hint="default"/>
                        <w:sz w:val="18"/>
                        <w:szCs w:val="24"/>
                      </w:rPr>
                      <w:fldChar w:fldCharType="end"/>
                    </w:r>
                  </w:p>
                </w:txbxContent>
              </v:textbox>
            </v:shape>
          </w:pict>
        </mc:Fallback>
      </mc:AlternateContent>
    </w:r>
    <w:r>
      <w:rPr>
        <w:rFonts w:hint="default"/>
        <w:sz w:val="21"/>
        <w:szCs w:val="24"/>
      </w:rPr>
      <mc:AlternateContent>
        <mc:Choice Requires="wps">
          <w:drawing>
            <wp:anchor distT="0" distB="0" distL="114300" distR="114300" simplePos="0" relativeHeight="251663360"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14:paraId="3B0D5490">
                          <w:pPr>
                            <w:pStyle w:val="11"/>
                            <w:kinsoku w:val="0"/>
                            <w:overflowPunct w:val="0"/>
                            <w:spacing w:line="203" w:lineRule="exact"/>
                            <w:ind w:left="20"/>
                            <w:rPr>
                              <w:rFonts w:hint="default" w:ascii="Calibri" w:hAnsi="Calibri" w:eastAsia="Calibri"/>
                              <w:sz w:val="18"/>
                              <w:szCs w:val="24"/>
                            </w:rPr>
                          </w:pPr>
                          <w:r>
                            <w:rPr>
                              <w:rFonts w:hint="default" w:ascii="Calibri" w:hAnsi="Calibri" w:eastAsia="Calibri"/>
                              <w:spacing w:val="-1"/>
                              <w:w w:val="99"/>
                              <w:sz w:val="18"/>
                              <w:szCs w:val="24"/>
                            </w:rPr>
                            <w:t>80</w:t>
                          </w:r>
                        </w:p>
                      </w:txbxContent>
                    </wps:txbx>
                    <wps:bodyPr vert="horz" wrap="square" lIns="0" tIns="0" rIns="0" bIns="0" upright="1"/>
                  </wps:wsp>
                </a:graphicData>
              </a:graphic>
            </wp:anchor>
          </w:drawing>
        </mc:Choice>
        <mc:Fallback>
          <w:pict>
            <v:shape id="文本框 16" o:spid="_x0000_s1026" o:spt="202" type="#_x0000_t202" style="position:absolute;left:0pt;margin-left:300.5pt;margin-top:734.95pt;height:11pt;width:11.15pt;mso-position-horizontal-relative:page;mso-position-vertical-relative:page;z-index:-251653120;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2yQofaAAAADQEAAA8AAAAAAAAAAQAgAAAAIgAA&#10;AGRycy9kb3ducmV2LnhtbFBLAQIUABQAAAAIAIdO4kCZ4bHFzQEAAIwDAAAOAAAAAAAAAAEAIAAA&#10;ACkBAABkcnMvZTJvRG9jLnhtbFBLBQYAAAAABgAGAFkBAABoBQAAAAA=&#10;">
              <v:fill on="f" focussize="0,0"/>
              <v:stroke on="f"/>
              <v:imagedata o:title=""/>
              <o:lock v:ext="edit" aspectratio="f"/>
              <v:textbox inset="0mm,0mm,0mm,0mm">
                <w:txbxContent>
                  <w:p w14:paraId="3B0D5490">
                    <w:pPr>
                      <w:pStyle w:val="11"/>
                      <w:kinsoku w:val="0"/>
                      <w:overflowPunct w:val="0"/>
                      <w:spacing w:line="203" w:lineRule="exact"/>
                      <w:ind w:left="20"/>
                      <w:rPr>
                        <w:rFonts w:hint="default" w:ascii="Calibri" w:hAnsi="Calibri" w:eastAsia="Calibri"/>
                        <w:sz w:val="18"/>
                        <w:szCs w:val="24"/>
                      </w:rPr>
                    </w:pPr>
                    <w:r>
                      <w:rPr>
                        <w:rFonts w:hint="default" w:ascii="Calibri" w:hAnsi="Calibri" w:eastAsia="Calibri"/>
                        <w:spacing w:val="-1"/>
                        <w:w w:val="99"/>
                        <w:sz w:val="18"/>
                        <w:szCs w:val="24"/>
                      </w:rPr>
                      <w:t>80</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83CF7">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67005" cy="139700"/>
              <wp:effectExtent l="0" t="0" r="0" b="0"/>
              <wp:wrapNone/>
              <wp:docPr id="12"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A328A36">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7052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lDMp0sMBAACBAwAADgAAAAAAAAABACAAAAAiAQAAZHJzL2Uyb0RvYy54&#10;bWxQSwUGAAAAAAYABgBZAQAAVwUAAAAA&#10;">
              <v:fill on="f" focussize="0,0"/>
              <v:stroke on="f"/>
              <v:imagedata o:title=""/>
              <o:lock v:ext="edit" aspectratio="f"/>
              <v:textbox inset="0mm,0mm,0mm,0mm">
                <w:txbxContent>
                  <w:p w14:paraId="2A328A36">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489EF">
    <w:pPr>
      <w:pStyle w:val="15"/>
      <w:rPr>
        <w:rFonts w:hint="default"/>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D51FF">
    <w:pPr>
      <w:pStyle w:val="15"/>
      <w:rPr>
        <w:rFonts w:hint="default"/>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7B69">
    <w:pPr>
      <w:pStyle w:val="15"/>
      <w:rPr>
        <w:rFonts w:hint="default"/>
        <w:sz w:val="18"/>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8AB8B">
    <w:pPr>
      <w:pStyle w:val="15"/>
      <w:rPr>
        <w:rFonts w:hint="default"/>
        <w:sz w:val="18"/>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BF9A4">
    <w:pPr>
      <w:pStyle w:val="15"/>
      <w:rPr>
        <w:rFonts w:hint="default"/>
        <w:sz w:val="18"/>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8CE13">
    <w:pPr>
      <w:pStyle w:val="15"/>
      <w:rPr>
        <w:rFonts w:hint="default"/>
        <w:sz w:val="18"/>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BA70A">
    <w:pPr>
      <w:pStyle w:val="15"/>
      <w:rPr>
        <w:rFonts w:hint="default"/>
        <w:sz w:val="18"/>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16B78">
    <w:pPr>
      <w:pStyle w:val="15"/>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486A7"/>
    <w:multiLevelType w:val="singleLevel"/>
    <w:tmpl w:val="A94486A7"/>
    <w:lvl w:ilvl="0" w:tentative="0">
      <w:start w:val="5"/>
      <w:numFmt w:val="decimal"/>
      <w:suff w:val="space"/>
      <w:lvlText w:val="%1."/>
      <w:lvlJc w:val="left"/>
    </w:lvl>
  </w:abstractNum>
  <w:abstractNum w:abstractNumId="1">
    <w:nsid w:val="15F82AC0"/>
    <w:multiLevelType w:val="singleLevel"/>
    <w:tmpl w:val="15F82AC0"/>
    <w:lvl w:ilvl="0" w:tentative="0">
      <w:start w:val="6"/>
      <w:numFmt w:val="decimal"/>
      <w:suff w:val="nothing"/>
      <w:lvlText w:val="%1、"/>
      <w:lvlJc w:val="left"/>
    </w:lvl>
  </w:abstractNum>
  <w:abstractNum w:abstractNumId="2">
    <w:nsid w:val="6FAA44F7"/>
    <w:multiLevelType w:val="singleLevel"/>
    <w:tmpl w:val="6FAA44F7"/>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ZDlmOWI0MzYzMWY0MzgwNDViOTJkZTYzNDk3NDMifQ=="/>
  </w:docVars>
  <w:rsids>
    <w:rsidRoot w:val="00172A27"/>
    <w:rsid w:val="01043A66"/>
    <w:rsid w:val="015F5C05"/>
    <w:rsid w:val="020F624B"/>
    <w:rsid w:val="04590E88"/>
    <w:rsid w:val="055A6E6C"/>
    <w:rsid w:val="070204F3"/>
    <w:rsid w:val="079D30DF"/>
    <w:rsid w:val="080820B6"/>
    <w:rsid w:val="08C473E5"/>
    <w:rsid w:val="09452310"/>
    <w:rsid w:val="09C27272"/>
    <w:rsid w:val="0B8965E6"/>
    <w:rsid w:val="0C997CA3"/>
    <w:rsid w:val="0DCB34F3"/>
    <w:rsid w:val="0E3E6B64"/>
    <w:rsid w:val="0FD0499B"/>
    <w:rsid w:val="0FF84697"/>
    <w:rsid w:val="101100FE"/>
    <w:rsid w:val="11702C8D"/>
    <w:rsid w:val="12B41F81"/>
    <w:rsid w:val="15FA071C"/>
    <w:rsid w:val="16610B97"/>
    <w:rsid w:val="17A50C46"/>
    <w:rsid w:val="17F644FD"/>
    <w:rsid w:val="184711C8"/>
    <w:rsid w:val="186A4AF7"/>
    <w:rsid w:val="18702695"/>
    <w:rsid w:val="187237A6"/>
    <w:rsid w:val="189B1E31"/>
    <w:rsid w:val="1AE837D0"/>
    <w:rsid w:val="1D8B6EF6"/>
    <w:rsid w:val="1EAE2913"/>
    <w:rsid w:val="1F493040"/>
    <w:rsid w:val="1FB76ED1"/>
    <w:rsid w:val="1FD9384E"/>
    <w:rsid w:val="20CE3F4B"/>
    <w:rsid w:val="21A27D50"/>
    <w:rsid w:val="221729FA"/>
    <w:rsid w:val="2338257F"/>
    <w:rsid w:val="25A44C59"/>
    <w:rsid w:val="267D5D2D"/>
    <w:rsid w:val="26CF6181"/>
    <w:rsid w:val="288B74C9"/>
    <w:rsid w:val="2B2A0438"/>
    <w:rsid w:val="2B5311D0"/>
    <w:rsid w:val="2D07305C"/>
    <w:rsid w:val="2DFC1ADD"/>
    <w:rsid w:val="2E6508F1"/>
    <w:rsid w:val="2E8373F0"/>
    <w:rsid w:val="2E863CB5"/>
    <w:rsid w:val="2E9D3233"/>
    <w:rsid w:val="2EAD14DA"/>
    <w:rsid w:val="2F4A16AB"/>
    <w:rsid w:val="2F7B592D"/>
    <w:rsid w:val="300375DA"/>
    <w:rsid w:val="319D4E24"/>
    <w:rsid w:val="322B758E"/>
    <w:rsid w:val="324A2A66"/>
    <w:rsid w:val="32D57EA5"/>
    <w:rsid w:val="330A7A80"/>
    <w:rsid w:val="335D3323"/>
    <w:rsid w:val="33C00B7B"/>
    <w:rsid w:val="36115F43"/>
    <w:rsid w:val="37090E2F"/>
    <w:rsid w:val="37865B8C"/>
    <w:rsid w:val="38B13296"/>
    <w:rsid w:val="38CD21B4"/>
    <w:rsid w:val="39037C61"/>
    <w:rsid w:val="39750026"/>
    <w:rsid w:val="3A960DB6"/>
    <w:rsid w:val="3AE64F8C"/>
    <w:rsid w:val="3DDF724A"/>
    <w:rsid w:val="3EB22B21"/>
    <w:rsid w:val="3F572ACB"/>
    <w:rsid w:val="420E4553"/>
    <w:rsid w:val="448B4FD5"/>
    <w:rsid w:val="4570443A"/>
    <w:rsid w:val="479568D6"/>
    <w:rsid w:val="47B67BBB"/>
    <w:rsid w:val="489C6820"/>
    <w:rsid w:val="492125A0"/>
    <w:rsid w:val="49247828"/>
    <w:rsid w:val="498F7DE0"/>
    <w:rsid w:val="4A742A58"/>
    <w:rsid w:val="4AB1638A"/>
    <w:rsid w:val="4B3E45F3"/>
    <w:rsid w:val="4D0369F0"/>
    <w:rsid w:val="4D903A6C"/>
    <w:rsid w:val="4E9725C3"/>
    <w:rsid w:val="4EE31744"/>
    <w:rsid w:val="4F880BCA"/>
    <w:rsid w:val="4FBA3E49"/>
    <w:rsid w:val="5223443E"/>
    <w:rsid w:val="522C3C23"/>
    <w:rsid w:val="524F15CA"/>
    <w:rsid w:val="52A929CD"/>
    <w:rsid w:val="53490C19"/>
    <w:rsid w:val="539B1E41"/>
    <w:rsid w:val="53EF77F2"/>
    <w:rsid w:val="55096426"/>
    <w:rsid w:val="57E70337"/>
    <w:rsid w:val="58E533AC"/>
    <w:rsid w:val="5B6B2616"/>
    <w:rsid w:val="5BC87A9B"/>
    <w:rsid w:val="5CB64B87"/>
    <w:rsid w:val="5E5F5BD7"/>
    <w:rsid w:val="61EA613C"/>
    <w:rsid w:val="62AB097F"/>
    <w:rsid w:val="62C12D55"/>
    <w:rsid w:val="63B64325"/>
    <w:rsid w:val="63DB2CB0"/>
    <w:rsid w:val="654A3E4B"/>
    <w:rsid w:val="65D76672"/>
    <w:rsid w:val="66CA3897"/>
    <w:rsid w:val="677D432C"/>
    <w:rsid w:val="690C30DA"/>
    <w:rsid w:val="69B47845"/>
    <w:rsid w:val="69FC0B0F"/>
    <w:rsid w:val="6AC8299D"/>
    <w:rsid w:val="6F585C48"/>
    <w:rsid w:val="6F745D74"/>
    <w:rsid w:val="6FB6545E"/>
    <w:rsid w:val="6FDC5A0F"/>
    <w:rsid w:val="702B37BF"/>
    <w:rsid w:val="71BD2468"/>
    <w:rsid w:val="731A0445"/>
    <w:rsid w:val="731E0F50"/>
    <w:rsid w:val="757635DC"/>
    <w:rsid w:val="75894F1D"/>
    <w:rsid w:val="76683B99"/>
    <w:rsid w:val="76A25114"/>
    <w:rsid w:val="77563D2B"/>
    <w:rsid w:val="77F34C42"/>
    <w:rsid w:val="7811525D"/>
    <w:rsid w:val="7838546B"/>
    <w:rsid w:val="784210E3"/>
    <w:rsid w:val="79BF259A"/>
    <w:rsid w:val="7A862E00"/>
    <w:rsid w:val="7B8A5777"/>
    <w:rsid w:val="7D4B3C28"/>
    <w:rsid w:val="7DCE4049"/>
    <w:rsid w:val="7E8D2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99"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basedOn w:val="1"/>
    <w:next w:val="1"/>
    <w:unhideWhenUsed/>
    <w:qFormat/>
    <w:uiPriority w:val="1"/>
    <w:pPr>
      <w:ind w:left="3"/>
      <w:jc w:val="center"/>
      <w:outlineLvl w:val="0"/>
    </w:pPr>
    <w:rPr>
      <w:rFonts w:hint="eastAsia" w:ascii="Microsoft JhengHei" w:hAnsi="Microsoft JhengHei" w:eastAsia="Microsoft JhengHei"/>
      <w:b/>
      <w:sz w:val="44"/>
      <w:szCs w:val="24"/>
    </w:rPr>
  </w:style>
  <w:style w:type="paragraph" w:styleId="3">
    <w:name w:val="heading 2"/>
    <w:basedOn w:val="2"/>
    <w:next w:val="1"/>
    <w:link w:val="35"/>
    <w:unhideWhenUsed/>
    <w:qFormat/>
    <w:uiPriority w:val="1"/>
    <w:pPr>
      <w:ind w:left="3"/>
      <w:jc w:val="center"/>
      <w:outlineLvl w:val="1"/>
    </w:pPr>
    <w:rPr>
      <w:rFonts w:hint="default" w:ascii="宋体" w:hAnsi="宋体" w:eastAsia="宋体"/>
      <w:sz w:val="30"/>
      <w:szCs w:val="24"/>
    </w:rPr>
  </w:style>
  <w:style w:type="paragraph" w:styleId="4">
    <w:name w:val="heading 3"/>
    <w:basedOn w:val="1"/>
    <w:next w:val="1"/>
    <w:link w:val="27"/>
    <w:unhideWhenUsed/>
    <w:qFormat/>
    <w:uiPriority w:val="1"/>
    <w:pPr>
      <w:spacing w:before="50" w:beforeLines="50" w:after="50" w:afterLines="50" w:line="360" w:lineRule="auto"/>
      <w:outlineLvl w:val="2"/>
    </w:pPr>
    <w:rPr>
      <w:rFonts w:hint="default" w:ascii="宋体" w:hAnsi="宋体" w:eastAsia="宋体"/>
      <w:b/>
      <w:sz w:val="24"/>
      <w:szCs w:val="24"/>
    </w:rPr>
  </w:style>
  <w:style w:type="paragraph" w:styleId="5">
    <w:name w:val="heading 4"/>
    <w:basedOn w:val="1"/>
    <w:next w:val="1"/>
    <w:unhideWhenUsed/>
    <w:qFormat/>
    <w:uiPriority w:val="1"/>
    <w:pPr>
      <w:outlineLvl w:val="3"/>
    </w:pPr>
    <w:rPr>
      <w:rFonts w:hint="default" w:ascii="宋体" w:hAnsi="宋体" w:eastAsia="宋体"/>
      <w:sz w:val="28"/>
      <w:szCs w:val="24"/>
    </w:rPr>
  </w:style>
  <w:style w:type="paragraph" w:styleId="6">
    <w:name w:val="heading 5"/>
    <w:basedOn w:val="1"/>
    <w:next w:val="1"/>
    <w:unhideWhenUsed/>
    <w:qFormat/>
    <w:uiPriority w:val="1"/>
    <w:pPr>
      <w:ind w:left="237"/>
      <w:outlineLvl w:val="4"/>
    </w:pPr>
    <w:rPr>
      <w:rFonts w:hint="default" w:ascii="宋体" w:hAnsi="宋体" w:eastAsia="宋体"/>
      <w:sz w:val="28"/>
      <w:szCs w:val="24"/>
    </w:rPr>
  </w:style>
  <w:style w:type="paragraph" w:styleId="7">
    <w:name w:val="heading 6"/>
    <w:basedOn w:val="1"/>
    <w:next w:val="1"/>
    <w:unhideWhenUsed/>
    <w:qFormat/>
    <w:uiPriority w:val="1"/>
    <w:pPr>
      <w:ind w:left="513"/>
      <w:outlineLvl w:val="5"/>
    </w:pPr>
    <w:rPr>
      <w:rFonts w:hint="eastAsia" w:ascii="Times New Roman" w:hAnsi="Times New Roman" w:eastAsia="Times New Roman"/>
      <w:b/>
      <w:sz w:val="21"/>
      <w:szCs w:val="24"/>
    </w:rPr>
  </w:style>
  <w:style w:type="character" w:default="1" w:styleId="23">
    <w:name w:val="Default Paragraph Font"/>
    <w:unhideWhenUsed/>
    <w:qFormat/>
    <w:uiPriority w:val="99"/>
    <w:rPr>
      <w:rFonts w:hint="default"/>
      <w:sz w:val="24"/>
      <w:szCs w:val="24"/>
    </w:rPr>
  </w:style>
  <w:style w:type="table" w:default="1" w:styleId="21">
    <w:name w:val="Normal Table"/>
    <w:qFormat/>
    <w:uiPriority w:val="0"/>
    <w:tblPr>
      <w:tblCellMar>
        <w:top w:w="0" w:type="dxa"/>
        <w:left w:w="108" w:type="dxa"/>
        <w:bottom w:w="0" w:type="dxa"/>
        <w:right w:w="108" w:type="dxa"/>
      </w:tblCellMar>
    </w:tblPr>
  </w:style>
  <w:style w:type="paragraph" w:styleId="8">
    <w:name w:val="Normal Indent"/>
    <w:basedOn w:val="1"/>
    <w:next w:val="1"/>
    <w:qFormat/>
    <w:uiPriority w:val="0"/>
    <w:pPr>
      <w:ind w:firstLine="420" w:firstLineChars="200"/>
    </w:pPr>
  </w:style>
  <w:style w:type="paragraph" w:styleId="9">
    <w:name w:val="annotation text"/>
    <w:basedOn w:val="1"/>
    <w:unhideWhenUsed/>
    <w:qFormat/>
    <w:uiPriority w:val="99"/>
    <w:pPr>
      <w:jc w:val="left"/>
    </w:pPr>
  </w:style>
  <w:style w:type="paragraph" w:styleId="10">
    <w:name w:val="Body Text 3"/>
    <w:unhideWhenUsed/>
    <w:qFormat/>
    <w:uiPriority w:val="0"/>
    <w:pPr>
      <w:widowControl w:val="0"/>
      <w:spacing w:beforeLines="0" w:after="120" w:afterLines="0"/>
      <w:jc w:val="both"/>
    </w:pPr>
    <w:rPr>
      <w:rFonts w:hint="eastAsia" w:ascii="Times New Roman" w:hAnsi="Times New Roman" w:eastAsia="Times New Roman" w:cs="Times New Roman"/>
      <w:kern w:val="2"/>
      <w:sz w:val="16"/>
      <w:szCs w:val="16"/>
      <w:lang w:val="en-US" w:eastAsia="zh-CN" w:bidi="ar-SA"/>
    </w:rPr>
  </w:style>
  <w:style w:type="paragraph" w:styleId="11">
    <w:name w:val="Body Text"/>
    <w:basedOn w:val="1"/>
    <w:unhideWhenUsed/>
    <w:qFormat/>
    <w:uiPriority w:val="1"/>
    <w:pPr>
      <w:ind w:left="520"/>
    </w:pPr>
    <w:rPr>
      <w:rFonts w:hint="default" w:ascii="宋体" w:hAnsi="宋体" w:eastAsia="宋体"/>
      <w:sz w:val="21"/>
      <w:szCs w:val="24"/>
    </w:rPr>
  </w:style>
  <w:style w:type="paragraph" w:styleId="12">
    <w:name w:val="toc 3"/>
    <w:basedOn w:val="1"/>
    <w:next w:val="1"/>
    <w:qFormat/>
    <w:uiPriority w:val="99"/>
    <w:pPr>
      <w:ind w:left="840" w:leftChars="400"/>
    </w:pPr>
  </w:style>
  <w:style w:type="paragraph" w:styleId="13">
    <w:name w:val="Plain Text"/>
    <w:basedOn w:val="1"/>
    <w:unhideWhenUsed/>
    <w:qFormat/>
    <w:uiPriority w:val="0"/>
    <w:rPr>
      <w:rFonts w:hint="default" w:ascii="宋体" w:hAnsi="Courier New" w:eastAsia="宋体"/>
      <w:sz w:val="24"/>
      <w:szCs w:val="24"/>
    </w:rPr>
  </w:style>
  <w:style w:type="paragraph" w:styleId="14">
    <w:name w:val="footer"/>
    <w:basedOn w:val="1"/>
    <w:unhideWhenUsed/>
    <w:qFormat/>
    <w:uiPriority w:val="99"/>
    <w:pPr>
      <w:tabs>
        <w:tab w:val="center" w:pos="4153"/>
        <w:tab w:val="right" w:pos="8306"/>
      </w:tabs>
      <w:snapToGrid w:val="0"/>
    </w:pPr>
    <w:rPr>
      <w:rFonts w:hint="default"/>
      <w:sz w:val="18"/>
      <w:szCs w:val="24"/>
    </w:rPr>
  </w:style>
  <w:style w:type="paragraph" w:styleId="15">
    <w:name w:val="header"/>
    <w:basedOn w:val="1"/>
    <w:unhideWhenUsed/>
    <w:qFormat/>
    <w:uiPriority w:val="99"/>
    <w:pPr>
      <w:tabs>
        <w:tab w:val="center" w:pos="4153"/>
        <w:tab w:val="right" w:pos="8306"/>
      </w:tabs>
      <w:snapToGrid w:val="0"/>
      <w:jc w:val="both"/>
    </w:pPr>
    <w:rPr>
      <w:rFonts w:hint="default"/>
      <w:sz w:val="18"/>
      <w:szCs w:val="24"/>
    </w:rPr>
  </w:style>
  <w:style w:type="paragraph" w:styleId="16">
    <w:name w:val="toc 1"/>
    <w:basedOn w:val="1"/>
    <w:next w:val="1"/>
    <w:qFormat/>
    <w:uiPriority w:val="99"/>
  </w:style>
  <w:style w:type="paragraph" w:styleId="17">
    <w:name w:val="toc 2"/>
    <w:basedOn w:val="1"/>
    <w:next w:val="1"/>
    <w:qFormat/>
    <w:uiPriority w:val="99"/>
    <w:pPr>
      <w:ind w:left="420" w:leftChars="200"/>
    </w:pPr>
  </w:style>
  <w:style w:type="paragraph" w:styleId="18">
    <w:name w:val="Normal (Web)"/>
    <w:basedOn w:val="1"/>
    <w:unhideWhenUsed/>
    <w:qFormat/>
    <w:uiPriority w:val="99"/>
    <w:pPr>
      <w:widowControl/>
      <w:spacing w:before="100" w:beforeAutospacing="1" w:after="100" w:afterAutospacing="1"/>
    </w:pPr>
    <w:rPr>
      <w:rFonts w:hint="eastAsia" w:ascii="Times New Roman" w:hAnsi="Times New Roman" w:eastAsia="Times New Roman" w:cs="Times New Roman"/>
      <w:sz w:val="24"/>
      <w:szCs w:val="24"/>
    </w:rPr>
  </w:style>
  <w:style w:type="paragraph" w:styleId="19">
    <w:name w:val="Body Text First Indent"/>
    <w:basedOn w:val="11"/>
    <w:unhideWhenUsed/>
    <w:qFormat/>
    <w:uiPriority w:val="0"/>
    <w:pPr>
      <w:ind w:firstLine="420"/>
    </w:pPr>
    <w:rPr>
      <w:rFonts w:hint="eastAsia" w:ascii="Times New Roman" w:hAnsi="Times New Roman" w:eastAsia="楷体_GB2312"/>
      <w:sz w:val="20"/>
      <w:szCs w:val="24"/>
    </w:rPr>
  </w:style>
  <w:style w:type="paragraph" w:styleId="20">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4">
    <w:name w:val="Hyperlink"/>
    <w:unhideWhenUsed/>
    <w:qFormat/>
    <w:uiPriority w:val="99"/>
    <w:rPr>
      <w:rFonts w:hint="default" w:ascii="Arial" w:hAnsi="Arial" w:eastAsia="黑体"/>
      <w:color w:val="0000FF"/>
      <w:kern w:val="2"/>
      <w:sz w:val="21"/>
      <w:szCs w:val="24"/>
      <w:u w:val="single"/>
      <w:lang w:val="en-US" w:eastAsia="zh-CN" w:bidi="ar-SA"/>
    </w:rPr>
  </w:style>
  <w:style w:type="paragraph" w:customStyle="1" w:styleId="25">
    <w:name w:val="正文缩进1"/>
    <w:basedOn w:val="26"/>
    <w:unhideWhenUsed/>
    <w:qFormat/>
    <w:uiPriority w:val="0"/>
    <w:pPr>
      <w:spacing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26">
    <w:name w:val="正文1"/>
    <w:basedOn w:val="1"/>
    <w:unhideWhenUsed/>
    <w:qFormat/>
    <w:uiPriority w:val="0"/>
    <w:pPr>
      <w:spacing w:line="240" w:lineRule="atLeast"/>
      <w:jc w:val="center"/>
      <w:textAlignment w:val="baseline"/>
    </w:pPr>
    <w:rPr>
      <w:rFonts w:hint="default" w:ascii="Tahoma" w:hAnsi="Tahoma" w:eastAsia="宋体"/>
      <w:sz w:val="24"/>
      <w:szCs w:val="24"/>
    </w:rPr>
  </w:style>
  <w:style w:type="character" w:customStyle="1" w:styleId="27">
    <w:name w:val="标题 3 Char"/>
    <w:link w:val="4"/>
    <w:unhideWhenUsed/>
    <w:qFormat/>
    <w:uiPriority w:val="1"/>
    <w:rPr>
      <w:rFonts w:hint="default" w:ascii="宋体" w:hAnsi="宋体" w:eastAsia="宋体"/>
      <w:b/>
      <w:sz w:val="24"/>
      <w:szCs w:val="24"/>
    </w:rPr>
  </w:style>
  <w:style w:type="paragraph" w:customStyle="1" w:styleId="28">
    <w:name w:val="Table Paragraph"/>
    <w:basedOn w:val="1"/>
    <w:unhideWhenUsed/>
    <w:qFormat/>
    <w:uiPriority w:val="1"/>
    <w:rPr>
      <w:rFonts w:hint="default"/>
      <w:sz w:val="24"/>
      <w:szCs w:val="24"/>
    </w:rPr>
  </w:style>
  <w:style w:type="paragraph" w:customStyle="1" w:styleId="29">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30">
    <w:name w:val="p0"/>
    <w:basedOn w:val="1"/>
    <w:unhideWhenUsed/>
    <w:qFormat/>
    <w:uiPriority w:val="0"/>
    <w:pPr>
      <w:widowControl/>
      <w:spacing w:before="75" w:after="75"/>
    </w:pPr>
    <w:rPr>
      <w:rFonts w:hint="default" w:ascii="宋体" w:hAnsi="宋体" w:eastAsia="宋体" w:cs="宋体"/>
      <w:sz w:val="24"/>
      <w:szCs w:val="24"/>
    </w:rPr>
  </w:style>
  <w:style w:type="paragraph" w:customStyle="1" w:styleId="31">
    <w:name w:val="List Paragraph"/>
    <w:basedOn w:val="1"/>
    <w:unhideWhenUsed/>
    <w:qFormat/>
    <w:uiPriority w:val="1"/>
    <w:rPr>
      <w:rFonts w:hint="default"/>
      <w:sz w:val="24"/>
      <w:szCs w:val="24"/>
    </w:rPr>
  </w:style>
  <w:style w:type="paragraph" w:customStyle="1" w:styleId="32">
    <w:name w:val="文一"/>
    <w:basedOn w:val="1"/>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 w:type="paragraph" w:customStyle="1" w:styleId="33">
    <w:name w:val="样式 宋体 行距: 1.5 倍行距"/>
    <w:basedOn w:val="1"/>
    <w:unhideWhenUsed/>
    <w:qFormat/>
    <w:uiPriority w:val="0"/>
    <w:pPr>
      <w:jc w:val="center"/>
    </w:pPr>
    <w:rPr>
      <w:rFonts w:hint="default"/>
      <w:b/>
      <w:sz w:val="24"/>
      <w:szCs w:val="24"/>
    </w:rPr>
  </w:style>
  <w:style w:type="paragraph" w:customStyle="1" w:styleId="34">
    <w:name w:val="发文落款"/>
    <w:basedOn w:val="29"/>
    <w:unhideWhenUsed/>
    <w:qFormat/>
    <w:uiPriority w:val="99"/>
    <w:pPr>
      <w:ind w:left="4094" w:right="607" w:firstLine="0"/>
      <w:jc w:val="center"/>
    </w:pPr>
    <w:rPr>
      <w:rFonts w:hint="eastAsia" w:cs="仿宋_GB2312"/>
      <w:sz w:val="32"/>
      <w:szCs w:val="32"/>
    </w:rPr>
  </w:style>
  <w:style w:type="character" w:customStyle="1" w:styleId="35">
    <w:name w:val="标题 2 Char"/>
    <w:link w:val="3"/>
    <w:unhideWhenUsed/>
    <w:qFormat/>
    <w:uiPriority w:val="1"/>
    <w:rPr>
      <w:rFonts w:hint="default" w:ascii="宋体" w:hAnsi="宋体" w:eastAsia="宋体"/>
      <w:b/>
      <w:sz w:val="30"/>
      <w:szCs w:val="24"/>
    </w:rPr>
  </w:style>
  <w:style w:type="character" w:customStyle="1" w:styleId="36">
    <w:name w:val="NormalCharacter"/>
    <w:unhideWhenUsed/>
    <w:qFormat/>
    <w:uiPriority w:val="0"/>
    <w:rPr>
      <w:rFonts w:hint="default"/>
      <w:sz w:val="24"/>
      <w:szCs w:val="24"/>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 w:type="paragraph" w:customStyle="1" w:styleId="3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oleObject" Target="embeddings/oleObject8.bin"/><Relationship Id="rId31" Type="http://schemas.openxmlformats.org/officeDocument/2006/relationships/oleObject" Target="embeddings/oleObject7.bin"/><Relationship Id="rId30" Type="http://schemas.openxmlformats.org/officeDocument/2006/relationships/oleObject" Target="embeddings/oleObject6.bin"/><Relationship Id="rId3" Type="http://schemas.openxmlformats.org/officeDocument/2006/relationships/footer" Target="footer1.xml"/><Relationship Id="rId29" Type="http://schemas.openxmlformats.org/officeDocument/2006/relationships/oleObject" Target="embeddings/oleObject5.bin"/><Relationship Id="rId28" Type="http://schemas.openxmlformats.org/officeDocument/2006/relationships/oleObject" Target="embeddings/oleObject4.bin"/><Relationship Id="rId27" Type="http://schemas.openxmlformats.org/officeDocument/2006/relationships/oleObject" Target="embeddings/oleObject3.bin"/><Relationship Id="rId26" Type="http://schemas.openxmlformats.org/officeDocument/2006/relationships/oleObject" Target="embeddings/oleObject2.bin"/><Relationship Id="rId25" Type="http://schemas.openxmlformats.org/officeDocument/2006/relationships/image" Target="media/image1.wmf"/><Relationship Id="rId24" Type="http://schemas.openxmlformats.org/officeDocument/2006/relationships/oleObject" Target="embeddings/oleObject1.bin"/><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10873</Words>
  <Characters>11619</Characters>
  <TotalTime>39</TotalTime>
  <ScaleCrop>false</ScaleCrop>
  <LinksUpToDate>false</LinksUpToDate>
  <CharactersWithSpaces>11944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建成工程咨询股份有限公司</cp:lastModifiedBy>
  <dcterms:modified xsi:type="dcterms:W3CDTF">2025-05-15T08:12:25Z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E2D9295BE37741DAB973369EE77A87F8_13</vt:lpwstr>
  </property>
  <property fmtid="{D5CDD505-2E9C-101B-9397-08002B2CF9AE}" pid="4" name="KSOTemplateDocerSaveRecord">
    <vt:lpwstr>eyJoZGlkIjoiOGY3NThlNjIxMjkzYzQ1NzM1NmYxMjUyNmYwMmE3ZjEiLCJ1c2VySWQiOiIxOTA3MjQxMCJ9</vt:lpwstr>
  </property>
</Properties>
</file>