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36A36">
      <w:pPr>
        <w:spacing w:line="360" w:lineRule="auto"/>
        <w:rPr>
          <w:rStyle w:val="122"/>
          <w:rFonts w:ascii="宋体" w:hAnsi="宋体"/>
          <w:color w:val="auto"/>
          <w:sz w:val="32"/>
        </w:rPr>
      </w:pPr>
    </w:p>
    <w:p w14:paraId="78EC1DFB">
      <w:pPr>
        <w:pStyle w:val="31"/>
        <w:rPr>
          <w:color w:val="auto"/>
        </w:rPr>
      </w:pPr>
    </w:p>
    <w:p w14:paraId="71BF67A6">
      <w:pPr>
        <w:widowControl w:val="0"/>
        <w:spacing w:line="360" w:lineRule="auto"/>
        <w:jc w:val="center"/>
        <w:textAlignment w:val="auto"/>
        <w:rPr>
          <w:rFonts w:ascii="宋体" w:hAnsi="宋体"/>
          <w:b/>
          <w:bCs/>
          <w:color w:val="auto"/>
          <w:spacing w:val="26"/>
          <w:sz w:val="44"/>
          <w:szCs w:val="72"/>
        </w:rPr>
      </w:pPr>
      <w:r>
        <w:rPr>
          <w:rFonts w:hint="eastAsia" w:ascii="宋体" w:hAnsi="宋体"/>
          <w:b/>
          <w:bCs/>
          <w:color w:val="auto"/>
          <w:spacing w:val="26"/>
          <w:sz w:val="44"/>
          <w:szCs w:val="72"/>
        </w:rPr>
        <w:t>杰赛科技产业园建设项目（一期）精装修工程施工专业承包</w:t>
      </w:r>
    </w:p>
    <w:p w14:paraId="7792AB79">
      <w:pPr>
        <w:widowControl w:val="0"/>
        <w:spacing w:line="360" w:lineRule="auto"/>
        <w:jc w:val="center"/>
        <w:textAlignment w:val="auto"/>
        <w:rPr>
          <w:rFonts w:ascii="宋体" w:hAnsi="宋体"/>
          <w:b/>
          <w:bCs/>
          <w:color w:val="auto"/>
          <w:spacing w:val="26"/>
          <w:sz w:val="44"/>
          <w:szCs w:val="72"/>
        </w:rPr>
      </w:pPr>
    </w:p>
    <w:p w14:paraId="4D9C7C8C">
      <w:pPr>
        <w:spacing w:line="360" w:lineRule="auto"/>
        <w:rPr>
          <w:rFonts w:ascii="宋体" w:hAnsi="宋体"/>
          <w:b/>
          <w:bCs/>
          <w:color w:val="auto"/>
          <w:spacing w:val="26"/>
          <w:sz w:val="52"/>
          <w:szCs w:val="110"/>
        </w:rPr>
      </w:pPr>
    </w:p>
    <w:p w14:paraId="6C539994">
      <w:pPr>
        <w:spacing w:line="360" w:lineRule="auto"/>
        <w:rPr>
          <w:rFonts w:ascii="宋体" w:hAnsi="宋体"/>
          <w:b/>
          <w:bCs/>
          <w:color w:val="auto"/>
          <w:spacing w:val="26"/>
          <w:sz w:val="52"/>
          <w:szCs w:val="110"/>
        </w:rPr>
      </w:pPr>
    </w:p>
    <w:p w14:paraId="3C7B765A">
      <w:pPr>
        <w:spacing w:line="360" w:lineRule="auto"/>
        <w:rPr>
          <w:rFonts w:ascii="宋体" w:hAnsi="宋体"/>
          <w:b/>
          <w:bCs/>
          <w:color w:val="auto"/>
          <w:spacing w:val="26"/>
          <w:sz w:val="44"/>
          <w:szCs w:val="110"/>
        </w:rPr>
      </w:pPr>
    </w:p>
    <w:p w14:paraId="3BF7FC96">
      <w:pPr>
        <w:spacing w:line="360" w:lineRule="auto"/>
        <w:jc w:val="center"/>
        <w:rPr>
          <w:rFonts w:ascii="宋体" w:hAnsi="宋体"/>
          <w:b/>
          <w:bCs/>
          <w:color w:val="auto"/>
          <w:spacing w:val="26"/>
          <w:sz w:val="110"/>
          <w:szCs w:val="110"/>
        </w:rPr>
      </w:pPr>
      <w:r>
        <w:rPr>
          <w:rFonts w:hint="eastAsia" w:ascii="宋体" w:hAnsi="宋体"/>
          <w:b/>
          <w:bCs/>
          <w:color w:val="auto"/>
          <w:spacing w:val="26"/>
          <w:sz w:val="110"/>
          <w:szCs w:val="110"/>
        </w:rPr>
        <w:t>招标文件</w:t>
      </w:r>
    </w:p>
    <w:p w14:paraId="4317A855">
      <w:pPr>
        <w:spacing w:line="360" w:lineRule="auto"/>
        <w:ind w:firstLine="2560" w:firstLineChars="800"/>
        <w:rPr>
          <w:rFonts w:ascii="宋体" w:hAnsi="宋体"/>
          <w:color w:val="auto"/>
          <w:sz w:val="32"/>
        </w:rPr>
      </w:pPr>
    </w:p>
    <w:p w14:paraId="1F13B421">
      <w:pPr>
        <w:spacing w:line="360" w:lineRule="auto"/>
        <w:rPr>
          <w:rFonts w:ascii="宋体" w:hAnsi="宋体"/>
          <w:color w:val="auto"/>
          <w:sz w:val="52"/>
        </w:rPr>
      </w:pPr>
    </w:p>
    <w:p w14:paraId="5667AAC0">
      <w:pPr>
        <w:spacing w:line="360" w:lineRule="auto"/>
        <w:rPr>
          <w:rFonts w:ascii="宋体" w:hAnsi="宋体"/>
          <w:color w:val="auto"/>
          <w:sz w:val="52"/>
        </w:rPr>
      </w:pPr>
    </w:p>
    <w:p w14:paraId="377ECA84">
      <w:pPr>
        <w:spacing w:line="360" w:lineRule="auto"/>
        <w:rPr>
          <w:rFonts w:ascii="宋体" w:hAnsi="宋体"/>
          <w:color w:val="auto"/>
          <w:sz w:val="52"/>
        </w:rPr>
      </w:pPr>
    </w:p>
    <w:p w14:paraId="29DE54F3">
      <w:pPr>
        <w:autoSpaceDE w:val="0"/>
        <w:autoSpaceDN w:val="0"/>
        <w:adjustRightInd w:val="0"/>
        <w:spacing w:line="360" w:lineRule="auto"/>
        <w:ind w:firstLine="707" w:firstLineChars="220"/>
        <w:jc w:val="left"/>
        <w:rPr>
          <w:rFonts w:ascii="宋体" w:hAnsi="宋体"/>
          <w:b/>
          <w:bCs/>
          <w:color w:val="auto"/>
          <w:sz w:val="32"/>
          <w:szCs w:val="32"/>
          <w:u w:val="single"/>
        </w:rPr>
      </w:pPr>
      <w:r>
        <w:rPr>
          <w:rFonts w:hint="eastAsia" w:ascii="宋体" w:hAnsi="宋体" w:cs="宋体"/>
          <w:b/>
          <w:bCs/>
          <w:color w:val="auto"/>
          <w:sz w:val="32"/>
          <w:szCs w:val="30"/>
          <w:lang w:val="zh-CN"/>
        </w:rPr>
        <w:t>招</w:t>
      </w:r>
      <w:r>
        <w:rPr>
          <w:rFonts w:ascii="宋体" w:hAnsi="宋体" w:cs="宋体"/>
          <w:b/>
          <w:bCs/>
          <w:color w:val="auto"/>
          <w:sz w:val="32"/>
          <w:szCs w:val="30"/>
          <w:lang w:val="zh-CN"/>
        </w:rPr>
        <w:t xml:space="preserve">   </w:t>
      </w:r>
      <w:r>
        <w:rPr>
          <w:rFonts w:hint="eastAsia" w:ascii="宋体" w:hAnsi="宋体" w:cs="宋体"/>
          <w:b/>
          <w:bCs/>
          <w:color w:val="auto"/>
          <w:sz w:val="32"/>
          <w:szCs w:val="30"/>
          <w:lang w:val="zh-CN"/>
        </w:rPr>
        <w:t>标</w:t>
      </w:r>
      <w:r>
        <w:rPr>
          <w:rFonts w:ascii="宋体" w:hAnsi="宋体" w:cs="宋体"/>
          <w:b/>
          <w:bCs/>
          <w:color w:val="auto"/>
          <w:sz w:val="32"/>
          <w:szCs w:val="30"/>
          <w:lang w:val="zh-CN"/>
        </w:rPr>
        <w:t xml:space="preserve">   </w:t>
      </w:r>
      <w:r>
        <w:rPr>
          <w:rFonts w:hint="eastAsia" w:ascii="宋体" w:hAnsi="宋体" w:cs="宋体"/>
          <w:b/>
          <w:bCs/>
          <w:color w:val="auto"/>
          <w:sz w:val="32"/>
          <w:szCs w:val="30"/>
          <w:lang w:val="zh-CN"/>
        </w:rPr>
        <w:t>人：</w:t>
      </w:r>
      <w:r>
        <w:rPr>
          <w:rFonts w:hint="eastAsia" w:ascii="宋体" w:hAnsi="宋体" w:cs="宋体"/>
          <w:b/>
          <w:bCs/>
          <w:color w:val="auto"/>
          <w:sz w:val="32"/>
          <w:szCs w:val="30"/>
          <w:u w:val="single"/>
          <w:lang w:val="zh-CN"/>
        </w:rPr>
        <w:t>中电科普天科技股份有限公司</w:t>
      </w:r>
    </w:p>
    <w:p w14:paraId="3343EEB6">
      <w:pPr>
        <w:autoSpaceDE w:val="0"/>
        <w:autoSpaceDN w:val="0"/>
        <w:adjustRightInd w:val="0"/>
        <w:spacing w:line="360" w:lineRule="auto"/>
        <w:ind w:firstLine="707" w:firstLineChars="220"/>
        <w:jc w:val="left"/>
        <w:rPr>
          <w:rFonts w:ascii="宋体" w:hAnsi="宋体" w:cs="宋体"/>
          <w:b/>
          <w:bCs/>
          <w:color w:val="auto"/>
          <w:sz w:val="32"/>
          <w:szCs w:val="30"/>
        </w:rPr>
      </w:pPr>
      <w:r>
        <w:rPr>
          <w:rFonts w:hint="eastAsia" w:ascii="宋体" w:hAnsi="宋体" w:cs="宋体"/>
          <w:b/>
          <w:bCs/>
          <w:color w:val="auto"/>
          <w:sz w:val="32"/>
          <w:szCs w:val="30"/>
          <w:lang w:val="zh-CN"/>
        </w:rPr>
        <w:t>招标代理机构：</w:t>
      </w:r>
      <w:r>
        <w:rPr>
          <w:rFonts w:hint="eastAsia" w:ascii="宋体" w:hAnsi="宋体"/>
          <w:b/>
          <w:bCs/>
          <w:color w:val="auto"/>
          <w:sz w:val="32"/>
          <w:szCs w:val="32"/>
          <w:u w:val="single"/>
        </w:rPr>
        <w:t>广东省机电设备招标有限公司</w:t>
      </w:r>
    </w:p>
    <w:p w14:paraId="29341C56">
      <w:pPr>
        <w:spacing w:line="360" w:lineRule="auto"/>
        <w:ind w:firstLine="707" w:firstLineChars="220"/>
        <w:rPr>
          <w:rFonts w:ascii="宋体" w:hAnsi="宋体"/>
          <w:color w:val="auto"/>
          <w:sz w:val="32"/>
        </w:rPr>
      </w:pPr>
      <w:r>
        <w:rPr>
          <w:rFonts w:hint="eastAsia" w:ascii="宋体" w:hAnsi="宋体" w:cs="宋体"/>
          <w:b/>
          <w:bCs/>
          <w:color w:val="auto"/>
          <w:sz w:val="32"/>
          <w:szCs w:val="30"/>
          <w:lang w:val="zh-CN"/>
        </w:rPr>
        <w:t>日</w:t>
      </w:r>
      <w:r>
        <w:rPr>
          <w:rFonts w:ascii="宋体" w:hAnsi="宋体" w:cs="宋体"/>
          <w:b/>
          <w:bCs/>
          <w:color w:val="auto"/>
          <w:sz w:val="32"/>
          <w:szCs w:val="30"/>
          <w:lang w:val="zh-CN"/>
        </w:rPr>
        <w:t xml:space="preserve">        </w:t>
      </w:r>
      <w:r>
        <w:rPr>
          <w:rFonts w:hint="eastAsia" w:ascii="宋体" w:hAnsi="宋体" w:cs="宋体"/>
          <w:b/>
          <w:bCs/>
          <w:color w:val="auto"/>
          <w:sz w:val="32"/>
          <w:szCs w:val="30"/>
          <w:lang w:val="zh-CN"/>
        </w:rPr>
        <w:t>期：</w:t>
      </w:r>
      <w:r>
        <w:rPr>
          <w:rFonts w:hint="eastAsia" w:ascii="宋体" w:hAnsi="宋体" w:cs="宋体"/>
          <w:b/>
          <w:bCs/>
          <w:color w:val="auto"/>
          <w:sz w:val="32"/>
          <w:szCs w:val="30"/>
          <w:u w:val="single"/>
          <w:lang w:val="zh-CN"/>
        </w:rPr>
        <w:t>202</w:t>
      </w:r>
      <w:r>
        <w:rPr>
          <w:rFonts w:hint="eastAsia" w:ascii="宋体" w:hAnsi="宋体" w:cs="宋体"/>
          <w:b/>
          <w:bCs/>
          <w:color w:val="auto"/>
          <w:sz w:val="32"/>
          <w:szCs w:val="30"/>
          <w:u w:val="single"/>
        </w:rPr>
        <w:t>5</w:t>
      </w:r>
      <w:r>
        <w:rPr>
          <w:rFonts w:hint="eastAsia" w:ascii="宋体" w:hAnsi="宋体" w:cs="宋体"/>
          <w:b/>
          <w:bCs/>
          <w:color w:val="auto"/>
          <w:sz w:val="32"/>
          <w:szCs w:val="30"/>
          <w:lang w:val="zh-CN"/>
        </w:rPr>
        <w:t>年</w:t>
      </w:r>
      <w:r>
        <w:rPr>
          <w:rFonts w:ascii="宋体" w:hAnsi="宋体" w:cs="宋体"/>
          <w:b/>
          <w:bCs/>
          <w:color w:val="auto"/>
          <w:sz w:val="32"/>
          <w:szCs w:val="30"/>
          <w:u w:val="single"/>
        </w:rPr>
        <w:t>5</w:t>
      </w:r>
      <w:r>
        <w:rPr>
          <w:rFonts w:hint="eastAsia" w:ascii="宋体" w:hAnsi="宋体" w:cs="宋体"/>
          <w:b/>
          <w:bCs/>
          <w:color w:val="auto"/>
          <w:sz w:val="32"/>
          <w:szCs w:val="30"/>
          <w:lang w:val="zh-CN"/>
        </w:rPr>
        <w:t>月</w:t>
      </w:r>
    </w:p>
    <w:p w14:paraId="370AB674">
      <w:pPr>
        <w:spacing w:line="360" w:lineRule="auto"/>
        <w:ind w:firstLine="960" w:firstLineChars="300"/>
        <w:rPr>
          <w:rStyle w:val="122"/>
          <w:rFonts w:ascii="宋体" w:hAnsi="宋体"/>
          <w:color w:val="auto"/>
          <w:sz w:val="32"/>
        </w:rPr>
      </w:pPr>
    </w:p>
    <w:p w14:paraId="27D116CD">
      <w:pPr>
        <w:spacing w:line="360" w:lineRule="auto"/>
        <w:ind w:firstLine="632" w:firstLineChars="300"/>
        <w:jc w:val="center"/>
        <w:rPr>
          <w:rStyle w:val="29"/>
          <w:rFonts w:ascii="宋体" w:hAnsi="宋体" w:eastAsia="宋体" w:cs="微软雅黑"/>
          <w:b/>
          <w:bCs/>
          <w:color w:val="auto"/>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247" w:right="1418" w:bottom="1134" w:left="1418" w:header="851" w:footer="907" w:gutter="0"/>
          <w:pgNumType w:fmt="decimal"/>
          <w:cols w:space="720" w:num="1"/>
          <w:titlePg/>
          <w:docGrid w:type="lines" w:linePitch="312" w:charSpace="0"/>
        </w:sectPr>
      </w:pPr>
    </w:p>
    <w:p w14:paraId="672CB8C8">
      <w:pPr>
        <w:pStyle w:val="31"/>
        <w:rPr>
          <w:color w:val="auto"/>
        </w:rPr>
      </w:pPr>
    </w:p>
    <w:p w14:paraId="3CEF100B">
      <w:pPr>
        <w:spacing w:line="480" w:lineRule="auto"/>
        <w:jc w:val="center"/>
        <w:rPr>
          <w:rStyle w:val="29"/>
          <w:rFonts w:ascii="宋体" w:hAnsi="宋体" w:eastAsia="宋体" w:cs="宋体"/>
          <w:b/>
          <w:bCs/>
          <w:color w:val="auto"/>
          <w:sz w:val="28"/>
          <w:szCs w:val="28"/>
        </w:rPr>
      </w:pPr>
      <w:r>
        <w:rPr>
          <w:rStyle w:val="29"/>
          <w:rFonts w:ascii="宋体" w:hAnsi="宋体" w:eastAsia="宋体" w:cs="宋体"/>
          <w:b/>
          <w:bCs/>
          <w:color w:val="auto"/>
          <w:sz w:val="28"/>
          <w:szCs w:val="28"/>
        </w:rPr>
        <w:t>目录</w:t>
      </w:r>
    </w:p>
    <w:p w14:paraId="02829D38">
      <w:pPr>
        <w:pStyle w:val="17"/>
        <w:tabs>
          <w:tab w:val="right" w:leader="dot" w:pos="9070"/>
        </w:tabs>
        <w:spacing w:line="360" w:lineRule="auto"/>
        <w:rPr>
          <w:color w:val="auto"/>
          <w:sz w:val="24"/>
          <w:szCs w:val="28"/>
        </w:rPr>
      </w:pPr>
      <w:r>
        <w:rPr>
          <w:rFonts w:ascii="宋体" w:hAnsi="宋体"/>
          <w:color w:val="auto"/>
          <w:sz w:val="24"/>
          <w:szCs w:val="24"/>
        </w:rPr>
        <w:fldChar w:fldCharType="begin"/>
      </w:r>
      <w:r>
        <w:rPr>
          <w:rFonts w:ascii="宋体" w:hAnsi="宋体"/>
          <w:color w:val="auto"/>
          <w:sz w:val="24"/>
          <w:szCs w:val="24"/>
        </w:rPr>
        <w:instrText xml:space="preserve"> TOC \o "1-3" \h \z \u </w:instrText>
      </w:r>
      <w:r>
        <w:rPr>
          <w:rFonts w:ascii="宋体" w:hAnsi="宋体"/>
          <w:color w:val="auto"/>
          <w:sz w:val="24"/>
          <w:szCs w:val="24"/>
        </w:rPr>
        <w:fldChar w:fldCharType="separate"/>
      </w:r>
      <w:r>
        <w:rPr>
          <w:color w:val="auto"/>
        </w:rPr>
        <w:fldChar w:fldCharType="begin"/>
      </w:r>
      <w:r>
        <w:rPr>
          <w:color w:val="auto"/>
        </w:rPr>
        <w:instrText xml:space="preserve"> HYPERLINK \l "_Toc2851" </w:instrText>
      </w:r>
      <w:r>
        <w:rPr>
          <w:color w:val="auto"/>
        </w:rPr>
        <w:fldChar w:fldCharType="separate"/>
      </w:r>
      <w:r>
        <w:rPr>
          <w:rFonts w:ascii="宋体" w:hAnsi="宋体"/>
          <w:bCs/>
          <w:color w:val="auto"/>
          <w:sz w:val="24"/>
          <w:szCs w:val="28"/>
        </w:rPr>
        <w:t>第一章  投标须知</w:t>
      </w:r>
      <w:r>
        <w:rPr>
          <w:color w:val="auto"/>
          <w:sz w:val="24"/>
          <w:szCs w:val="28"/>
        </w:rPr>
        <w:tab/>
      </w:r>
      <w:r>
        <w:rPr>
          <w:color w:val="auto"/>
          <w:sz w:val="24"/>
          <w:szCs w:val="28"/>
        </w:rPr>
        <w:fldChar w:fldCharType="begin"/>
      </w:r>
      <w:r>
        <w:rPr>
          <w:color w:val="auto"/>
          <w:sz w:val="24"/>
          <w:szCs w:val="28"/>
        </w:rPr>
        <w:instrText xml:space="preserve"> PAGEREF _Toc2851 \h </w:instrText>
      </w:r>
      <w:r>
        <w:rPr>
          <w:color w:val="auto"/>
          <w:sz w:val="24"/>
          <w:szCs w:val="28"/>
        </w:rPr>
        <w:fldChar w:fldCharType="separate"/>
      </w:r>
      <w:r>
        <w:rPr>
          <w:color w:val="auto"/>
          <w:sz w:val="24"/>
          <w:szCs w:val="28"/>
        </w:rPr>
        <w:t>3</w:t>
      </w:r>
      <w:r>
        <w:rPr>
          <w:color w:val="auto"/>
          <w:sz w:val="24"/>
          <w:szCs w:val="28"/>
        </w:rPr>
        <w:fldChar w:fldCharType="end"/>
      </w:r>
      <w:r>
        <w:rPr>
          <w:color w:val="auto"/>
          <w:sz w:val="24"/>
          <w:szCs w:val="28"/>
        </w:rPr>
        <w:fldChar w:fldCharType="end"/>
      </w:r>
    </w:p>
    <w:p w14:paraId="6B649C5F">
      <w:pPr>
        <w:pStyle w:val="18"/>
        <w:tabs>
          <w:tab w:val="right" w:leader="dot" w:pos="9070"/>
        </w:tabs>
        <w:spacing w:line="360" w:lineRule="auto"/>
        <w:rPr>
          <w:color w:val="auto"/>
          <w:sz w:val="24"/>
          <w:szCs w:val="28"/>
        </w:rPr>
      </w:pPr>
      <w:r>
        <w:rPr>
          <w:color w:val="auto"/>
        </w:rPr>
        <w:fldChar w:fldCharType="begin"/>
      </w:r>
      <w:r>
        <w:rPr>
          <w:color w:val="auto"/>
        </w:rPr>
        <w:instrText xml:space="preserve"> HYPERLINK \l "_Toc8260" </w:instrText>
      </w:r>
      <w:r>
        <w:rPr>
          <w:color w:val="auto"/>
        </w:rPr>
        <w:fldChar w:fldCharType="separate"/>
      </w:r>
      <w:r>
        <w:rPr>
          <w:rFonts w:ascii="宋体" w:hAnsi="宋体"/>
          <w:color w:val="auto"/>
          <w:sz w:val="24"/>
          <w:szCs w:val="24"/>
        </w:rPr>
        <w:t>一、投标须知前附表</w:t>
      </w:r>
      <w:r>
        <w:rPr>
          <w:color w:val="auto"/>
          <w:sz w:val="24"/>
          <w:szCs w:val="28"/>
        </w:rPr>
        <w:tab/>
      </w:r>
      <w:r>
        <w:rPr>
          <w:color w:val="auto"/>
          <w:sz w:val="24"/>
          <w:szCs w:val="28"/>
        </w:rPr>
        <w:fldChar w:fldCharType="begin"/>
      </w:r>
      <w:r>
        <w:rPr>
          <w:color w:val="auto"/>
          <w:sz w:val="24"/>
          <w:szCs w:val="28"/>
        </w:rPr>
        <w:instrText xml:space="preserve"> PAGEREF _Toc8260 \h </w:instrText>
      </w:r>
      <w:r>
        <w:rPr>
          <w:color w:val="auto"/>
          <w:sz w:val="24"/>
          <w:szCs w:val="28"/>
        </w:rPr>
        <w:fldChar w:fldCharType="separate"/>
      </w:r>
      <w:r>
        <w:rPr>
          <w:color w:val="auto"/>
          <w:sz w:val="24"/>
          <w:szCs w:val="28"/>
        </w:rPr>
        <w:t>3</w:t>
      </w:r>
      <w:r>
        <w:rPr>
          <w:color w:val="auto"/>
          <w:sz w:val="24"/>
          <w:szCs w:val="28"/>
        </w:rPr>
        <w:fldChar w:fldCharType="end"/>
      </w:r>
      <w:r>
        <w:rPr>
          <w:color w:val="auto"/>
          <w:sz w:val="24"/>
          <w:szCs w:val="28"/>
        </w:rPr>
        <w:fldChar w:fldCharType="end"/>
      </w:r>
    </w:p>
    <w:p w14:paraId="17393098">
      <w:pPr>
        <w:pStyle w:val="18"/>
        <w:tabs>
          <w:tab w:val="right" w:leader="dot" w:pos="9070"/>
        </w:tabs>
        <w:spacing w:line="360" w:lineRule="auto"/>
        <w:rPr>
          <w:color w:val="auto"/>
          <w:sz w:val="24"/>
          <w:szCs w:val="28"/>
        </w:rPr>
      </w:pPr>
      <w:r>
        <w:rPr>
          <w:color w:val="auto"/>
        </w:rPr>
        <w:fldChar w:fldCharType="begin"/>
      </w:r>
      <w:r>
        <w:rPr>
          <w:color w:val="auto"/>
        </w:rPr>
        <w:instrText xml:space="preserve"> HYPERLINK \l "_Toc10643" </w:instrText>
      </w:r>
      <w:r>
        <w:rPr>
          <w:color w:val="auto"/>
        </w:rPr>
        <w:fldChar w:fldCharType="separate"/>
      </w:r>
      <w:r>
        <w:rPr>
          <w:rFonts w:ascii="宋体" w:hAnsi="宋体"/>
          <w:color w:val="auto"/>
          <w:sz w:val="24"/>
          <w:szCs w:val="28"/>
        </w:rPr>
        <w:t>二、投标须知修改表</w:t>
      </w:r>
      <w:r>
        <w:rPr>
          <w:color w:val="auto"/>
          <w:sz w:val="24"/>
          <w:szCs w:val="28"/>
        </w:rPr>
        <w:tab/>
      </w:r>
      <w:r>
        <w:rPr>
          <w:color w:val="auto"/>
          <w:sz w:val="24"/>
          <w:szCs w:val="28"/>
        </w:rPr>
        <w:fldChar w:fldCharType="begin"/>
      </w:r>
      <w:r>
        <w:rPr>
          <w:color w:val="auto"/>
          <w:sz w:val="24"/>
          <w:szCs w:val="28"/>
        </w:rPr>
        <w:instrText xml:space="preserve"> PAGEREF _Toc10643 \h </w:instrText>
      </w:r>
      <w:r>
        <w:rPr>
          <w:color w:val="auto"/>
          <w:sz w:val="24"/>
          <w:szCs w:val="28"/>
        </w:rPr>
        <w:fldChar w:fldCharType="separate"/>
      </w:r>
      <w:r>
        <w:rPr>
          <w:color w:val="auto"/>
          <w:sz w:val="24"/>
          <w:szCs w:val="28"/>
        </w:rPr>
        <w:t>10</w:t>
      </w:r>
      <w:r>
        <w:rPr>
          <w:color w:val="auto"/>
          <w:sz w:val="24"/>
          <w:szCs w:val="28"/>
        </w:rPr>
        <w:fldChar w:fldCharType="end"/>
      </w:r>
      <w:r>
        <w:rPr>
          <w:color w:val="auto"/>
          <w:sz w:val="24"/>
          <w:szCs w:val="28"/>
        </w:rPr>
        <w:fldChar w:fldCharType="end"/>
      </w:r>
    </w:p>
    <w:p w14:paraId="7A16DE57">
      <w:pPr>
        <w:pStyle w:val="18"/>
        <w:tabs>
          <w:tab w:val="right" w:leader="dot" w:pos="9070"/>
        </w:tabs>
        <w:spacing w:line="360" w:lineRule="auto"/>
        <w:rPr>
          <w:color w:val="auto"/>
          <w:sz w:val="24"/>
          <w:szCs w:val="28"/>
        </w:rPr>
      </w:pPr>
      <w:r>
        <w:rPr>
          <w:color w:val="auto"/>
        </w:rPr>
        <w:fldChar w:fldCharType="begin"/>
      </w:r>
      <w:r>
        <w:rPr>
          <w:color w:val="auto"/>
        </w:rPr>
        <w:instrText xml:space="preserve"> HYPERLINK \l "_Toc20070" </w:instrText>
      </w:r>
      <w:r>
        <w:rPr>
          <w:color w:val="auto"/>
        </w:rPr>
        <w:fldChar w:fldCharType="separate"/>
      </w:r>
      <w:r>
        <w:rPr>
          <w:rFonts w:ascii="宋体" w:hAnsi="宋体"/>
          <w:color w:val="auto"/>
          <w:sz w:val="24"/>
          <w:szCs w:val="28"/>
        </w:rPr>
        <w:t>三、投标须知通用条款</w:t>
      </w:r>
      <w:r>
        <w:rPr>
          <w:color w:val="auto"/>
          <w:sz w:val="24"/>
          <w:szCs w:val="28"/>
        </w:rPr>
        <w:tab/>
      </w:r>
      <w:r>
        <w:rPr>
          <w:color w:val="auto"/>
          <w:sz w:val="24"/>
          <w:szCs w:val="28"/>
        </w:rPr>
        <w:fldChar w:fldCharType="begin"/>
      </w:r>
      <w:r>
        <w:rPr>
          <w:color w:val="auto"/>
          <w:sz w:val="24"/>
          <w:szCs w:val="28"/>
        </w:rPr>
        <w:instrText xml:space="preserve"> PAGEREF _Toc20070 \h </w:instrText>
      </w:r>
      <w:r>
        <w:rPr>
          <w:color w:val="auto"/>
          <w:sz w:val="24"/>
          <w:szCs w:val="28"/>
        </w:rPr>
        <w:fldChar w:fldCharType="separate"/>
      </w:r>
      <w:r>
        <w:rPr>
          <w:color w:val="auto"/>
          <w:sz w:val="24"/>
          <w:szCs w:val="28"/>
        </w:rPr>
        <w:t>18</w:t>
      </w:r>
      <w:r>
        <w:rPr>
          <w:color w:val="auto"/>
          <w:sz w:val="24"/>
          <w:szCs w:val="28"/>
        </w:rPr>
        <w:fldChar w:fldCharType="end"/>
      </w:r>
      <w:r>
        <w:rPr>
          <w:color w:val="auto"/>
          <w:sz w:val="24"/>
          <w:szCs w:val="28"/>
        </w:rPr>
        <w:fldChar w:fldCharType="end"/>
      </w:r>
    </w:p>
    <w:p w14:paraId="076A973C">
      <w:pPr>
        <w:pStyle w:val="11"/>
        <w:tabs>
          <w:tab w:val="right" w:leader="dot" w:pos="9070"/>
        </w:tabs>
        <w:spacing w:line="360" w:lineRule="auto"/>
        <w:rPr>
          <w:color w:val="auto"/>
          <w:sz w:val="24"/>
          <w:szCs w:val="28"/>
        </w:rPr>
      </w:pPr>
      <w:r>
        <w:rPr>
          <w:color w:val="auto"/>
        </w:rPr>
        <w:fldChar w:fldCharType="begin"/>
      </w:r>
      <w:r>
        <w:rPr>
          <w:color w:val="auto"/>
        </w:rPr>
        <w:instrText xml:space="preserve"> HYPERLINK \l "_Toc18328" </w:instrText>
      </w:r>
      <w:r>
        <w:rPr>
          <w:color w:val="auto"/>
        </w:rPr>
        <w:fldChar w:fldCharType="separate"/>
      </w:r>
      <w:r>
        <w:rPr>
          <w:rFonts w:hint="eastAsia"/>
          <w:bCs/>
          <w:color w:val="auto"/>
          <w:sz w:val="24"/>
          <w:szCs w:val="24"/>
        </w:rPr>
        <w:t>（一）总则</w:t>
      </w:r>
      <w:r>
        <w:rPr>
          <w:color w:val="auto"/>
          <w:sz w:val="24"/>
          <w:szCs w:val="28"/>
        </w:rPr>
        <w:tab/>
      </w:r>
      <w:r>
        <w:rPr>
          <w:color w:val="auto"/>
          <w:sz w:val="24"/>
          <w:szCs w:val="28"/>
        </w:rPr>
        <w:fldChar w:fldCharType="begin"/>
      </w:r>
      <w:r>
        <w:rPr>
          <w:color w:val="auto"/>
          <w:sz w:val="24"/>
          <w:szCs w:val="28"/>
        </w:rPr>
        <w:instrText xml:space="preserve"> PAGEREF _Toc18328 \h </w:instrText>
      </w:r>
      <w:r>
        <w:rPr>
          <w:color w:val="auto"/>
          <w:sz w:val="24"/>
          <w:szCs w:val="28"/>
        </w:rPr>
        <w:fldChar w:fldCharType="separate"/>
      </w:r>
      <w:r>
        <w:rPr>
          <w:color w:val="auto"/>
          <w:sz w:val="24"/>
          <w:szCs w:val="28"/>
        </w:rPr>
        <w:t>18</w:t>
      </w:r>
      <w:r>
        <w:rPr>
          <w:color w:val="auto"/>
          <w:sz w:val="24"/>
          <w:szCs w:val="28"/>
        </w:rPr>
        <w:fldChar w:fldCharType="end"/>
      </w:r>
      <w:r>
        <w:rPr>
          <w:color w:val="auto"/>
          <w:sz w:val="24"/>
          <w:szCs w:val="28"/>
        </w:rPr>
        <w:fldChar w:fldCharType="end"/>
      </w:r>
    </w:p>
    <w:p w14:paraId="455A721F">
      <w:pPr>
        <w:pStyle w:val="11"/>
        <w:tabs>
          <w:tab w:val="right" w:leader="dot" w:pos="9070"/>
        </w:tabs>
        <w:spacing w:line="360" w:lineRule="auto"/>
        <w:rPr>
          <w:color w:val="auto"/>
          <w:sz w:val="24"/>
          <w:szCs w:val="28"/>
        </w:rPr>
      </w:pPr>
      <w:r>
        <w:rPr>
          <w:color w:val="auto"/>
        </w:rPr>
        <w:fldChar w:fldCharType="begin"/>
      </w:r>
      <w:r>
        <w:rPr>
          <w:color w:val="auto"/>
        </w:rPr>
        <w:instrText xml:space="preserve"> HYPERLINK \l "_Toc15029" </w:instrText>
      </w:r>
      <w:r>
        <w:rPr>
          <w:color w:val="auto"/>
        </w:rPr>
        <w:fldChar w:fldCharType="separate"/>
      </w:r>
      <w:r>
        <w:rPr>
          <w:rFonts w:hint="eastAsia"/>
          <w:bCs/>
          <w:color w:val="auto"/>
          <w:sz w:val="24"/>
          <w:szCs w:val="24"/>
        </w:rPr>
        <w:t>（二）招标文件</w:t>
      </w:r>
      <w:r>
        <w:rPr>
          <w:color w:val="auto"/>
          <w:sz w:val="24"/>
          <w:szCs w:val="28"/>
        </w:rPr>
        <w:tab/>
      </w:r>
      <w:r>
        <w:rPr>
          <w:color w:val="auto"/>
          <w:sz w:val="24"/>
          <w:szCs w:val="28"/>
        </w:rPr>
        <w:fldChar w:fldCharType="begin"/>
      </w:r>
      <w:r>
        <w:rPr>
          <w:color w:val="auto"/>
          <w:sz w:val="24"/>
          <w:szCs w:val="28"/>
        </w:rPr>
        <w:instrText xml:space="preserve"> PAGEREF _Toc15029 \h </w:instrText>
      </w:r>
      <w:r>
        <w:rPr>
          <w:color w:val="auto"/>
          <w:sz w:val="24"/>
          <w:szCs w:val="28"/>
        </w:rPr>
        <w:fldChar w:fldCharType="separate"/>
      </w:r>
      <w:r>
        <w:rPr>
          <w:color w:val="auto"/>
          <w:sz w:val="24"/>
          <w:szCs w:val="28"/>
        </w:rPr>
        <w:t>19</w:t>
      </w:r>
      <w:r>
        <w:rPr>
          <w:color w:val="auto"/>
          <w:sz w:val="24"/>
          <w:szCs w:val="28"/>
        </w:rPr>
        <w:fldChar w:fldCharType="end"/>
      </w:r>
      <w:r>
        <w:rPr>
          <w:color w:val="auto"/>
          <w:sz w:val="24"/>
          <w:szCs w:val="28"/>
        </w:rPr>
        <w:fldChar w:fldCharType="end"/>
      </w:r>
    </w:p>
    <w:p w14:paraId="66BF2FB3">
      <w:pPr>
        <w:pStyle w:val="11"/>
        <w:tabs>
          <w:tab w:val="right" w:leader="dot" w:pos="9070"/>
        </w:tabs>
        <w:spacing w:line="360" w:lineRule="auto"/>
        <w:rPr>
          <w:color w:val="auto"/>
          <w:sz w:val="24"/>
          <w:szCs w:val="28"/>
        </w:rPr>
      </w:pPr>
      <w:r>
        <w:rPr>
          <w:color w:val="auto"/>
        </w:rPr>
        <w:fldChar w:fldCharType="begin"/>
      </w:r>
      <w:r>
        <w:rPr>
          <w:color w:val="auto"/>
        </w:rPr>
        <w:instrText xml:space="preserve"> HYPERLINK \l "_Toc17459" </w:instrText>
      </w:r>
      <w:r>
        <w:rPr>
          <w:color w:val="auto"/>
        </w:rPr>
        <w:fldChar w:fldCharType="separate"/>
      </w:r>
      <w:r>
        <w:rPr>
          <w:rFonts w:hint="eastAsia"/>
          <w:bCs/>
          <w:color w:val="auto"/>
          <w:sz w:val="24"/>
          <w:szCs w:val="24"/>
        </w:rPr>
        <w:t>（三）投标文件的编制</w:t>
      </w:r>
      <w:r>
        <w:rPr>
          <w:color w:val="auto"/>
          <w:sz w:val="24"/>
          <w:szCs w:val="28"/>
        </w:rPr>
        <w:tab/>
      </w:r>
      <w:r>
        <w:rPr>
          <w:color w:val="auto"/>
          <w:sz w:val="24"/>
          <w:szCs w:val="28"/>
        </w:rPr>
        <w:fldChar w:fldCharType="begin"/>
      </w:r>
      <w:r>
        <w:rPr>
          <w:color w:val="auto"/>
          <w:sz w:val="24"/>
          <w:szCs w:val="28"/>
        </w:rPr>
        <w:instrText xml:space="preserve"> PAGEREF _Toc17459 \h </w:instrText>
      </w:r>
      <w:r>
        <w:rPr>
          <w:color w:val="auto"/>
          <w:sz w:val="24"/>
          <w:szCs w:val="28"/>
        </w:rPr>
        <w:fldChar w:fldCharType="separate"/>
      </w:r>
      <w:r>
        <w:rPr>
          <w:color w:val="auto"/>
          <w:sz w:val="24"/>
          <w:szCs w:val="28"/>
        </w:rPr>
        <w:t>20</w:t>
      </w:r>
      <w:r>
        <w:rPr>
          <w:color w:val="auto"/>
          <w:sz w:val="24"/>
          <w:szCs w:val="28"/>
        </w:rPr>
        <w:fldChar w:fldCharType="end"/>
      </w:r>
      <w:r>
        <w:rPr>
          <w:color w:val="auto"/>
          <w:sz w:val="24"/>
          <w:szCs w:val="28"/>
        </w:rPr>
        <w:fldChar w:fldCharType="end"/>
      </w:r>
    </w:p>
    <w:p w14:paraId="621E5097">
      <w:pPr>
        <w:pStyle w:val="11"/>
        <w:tabs>
          <w:tab w:val="right" w:leader="dot" w:pos="9070"/>
        </w:tabs>
        <w:spacing w:line="360" w:lineRule="auto"/>
        <w:rPr>
          <w:color w:val="auto"/>
          <w:sz w:val="24"/>
          <w:szCs w:val="28"/>
        </w:rPr>
      </w:pPr>
      <w:r>
        <w:rPr>
          <w:color w:val="auto"/>
        </w:rPr>
        <w:fldChar w:fldCharType="begin"/>
      </w:r>
      <w:r>
        <w:rPr>
          <w:color w:val="auto"/>
        </w:rPr>
        <w:instrText xml:space="preserve"> HYPERLINK \l "_Toc16997" </w:instrText>
      </w:r>
      <w:r>
        <w:rPr>
          <w:color w:val="auto"/>
        </w:rPr>
        <w:fldChar w:fldCharType="separate"/>
      </w:r>
      <w:r>
        <w:rPr>
          <w:rFonts w:hint="eastAsia"/>
          <w:bCs/>
          <w:color w:val="auto"/>
          <w:sz w:val="24"/>
          <w:szCs w:val="24"/>
        </w:rPr>
        <w:t>（四）投标文件的提交</w:t>
      </w:r>
      <w:r>
        <w:rPr>
          <w:color w:val="auto"/>
          <w:sz w:val="24"/>
          <w:szCs w:val="28"/>
        </w:rPr>
        <w:tab/>
      </w:r>
      <w:r>
        <w:rPr>
          <w:color w:val="auto"/>
          <w:sz w:val="24"/>
          <w:szCs w:val="28"/>
        </w:rPr>
        <w:fldChar w:fldCharType="begin"/>
      </w:r>
      <w:r>
        <w:rPr>
          <w:color w:val="auto"/>
          <w:sz w:val="24"/>
          <w:szCs w:val="28"/>
        </w:rPr>
        <w:instrText xml:space="preserve"> PAGEREF _Toc16997 \h </w:instrText>
      </w:r>
      <w:r>
        <w:rPr>
          <w:color w:val="auto"/>
          <w:sz w:val="24"/>
          <w:szCs w:val="28"/>
        </w:rPr>
        <w:fldChar w:fldCharType="separate"/>
      </w:r>
      <w:r>
        <w:rPr>
          <w:color w:val="auto"/>
          <w:sz w:val="24"/>
          <w:szCs w:val="28"/>
        </w:rPr>
        <w:t>27</w:t>
      </w:r>
      <w:r>
        <w:rPr>
          <w:color w:val="auto"/>
          <w:sz w:val="24"/>
          <w:szCs w:val="28"/>
        </w:rPr>
        <w:fldChar w:fldCharType="end"/>
      </w:r>
      <w:r>
        <w:rPr>
          <w:color w:val="auto"/>
          <w:sz w:val="24"/>
          <w:szCs w:val="28"/>
        </w:rPr>
        <w:fldChar w:fldCharType="end"/>
      </w:r>
    </w:p>
    <w:p w14:paraId="50EC34D2">
      <w:pPr>
        <w:pStyle w:val="11"/>
        <w:tabs>
          <w:tab w:val="right" w:leader="dot" w:pos="9070"/>
        </w:tabs>
        <w:spacing w:line="360" w:lineRule="auto"/>
        <w:rPr>
          <w:color w:val="auto"/>
          <w:sz w:val="24"/>
          <w:szCs w:val="28"/>
        </w:rPr>
      </w:pPr>
      <w:r>
        <w:rPr>
          <w:color w:val="auto"/>
        </w:rPr>
        <w:fldChar w:fldCharType="begin"/>
      </w:r>
      <w:r>
        <w:rPr>
          <w:color w:val="auto"/>
        </w:rPr>
        <w:instrText xml:space="preserve"> HYPERLINK \l "_Toc28222" </w:instrText>
      </w:r>
      <w:r>
        <w:rPr>
          <w:color w:val="auto"/>
        </w:rPr>
        <w:fldChar w:fldCharType="separate"/>
      </w:r>
      <w:r>
        <w:rPr>
          <w:rFonts w:hint="eastAsia"/>
          <w:bCs/>
          <w:color w:val="auto"/>
          <w:sz w:val="24"/>
          <w:szCs w:val="24"/>
        </w:rPr>
        <w:t>（五）开标、评标、定标及合同签定</w:t>
      </w:r>
      <w:r>
        <w:rPr>
          <w:color w:val="auto"/>
          <w:sz w:val="24"/>
          <w:szCs w:val="28"/>
        </w:rPr>
        <w:tab/>
      </w:r>
      <w:r>
        <w:rPr>
          <w:color w:val="auto"/>
          <w:sz w:val="24"/>
          <w:szCs w:val="28"/>
        </w:rPr>
        <w:fldChar w:fldCharType="begin"/>
      </w:r>
      <w:r>
        <w:rPr>
          <w:color w:val="auto"/>
          <w:sz w:val="24"/>
          <w:szCs w:val="28"/>
        </w:rPr>
        <w:instrText xml:space="preserve"> PAGEREF _Toc28222 \h </w:instrText>
      </w:r>
      <w:r>
        <w:rPr>
          <w:color w:val="auto"/>
          <w:sz w:val="24"/>
          <w:szCs w:val="28"/>
        </w:rPr>
        <w:fldChar w:fldCharType="separate"/>
      </w:r>
      <w:r>
        <w:rPr>
          <w:color w:val="auto"/>
          <w:sz w:val="24"/>
          <w:szCs w:val="28"/>
        </w:rPr>
        <w:t>28</w:t>
      </w:r>
      <w:r>
        <w:rPr>
          <w:color w:val="auto"/>
          <w:sz w:val="24"/>
          <w:szCs w:val="28"/>
        </w:rPr>
        <w:fldChar w:fldCharType="end"/>
      </w:r>
      <w:r>
        <w:rPr>
          <w:color w:val="auto"/>
          <w:sz w:val="24"/>
          <w:szCs w:val="28"/>
        </w:rPr>
        <w:fldChar w:fldCharType="end"/>
      </w:r>
    </w:p>
    <w:p w14:paraId="65499008">
      <w:pPr>
        <w:pStyle w:val="17"/>
        <w:tabs>
          <w:tab w:val="right" w:leader="dot" w:pos="9070"/>
        </w:tabs>
        <w:spacing w:line="360" w:lineRule="auto"/>
        <w:rPr>
          <w:color w:val="auto"/>
          <w:sz w:val="24"/>
          <w:szCs w:val="28"/>
        </w:rPr>
      </w:pPr>
      <w:r>
        <w:rPr>
          <w:color w:val="auto"/>
        </w:rPr>
        <w:fldChar w:fldCharType="begin"/>
      </w:r>
      <w:r>
        <w:rPr>
          <w:color w:val="auto"/>
        </w:rPr>
        <w:instrText xml:space="preserve"> HYPERLINK \l "_Toc21525" </w:instrText>
      </w:r>
      <w:r>
        <w:rPr>
          <w:color w:val="auto"/>
        </w:rPr>
        <w:fldChar w:fldCharType="separate"/>
      </w:r>
      <w:r>
        <w:rPr>
          <w:rFonts w:ascii="宋体" w:hAnsi="宋体"/>
          <w:bCs/>
          <w:color w:val="auto"/>
          <w:sz w:val="24"/>
          <w:szCs w:val="28"/>
        </w:rPr>
        <w:t>第二章  开标、评标及定标办法</w:t>
      </w:r>
      <w:r>
        <w:rPr>
          <w:color w:val="auto"/>
          <w:sz w:val="24"/>
          <w:szCs w:val="28"/>
        </w:rPr>
        <w:tab/>
      </w:r>
      <w:r>
        <w:rPr>
          <w:color w:val="auto"/>
          <w:sz w:val="24"/>
          <w:szCs w:val="28"/>
        </w:rPr>
        <w:fldChar w:fldCharType="begin"/>
      </w:r>
      <w:r>
        <w:rPr>
          <w:color w:val="auto"/>
          <w:sz w:val="24"/>
          <w:szCs w:val="28"/>
        </w:rPr>
        <w:instrText xml:space="preserve"> PAGEREF _Toc21525 \h </w:instrText>
      </w:r>
      <w:r>
        <w:rPr>
          <w:color w:val="auto"/>
          <w:sz w:val="24"/>
          <w:szCs w:val="28"/>
        </w:rPr>
        <w:fldChar w:fldCharType="separate"/>
      </w:r>
      <w:r>
        <w:rPr>
          <w:color w:val="auto"/>
          <w:sz w:val="24"/>
          <w:szCs w:val="28"/>
        </w:rPr>
        <w:t>31</w:t>
      </w:r>
      <w:r>
        <w:rPr>
          <w:color w:val="auto"/>
          <w:sz w:val="24"/>
          <w:szCs w:val="28"/>
        </w:rPr>
        <w:fldChar w:fldCharType="end"/>
      </w:r>
      <w:r>
        <w:rPr>
          <w:color w:val="auto"/>
          <w:sz w:val="24"/>
          <w:szCs w:val="28"/>
        </w:rPr>
        <w:fldChar w:fldCharType="end"/>
      </w:r>
    </w:p>
    <w:p w14:paraId="41701E6F">
      <w:pPr>
        <w:pStyle w:val="18"/>
        <w:tabs>
          <w:tab w:val="right" w:leader="dot" w:pos="9070"/>
        </w:tabs>
        <w:spacing w:line="360" w:lineRule="auto"/>
        <w:rPr>
          <w:color w:val="auto"/>
          <w:sz w:val="24"/>
          <w:szCs w:val="28"/>
        </w:rPr>
      </w:pPr>
      <w:r>
        <w:rPr>
          <w:color w:val="auto"/>
        </w:rPr>
        <w:fldChar w:fldCharType="begin"/>
      </w:r>
      <w:r>
        <w:rPr>
          <w:color w:val="auto"/>
        </w:rPr>
        <w:instrText xml:space="preserve"> HYPERLINK \l "_Toc4188" </w:instrText>
      </w:r>
      <w:r>
        <w:rPr>
          <w:color w:val="auto"/>
        </w:rPr>
        <w:fldChar w:fldCharType="separate"/>
      </w:r>
      <w:r>
        <w:rPr>
          <w:rFonts w:hint="eastAsia" w:ascii="宋体" w:hAnsi="宋体"/>
          <w:color w:val="auto"/>
          <w:sz w:val="24"/>
          <w:szCs w:val="24"/>
        </w:rPr>
        <w:t>一、开标、评标及定标办法修改表</w:t>
      </w:r>
      <w:r>
        <w:rPr>
          <w:color w:val="auto"/>
          <w:sz w:val="24"/>
          <w:szCs w:val="28"/>
        </w:rPr>
        <w:tab/>
      </w:r>
      <w:r>
        <w:rPr>
          <w:color w:val="auto"/>
          <w:sz w:val="24"/>
          <w:szCs w:val="28"/>
        </w:rPr>
        <w:fldChar w:fldCharType="begin"/>
      </w:r>
      <w:r>
        <w:rPr>
          <w:color w:val="auto"/>
          <w:sz w:val="24"/>
          <w:szCs w:val="28"/>
        </w:rPr>
        <w:instrText xml:space="preserve"> PAGEREF _Toc4188 \h </w:instrText>
      </w:r>
      <w:r>
        <w:rPr>
          <w:color w:val="auto"/>
          <w:sz w:val="24"/>
          <w:szCs w:val="28"/>
        </w:rPr>
        <w:fldChar w:fldCharType="separate"/>
      </w:r>
      <w:r>
        <w:rPr>
          <w:color w:val="auto"/>
          <w:sz w:val="24"/>
          <w:szCs w:val="28"/>
        </w:rPr>
        <w:t>31</w:t>
      </w:r>
      <w:r>
        <w:rPr>
          <w:color w:val="auto"/>
          <w:sz w:val="24"/>
          <w:szCs w:val="28"/>
        </w:rPr>
        <w:fldChar w:fldCharType="end"/>
      </w:r>
      <w:r>
        <w:rPr>
          <w:color w:val="auto"/>
          <w:sz w:val="24"/>
          <w:szCs w:val="28"/>
        </w:rPr>
        <w:fldChar w:fldCharType="end"/>
      </w:r>
    </w:p>
    <w:p w14:paraId="4BD1882E">
      <w:pPr>
        <w:pStyle w:val="18"/>
        <w:tabs>
          <w:tab w:val="right" w:leader="dot" w:pos="9070"/>
        </w:tabs>
        <w:spacing w:line="360" w:lineRule="auto"/>
        <w:rPr>
          <w:color w:val="auto"/>
          <w:sz w:val="24"/>
          <w:szCs w:val="28"/>
        </w:rPr>
      </w:pPr>
      <w:r>
        <w:rPr>
          <w:color w:val="auto"/>
        </w:rPr>
        <w:fldChar w:fldCharType="begin"/>
      </w:r>
      <w:r>
        <w:rPr>
          <w:color w:val="auto"/>
        </w:rPr>
        <w:instrText xml:space="preserve"> HYPERLINK \l "_Toc21590" </w:instrText>
      </w:r>
      <w:r>
        <w:rPr>
          <w:color w:val="auto"/>
        </w:rPr>
        <w:fldChar w:fldCharType="separate"/>
      </w:r>
      <w:r>
        <w:rPr>
          <w:rFonts w:hint="eastAsia" w:ascii="宋体" w:hAnsi="宋体"/>
          <w:color w:val="auto"/>
          <w:sz w:val="24"/>
          <w:szCs w:val="24"/>
        </w:rPr>
        <w:t>二、开标、评标及定标办法通用条款</w:t>
      </w:r>
      <w:r>
        <w:rPr>
          <w:color w:val="auto"/>
          <w:sz w:val="24"/>
          <w:szCs w:val="28"/>
        </w:rPr>
        <w:tab/>
      </w:r>
      <w:r>
        <w:rPr>
          <w:color w:val="auto"/>
          <w:sz w:val="24"/>
          <w:szCs w:val="28"/>
        </w:rPr>
        <w:fldChar w:fldCharType="begin"/>
      </w:r>
      <w:r>
        <w:rPr>
          <w:color w:val="auto"/>
          <w:sz w:val="24"/>
          <w:szCs w:val="28"/>
        </w:rPr>
        <w:instrText xml:space="preserve"> PAGEREF _Toc21590 \h </w:instrText>
      </w:r>
      <w:r>
        <w:rPr>
          <w:color w:val="auto"/>
          <w:sz w:val="24"/>
          <w:szCs w:val="28"/>
        </w:rPr>
        <w:fldChar w:fldCharType="separate"/>
      </w:r>
      <w:r>
        <w:rPr>
          <w:color w:val="auto"/>
          <w:sz w:val="24"/>
          <w:szCs w:val="28"/>
        </w:rPr>
        <w:t>37</w:t>
      </w:r>
      <w:r>
        <w:rPr>
          <w:color w:val="auto"/>
          <w:sz w:val="24"/>
          <w:szCs w:val="28"/>
        </w:rPr>
        <w:fldChar w:fldCharType="end"/>
      </w:r>
      <w:r>
        <w:rPr>
          <w:color w:val="auto"/>
          <w:sz w:val="24"/>
          <w:szCs w:val="28"/>
        </w:rPr>
        <w:fldChar w:fldCharType="end"/>
      </w:r>
    </w:p>
    <w:p w14:paraId="12C45805">
      <w:pPr>
        <w:pStyle w:val="11"/>
        <w:tabs>
          <w:tab w:val="right" w:leader="dot" w:pos="9070"/>
        </w:tabs>
        <w:spacing w:line="360" w:lineRule="auto"/>
        <w:rPr>
          <w:color w:val="auto"/>
          <w:sz w:val="24"/>
          <w:szCs w:val="28"/>
        </w:rPr>
      </w:pPr>
      <w:r>
        <w:rPr>
          <w:color w:val="auto"/>
        </w:rPr>
        <w:fldChar w:fldCharType="begin"/>
      </w:r>
      <w:r>
        <w:rPr>
          <w:color w:val="auto"/>
        </w:rPr>
        <w:instrText xml:space="preserve"> HYPERLINK \l "_Toc5994" </w:instrText>
      </w:r>
      <w:r>
        <w:rPr>
          <w:color w:val="auto"/>
        </w:rPr>
        <w:fldChar w:fldCharType="separate"/>
      </w:r>
      <w:r>
        <w:rPr>
          <w:rFonts w:hint="eastAsia" w:ascii="宋体" w:hAnsi="宋体" w:cs="宋体"/>
          <w:color w:val="auto"/>
          <w:kern w:val="0"/>
          <w:sz w:val="24"/>
          <w:szCs w:val="32"/>
        </w:rPr>
        <w:t>（一）总则</w:t>
      </w:r>
      <w:r>
        <w:rPr>
          <w:color w:val="auto"/>
          <w:sz w:val="24"/>
          <w:szCs w:val="28"/>
        </w:rPr>
        <w:tab/>
      </w:r>
      <w:r>
        <w:rPr>
          <w:color w:val="auto"/>
          <w:sz w:val="24"/>
          <w:szCs w:val="28"/>
        </w:rPr>
        <w:fldChar w:fldCharType="begin"/>
      </w:r>
      <w:r>
        <w:rPr>
          <w:color w:val="auto"/>
          <w:sz w:val="24"/>
          <w:szCs w:val="28"/>
        </w:rPr>
        <w:instrText xml:space="preserve"> PAGEREF _Toc5994 \h </w:instrText>
      </w:r>
      <w:r>
        <w:rPr>
          <w:color w:val="auto"/>
          <w:sz w:val="24"/>
          <w:szCs w:val="28"/>
        </w:rPr>
        <w:fldChar w:fldCharType="separate"/>
      </w:r>
      <w:r>
        <w:rPr>
          <w:color w:val="auto"/>
          <w:sz w:val="24"/>
          <w:szCs w:val="28"/>
        </w:rPr>
        <w:t>37</w:t>
      </w:r>
      <w:r>
        <w:rPr>
          <w:color w:val="auto"/>
          <w:sz w:val="24"/>
          <w:szCs w:val="28"/>
        </w:rPr>
        <w:fldChar w:fldCharType="end"/>
      </w:r>
      <w:r>
        <w:rPr>
          <w:color w:val="auto"/>
          <w:sz w:val="24"/>
          <w:szCs w:val="28"/>
        </w:rPr>
        <w:fldChar w:fldCharType="end"/>
      </w:r>
    </w:p>
    <w:p w14:paraId="22F3D961">
      <w:pPr>
        <w:pStyle w:val="11"/>
        <w:tabs>
          <w:tab w:val="right" w:leader="dot" w:pos="9070"/>
        </w:tabs>
        <w:spacing w:line="360" w:lineRule="auto"/>
        <w:rPr>
          <w:color w:val="auto"/>
          <w:sz w:val="24"/>
          <w:szCs w:val="28"/>
        </w:rPr>
      </w:pPr>
      <w:r>
        <w:rPr>
          <w:color w:val="auto"/>
        </w:rPr>
        <w:fldChar w:fldCharType="begin"/>
      </w:r>
      <w:r>
        <w:rPr>
          <w:color w:val="auto"/>
        </w:rPr>
        <w:instrText xml:space="preserve"> HYPERLINK \l "_Toc29913" </w:instrText>
      </w:r>
      <w:r>
        <w:rPr>
          <w:color w:val="auto"/>
        </w:rPr>
        <w:fldChar w:fldCharType="separate"/>
      </w:r>
      <w:r>
        <w:rPr>
          <w:rFonts w:hint="eastAsia" w:ascii="宋体" w:hAnsi="宋体" w:cs="宋体"/>
          <w:color w:val="auto"/>
          <w:kern w:val="0"/>
          <w:sz w:val="24"/>
          <w:szCs w:val="32"/>
        </w:rPr>
        <w:t>（二）开标评标办法程序和细则</w:t>
      </w:r>
      <w:r>
        <w:rPr>
          <w:color w:val="auto"/>
          <w:sz w:val="24"/>
          <w:szCs w:val="28"/>
        </w:rPr>
        <w:tab/>
      </w:r>
      <w:r>
        <w:rPr>
          <w:color w:val="auto"/>
          <w:sz w:val="24"/>
          <w:szCs w:val="28"/>
        </w:rPr>
        <w:fldChar w:fldCharType="begin"/>
      </w:r>
      <w:r>
        <w:rPr>
          <w:color w:val="auto"/>
          <w:sz w:val="24"/>
          <w:szCs w:val="28"/>
        </w:rPr>
        <w:instrText xml:space="preserve"> PAGEREF _Toc29913 \h </w:instrText>
      </w:r>
      <w:r>
        <w:rPr>
          <w:color w:val="auto"/>
          <w:sz w:val="24"/>
          <w:szCs w:val="28"/>
        </w:rPr>
        <w:fldChar w:fldCharType="separate"/>
      </w:r>
      <w:r>
        <w:rPr>
          <w:color w:val="auto"/>
          <w:sz w:val="24"/>
          <w:szCs w:val="28"/>
        </w:rPr>
        <w:t>40</w:t>
      </w:r>
      <w:r>
        <w:rPr>
          <w:color w:val="auto"/>
          <w:sz w:val="24"/>
          <w:szCs w:val="28"/>
        </w:rPr>
        <w:fldChar w:fldCharType="end"/>
      </w:r>
      <w:r>
        <w:rPr>
          <w:color w:val="auto"/>
          <w:sz w:val="24"/>
          <w:szCs w:val="28"/>
        </w:rPr>
        <w:fldChar w:fldCharType="end"/>
      </w:r>
    </w:p>
    <w:p w14:paraId="4C176CF5">
      <w:pPr>
        <w:pStyle w:val="11"/>
        <w:tabs>
          <w:tab w:val="right" w:leader="dot" w:pos="9070"/>
        </w:tabs>
        <w:spacing w:line="360" w:lineRule="auto"/>
        <w:rPr>
          <w:color w:val="auto"/>
          <w:sz w:val="24"/>
          <w:szCs w:val="28"/>
        </w:rPr>
      </w:pPr>
      <w:r>
        <w:rPr>
          <w:color w:val="auto"/>
        </w:rPr>
        <w:fldChar w:fldCharType="begin"/>
      </w:r>
      <w:r>
        <w:rPr>
          <w:color w:val="auto"/>
        </w:rPr>
        <w:instrText xml:space="preserve"> HYPERLINK \l "_Toc11638" </w:instrText>
      </w:r>
      <w:r>
        <w:rPr>
          <w:color w:val="auto"/>
        </w:rPr>
        <w:fldChar w:fldCharType="separate"/>
      </w:r>
      <w:r>
        <w:rPr>
          <w:rFonts w:hint="eastAsia" w:ascii="宋体" w:hAnsi="宋体" w:cs="宋体"/>
          <w:color w:val="auto"/>
          <w:kern w:val="0"/>
          <w:sz w:val="24"/>
          <w:szCs w:val="32"/>
        </w:rPr>
        <w:t>可选办法七（适合综合评分法四，技术标与经济标同时开启）</w:t>
      </w:r>
      <w:r>
        <w:rPr>
          <w:color w:val="auto"/>
          <w:sz w:val="24"/>
          <w:szCs w:val="28"/>
        </w:rPr>
        <w:tab/>
      </w:r>
      <w:r>
        <w:rPr>
          <w:color w:val="auto"/>
          <w:sz w:val="24"/>
          <w:szCs w:val="28"/>
        </w:rPr>
        <w:fldChar w:fldCharType="begin"/>
      </w:r>
      <w:r>
        <w:rPr>
          <w:color w:val="auto"/>
          <w:sz w:val="24"/>
          <w:szCs w:val="28"/>
        </w:rPr>
        <w:instrText xml:space="preserve"> PAGEREF _Toc11638 \h </w:instrText>
      </w:r>
      <w:r>
        <w:rPr>
          <w:color w:val="auto"/>
          <w:sz w:val="24"/>
          <w:szCs w:val="28"/>
        </w:rPr>
        <w:fldChar w:fldCharType="separate"/>
      </w:r>
      <w:r>
        <w:rPr>
          <w:color w:val="auto"/>
          <w:sz w:val="24"/>
          <w:szCs w:val="28"/>
        </w:rPr>
        <w:t>40</w:t>
      </w:r>
      <w:r>
        <w:rPr>
          <w:color w:val="auto"/>
          <w:sz w:val="24"/>
          <w:szCs w:val="28"/>
        </w:rPr>
        <w:fldChar w:fldCharType="end"/>
      </w:r>
      <w:r>
        <w:rPr>
          <w:color w:val="auto"/>
          <w:sz w:val="24"/>
          <w:szCs w:val="28"/>
        </w:rPr>
        <w:fldChar w:fldCharType="end"/>
      </w:r>
    </w:p>
    <w:p w14:paraId="5BBF928C">
      <w:pPr>
        <w:pStyle w:val="17"/>
        <w:tabs>
          <w:tab w:val="right" w:leader="dot" w:pos="9070"/>
        </w:tabs>
        <w:spacing w:line="360" w:lineRule="auto"/>
        <w:rPr>
          <w:color w:val="auto"/>
          <w:sz w:val="24"/>
          <w:szCs w:val="28"/>
        </w:rPr>
      </w:pPr>
      <w:r>
        <w:rPr>
          <w:color w:val="auto"/>
        </w:rPr>
        <w:fldChar w:fldCharType="begin"/>
      </w:r>
      <w:r>
        <w:rPr>
          <w:color w:val="auto"/>
        </w:rPr>
        <w:instrText xml:space="preserve"> HYPERLINK \l "_Toc528" </w:instrText>
      </w:r>
      <w:r>
        <w:rPr>
          <w:color w:val="auto"/>
        </w:rPr>
        <w:fldChar w:fldCharType="separate"/>
      </w:r>
      <w:r>
        <w:rPr>
          <w:rFonts w:ascii="宋体" w:hAnsi="宋体"/>
          <w:bCs/>
          <w:color w:val="auto"/>
          <w:sz w:val="24"/>
          <w:szCs w:val="28"/>
        </w:rPr>
        <w:t>第三章  合同条款</w:t>
      </w:r>
      <w:r>
        <w:rPr>
          <w:color w:val="auto"/>
          <w:sz w:val="24"/>
          <w:szCs w:val="28"/>
        </w:rPr>
        <w:tab/>
      </w:r>
      <w:r>
        <w:rPr>
          <w:color w:val="auto"/>
          <w:sz w:val="24"/>
          <w:szCs w:val="28"/>
        </w:rPr>
        <w:fldChar w:fldCharType="begin"/>
      </w:r>
      <w:r>
        <w:rPr>
          <w:color w:val="auto"/>
          <w:sz w:val="24"/>
          <w:szCs w:val="28"/>
        </w:rPr>
        <w:instrText xml:space="preserve"> PAGEREF _Toc528 \h </w:instrText>
      </w:r>
      <w:r>
        <w:rPr>
          <w:color w:val="auto"/>
          <w:sz w:val="24"/>
          <w:szCs w:val="28"/>
        </w:rPr>
        <w:fldChar w:fldCharType="separate"/>
      </w:r>
      <w:r>
        <w:rPr>
          <w:color w:val="auto"/>
          <w:sz w:val="24"/>
          <w:szCs w:val="28"/>
        </w:rPr>
        <w:t>57</w:t>
      </w:r>
      <w:r>
        <w:rPr>
          <w:color w:val="auto"/>
          <w:sz w:val="24"/>
          <w:szCs w:val="28"/>
        </w:rPr>
        <w:fldChar w:fldCharType="end"/>
      </w:r>
      <w:r>
        <w:rPr>
          <w:color w:val="auto"/>
          <w:sz w:val="24"/>
          <w:szCs w:val="28"/>
        </w:rPr>
        <w:fldChar w:fldCharType="end"/>
      </w:r>
    </w:p>
    <w:p w14:paraId="46594154">
      <w:pPr>
        <w:pStyle w:val="17"/>
        <w:tabs>
          <w:tab w:val="right" w:leader="dot" w:pos="9070"/>
        </w:tabs>
        <w:spacing w:line="360" w:lineRule="auto"/>
        <w:rPr>
          <w:color w:val="auto"/>
          <w:sz w:val="24"/>
          <w:szCs w:val="28"/>
        </w:rPr>
      </w:pPr>
      <w:r>
        <w:rPr>
          <w:color w:val="auto"/>
        </w:rPr>
        <w:fldChar w:fldCharType="begin"/>
      </w:r>
      <w:r>
        <w:rPr>
          <w:color w:val="auto"/>
        </w:rPr>
        <w:instrText xml:space="preserve"> HYPERLINK \l "_Toc30049" </w:instrText>
      </w:r>
      <w:r>
        <w:rPr>
          <w:color w:val="auto"/>
        </w:rPr>
        <w:fldChar w:fldCharType="separate"/>
      </w:r>
      <w:r>
        <w:rPr>
          <w:rFonts w:ascii="宋体" w:hAnsi="宋体"/>
          <w:bCs/>
          <w:color w:val="auto"/>
          <w:sz w:val="24"/>
          <w:szCs w:val="28"/>
        </w:rPr>
        <w:t>第四章  投标文件格式</w:t>
      </w:r>
      <w:r>
        <w:rPr>
          <w:color w:val="auto"/>
          <w:sz w:val="24"/>
          <w:szCs w:val="28"/>
        </w:rPr>
        <w:tab/>
      </w:r>
      <w:r>
        <w:rPr>
          <w:color w:val="auto"/>
          <w:sz w:val="24"/>
          <w:szCs w:val="28"/>
        </w:rPr>
        <w:fldChar w:fldCharType="begin"/>
      </w:r>
      <w:r>
        <w:rPr>
          <w:color w:val="auto"/>
          <w:sz w:val="24"/>
          <w:szCs w:val="28"/>
        </w:rPr>
        <w:instrText xml:space="preserve"> PAGEREF _Toc30049 \h </w:instrText>
      </w:r>
      <w:r>
        <w:rPr>
          <w:color w:val="auto"/>
          <w:sz w:val="24"/>
          <w:szCs w:val="28"/>
        </w:rPr>
        <w:fldChar w:fldCharType="separate"/>
      </w:r>
      <w:r>
        <w:rPr>
          <w:color w:val="auto"/>
          <w:sz w:val="24"/>
          <w:szCs w:val="28"/>
        </w:rPr>
        <w:t>58</w:t>
      </w:r>
      <w:r>
        <w:rPr>
          <w:color w:val="auto"/>
          <w:sz w:val="24"/>
          <w:szCs w:val="28"/>
        </w:rPr>
        <w:fldChar w:fldCharType="end"/>
      </w:r>
      <w:r>
        <w:rPr>
          <w:color w:val="auto"/>
          <w:sz w:val="24"/>
          <w:szCs w:val="28"/>
        </w:rPr>
        <w:fldChar w:fldCharType="end"/>
      </w:r>
    </w:p>
    <w:p w14:paraId="27D6F0D9">
      <w:pPr>
        <w:pStyle w:val="17"/>
        <w:tabs>
          <w:tab w:val="right" w:leader="dot" w:pos="9070"/>
        </w:tabs>
        <w:spacing w:line="360" w:lineRule="auto"/>
        <w:rPr>
          <w:color w:val="auto"/>
          <w:sz w:val="24"/>
          <w:szCs w:val="28"/>
        </w:rPr>
      </w:pPr>
      <w:r>
        <w:rPr>
          <w:color w:val="auto"/>
        </w:rPr>
        <w:fldChar w:fldCharType="begin"/>
      </w:r>
      <w:r>
        <w:rPr>
          <w:color w:val="auto"/>
        </w:rPr>
        <w:instrText xml:space="preserve"> HYPERLINK \l "_Toc13462" </w:instrText>
      </w:r>
      <w:r>
        <w:rPr>
          <w:color w:val="auto"/>
        </w:rPr>
        <w:fldChar w:fldCharType="separate"/>
      </w:r>
      <w:r>
        <w:rPr>
          <w:bCs/>
          <w:color w:val="auto"/>
          <w:sz w:val="24"/>
          <w:szCs w:val="28"/>
        </w:rPr>
        <w:t>第五章  技术条件（工程建设标准）</w:t>
      </w:r>
      <w:r>
        <w:rPr>
          <w:color w:val="auto"/>
          <w:sz w:val="24"/>
          <w:szCs w:val="28"/>
        </w:rPr>
        <w:tab/>
      </w:r>
      <w:r>
        <w:rPr>
          <w:color w:val="auto"/>
          <w:sz w:val="24"/>
          <w:szCs w:val="28"/>
        </w:rPr>
        <w:fldChar w:fldCharType="begin"/>
      </w:r>
      <w:r>
        <w:rPr>
          <w:color w:val="auto"/>
          <w:sz w:val="24"/>
          <w:szCs w:val="28"/>
        </w:rPr>
        <w:instrText xml:space="preserve"> PAGEREF _Toc13462 \h </w:instrText>
      </w:r>
      <w:r>
        <w:rPr>
          <w:color w:val="auto"/>
          <w:sz w:val="24"/>
          <w:szCs w:val="28"/>
        </w:rPr>
        <w:fldChar w:fldCharType="separate"/>
      </w:r>
      <w:r>
        <w:rPr>
          <w:color w:val="auto"/>
          <w:sz w:val="24"/>
          <w:szCs w:val="28"/>
        </w:rPr>
        <w:t>68</w:t>
      </w:r>
      <w:r>
        <w:rPr>
          <w:color w:val="auto"/>
          <w:sz w:val="24"/>
          <w:szCs w:val="28"/>
        </w:rPr>
        <w:fldChar w:fldCharType="end"/>
      </w:r>
      <w:r>
        <w:rPr>
          <w:color w:val="auto"/>
          <w:sz w:val="24"/>
          <w:szCs w:val="28"/>
        </w:rPr>
        <w:fldChar w:fldCharType="end"/>
      </w:r>
    </w:p>
    <w:p w14:paraId="318691D3">
      <w:pPr>
        <w:pStyle w:val="17"/>
        <w:tabs>
          <w:tab w:val="right" w:leader="dot" w:pos="9070"/>
        </w:tabs>
        <w:spacing w:line="360" w:lineRule="auto"/>
        <w:rPr>
          <w:color w:val="auto"/>
          <w:sz w:val="24"/>
          <w:szCs w:val="28"/>
        </w:rPr>
      </w:pPr>
      <w:r>
        <w:rPr>
          <w:color w:val="auto"/>
        </w:rPr>
        <w:fldChar w:fldCharType="begin"/>
      </w:r>
      <w:r>
        <w:rPr>
          <w:color w:val="auto"/>
        </w:rPr>
        <w:instrText xml:space="preserve"> HYPERLINK \l "_Toc8549" </w:instrText>
      </w:r>
      <w:r>
        <w:rPr>
          <w:color w:val="auto"/>
        </w:rPr>
        <w:fldChar w:fldCharType="separate"/>
      </w:r>
      <w:r>
        <w:rPr>
          <w:bCs/>
          <w:color w:val="auto"/>
          <w:sz w:val="24"/>
          <w:szCs w:val="28"/>
        </w:rPr>
        <w:t>第六章  图纸及勘察资料</w:t>
      </w:r>
      <w:r>
        <w:rPr>
          <w:color w:val="auto"/>
          <w:sz w:val="24"/>
          <w:szCs w:val="28"/>
        </w:rPr>
        <w:tab/>
      </w:r>
      <w:r>
        <w:rPr>
          <w:color w:val="auto"/>
          <w:sz w:val="24"/>
          <w:szCs w:val="28"/>
        </w:rPr>
        <w:fldChar w:fldCharType="begin"/>
      </w:r>
      <w:r>
        <w:rPr>
          <w:color w:val="auto"/>
          <w:sz w:val="24"/>
          <w:szCs w:val="28"/>
        </w:rPr>
        <w:instrText xml:space="preserve"> PAGEREF _Toc8549 \h </w:instrText>
      </w:r>
      <w:r>
        <w:rPr>
          <w:color w:val="auto"/>
          <w:sz w:val="24"/>
          <w:szCs w:val="28"/>
        </w:rPr>
        <w:fldChar w:fldCharType="separate"/>
      </w:r>
      <w:r>
        <w:rPr>
          <w:color w:val="auto"/>
          <w:sz w:val="24"/>
          <w:szCs w:val="28"/>
        </w:rPr>
        <w:t>75</w:t>
      </w:r>
      <w:r>
        <w:rPr>
          <w:color w:val="auto"/>
          <w:sz w:val="24"/>
          <w:szCs w:val="28"/>
        </w:rPr>
        <w:fldChar w:fldCharType="end"/>
      </w:r>
      <w:r>
        <w:rPr>
          <w:color w:val="auto"/>
          <w:sz w:val="24"/>
          <w:szCs w:val="28"/>
        </w:rPr>
        <w:fldChar w:fldCharType="end"/>
      </w:r>
    </w:p>
    <w:p w14:paraId="26FBDF98">
      <w:pPr>
        <w:pStyle w:val="17"/>
        <w:tabs>
          <w:tab w:val="right" w:leader="dot" w:pos="9070"/>
        </w:tabs>
        <w:spacing w:line="360" w:lineRule="auto"/>
        <w:rPr>
          <w:color w:val="auto"/>
          <w:sz w:val="24"/>
          <w:szCs w:val="28"/>
        </w:rPr>
      </w:pPr>
      <w:r>
        <w:rPr>
          <w:color w:val="auto"/>
        </w:rPr>
        <w:fldChar w:fldCharType="begin"/>
      </w:r>
      <w:r>
        <w:rPr>
          <w:color w:val="auto"/>
        </w:rPr>
        <w:instrText xml:space="preserve"> HYPERLINK \l "_Toc25472" </w:instrText>
      </w:r>
      <w:r>
        <w:rPr>
          <w:color w:val="auto"/>
        </w:rPr>
        <w:fldChar w:fldCharType="separate"/>
      </w:r>
      <w:r>
        <w:rPr>
          <w:bCs/>
          <w:color w:val="auto"/>
          <w:sz w:val="24"/>
          <w:szCs w:val="28"/>
        </w:rPr>
        <w:t>第七章  工程量清单</w:t>
      </w:r>
      <w:r>
        <w:rPr>
          <w:color w:val="auto"/>
          <w:sz w:val="24"/>
          <w:szCs w:val="28"/>
        </w:rPr>
        <w:tab/>
      </w:r>
      <w:r>
        <w:rPr>
          <w:color w:val="auto"/>
          <w:sz w:val="24"/>
          <w:szCs w:val="28"/>
        </w:rPr>
        <w:fldChar w:fldCharType="begin"/>
      </w:r>
      <w:r>
        <w:rPr>
          <w:color w:val="auto"/>
          <w:sz w:val="24"/>
          <w:szCs w:val="28"/>
        </w:rPr>
        <w:instrText xml:space="preserve"> PAGEREF _Toc25472 \h </w:instrText>
      </w:r>
      <w:r>
        <w:rPr>
          <w:color w:val="auto"/>
          <w:sz w:val="24"/>
          <w:szCs w:val="28"/>
        </w:rPr>
        <w:fldChar w:fldCharType="separate"/>
      </w:r>
      <w:r>
        <w:rPr>
          <w:color w:val="auto"/>
          <w:sz w:val="24"/>
          <w:szCs w:val="28"/>
        </w:rPr>
        <w:t>76</w:t>
      </w:r>
      <w:r>
        <w:rPr>
          <w:color w:val="auto"/>
          <w:sz w:val="24"/>
          <w:szCs w:val="28"/>
        </w:rPr>
        <w:fldChar w:fldCharType="end"/>
      </w:r>
      <w:r>
        <w:rPr>
          <w:color w:val="auto"/>
          <w:sz w:val="24"/>
          <w:szCs w:val="28"/>
        </w:rPr>
        <w:fldChar w:fldCharType="end"/>
      </w:r>
    </w:p>
    <w:p w14:paraId="134CD5F7">
      <w:pPr>
        <w:pStyle w:val="17"/>
        <w:tabs>
          <w:tab w:val="right" w:leader="dot" w:pos="9070"/>
        </w:tabs>
        <w:spacing w:line="360" w:lineRule="auto"/>
        <w:rPr>
          <w:color w:val="auto"/>
          <w:sz w:val="24"/>
          <w:szCs w:val="28"/>
        </w:rPr>
      </w:pPr>
      <w:r>
        <w:rPr>
          <w:color w:val="auto"/>
        </w:rPr>
        <w:fldChar w:fldCharType="begin"/>
      </w:r>
      <w:r>
        <w:rPr>
          <w:color w:val="auto"/>
        </w:rPr>
        <w:instrText xml:space="preserve"> HYPERLINK \l "_Toc21830" </w:instrText>
      </w:r>
      <w:r>
        <w:rPr>
          <w:color w:val="auto"/>
        </w:rPr>
        <w:fldChar w:fldCharType="separate"/>
      </w:r>
      <w:r>
        <w:rPr>
          <w:rFonts w:ascii="宋体" w:hAnsi="宋体"/>
          <w:bCs/>
          <w:color w:val="auto"/>
          <w:sz w:val="24"/>
          <w:szCs w:val="28"/>
        </w:rPr>
        <w:t>第八章  最高投标限价</w:t>
      </w:r>
      <w:r>
        <w:rPr>
          <w:color w:val="auto"/>
          <w:sz w:val="24"/>
          <w:szCs w:val="28"/>
        </w:rPr>
        <w:tab/>
      </w:r>
      <w:r>
        <w:rPr>
          <w:color w:val="auto"/>
          <w:sz w:val="24"/>
          <w:szCs w:val="28"/>
        </w:rPr>
        <w:fldChar w:fldCharType="begin"/>
      </w:r>
      <w:r>
        <w:rPr>
          <w:color w:val="auto"/>
          <w:sz w:val="24"/>
          <w:szCs w:val="28"/>
        </w:rPr>
        <w:instrText xml:space="preserve"> PAGEREF _Toc21830 \h </w:instrText>
      </w:r>
      <w:r>
        <w:rPr>
          <w:color w:val="auto"/>
          <w:sz w:val="24"/>
          <w:szCs w:val="28"/>
        </w:rPr>
        <w:fldChar w:fldCharType="separate"/>
      </w:r>
      <w:r>
        <w:rPr>
          <w:color w:val="auto"/>
          <w:sz w:val="24"/>
          <w:szCs w:val="28"/>
        </w:rPr>
        <w:t>76</w:t>
      </w:r>
      <w:r>
        <w:rPr>
          <w:color w:val="auto"/>
          <w:sz w:val="24"/>
          <w:szCs w:val="28"/>
        </w:rPr>
        <w:fldChar w:fldCharType="end"/>
      </w:r>
      <w:r>
        <w:rPr>
          <w:color w:val="auto"/>
          <w:sz w:val="24"/>
          <w:szCs w:val="28"/>
        </w:rPr>
        <w:fldChar w:fldCharType="end"/>
      </w:r>
    </w:p>
    <w:p w14:paraId="4A4CEEAB">
      <w:pPr>
        <w:pStyle w:val="147"/>
        <w:spacing w:line="360" w:lineRule="auto"/>
        <w:rPr>
          <w:rFonts w:ascii="宋体" w:hAnsi="宋体"/>
          <w:color w:val="auto"/>
        </w:rPr>
      </w:pPr>
      <w:r>
        <w:rPr>
          <w:rFonts w:ascii="宋体" w:hAnsi="宋体"/>
          <w:color w:val="auto"/>
          <w:sz w:val="24"/>
          <w:szCs w:val="24"/>
        </w:rPr>
        <w:fldChar w:fldCharType="end"/>
      </w:r>
    </w:p>
    <w:p w14:paraId="3FD51F86">
      <w:pPr>
        <w:pStyle w:val="132"/>
        <w:spacing w:line="276" w:lineRule="auto"/>
        <w:outlineLvl w:val="0"/>
        <w:rPr>
          <w:rStyle w:val="122"/>
          <w:rFonts w:ascii="宋体" w:hAnsi="宋体"/>
          <w:bCs/>
          <w:color w:val="auto"/>
        </w:rPr>
      </w:pPr>
      <w:r>
        <w:rPr>
          <w:rStyle w:val="122"/>
          <w:rFonts w:ascii="宋体" w:hAnsi="宋体"/>
          <w:b w:val="0"/>
          <w:color w:val="auto"/>
        </w:rPr>
        <w:br w:type="page"/>
      </w:r>
      <w:bookmarkStart w:id="0" w:name="_Toc2851"/>
      <w:r>
        <w:rPr>
          <w:rStyle w:val="122"/>
          <w:rFonts w:ascii="宋体" w:hAnsi="宋体"/>
          <w:bCs/>
          <w:color w:val="auto"/>
        </w:rPr>
        <w:t>第一章  投标须知</w:t>
      </w:r>
      <w:bookmarkEnd w:id="0"/>
    </w:p>
    <w:p w14:paraId="1EBFF395">
      <w:pPr>
        <w:pStyle w:val="139"/>
        <w:spacing w:line="276" w:lineRule="auto"/>
        <w:outlineLvl w:val="1"/>
        <w:rPr>
          <w:rStyle w:val="122"/>
          <w:rFonts w:ascii="宋体" w:hAnsi="宋体"/>
          <w:b/>
          <w:color w:val="auto"/>
          <w:sz w:val="21"/>
          <w:szCs w:val="21"/>
        </w:rPr>
      </w:pPr>
      <w:bookmarkStart w:id="1" w:name="_Toc8260"/>
      <w:r>
        <w:rPr>
          <w:rStyle w:val="122"/>
          <w:rFonts w:ascii="宋体" w:hAnsi="宋体"/>
          <w:b/>
          <w:color w:val="auto"/>
          <w:sz w:val="21"/>
          <w:szCs w:val="21"/>
        </w:rPr>
        <w:t>一、投标须知前附表</w:t>
      </w:r>
      <w:bookmarkEnd w:id="1"/>
    </w:p>
    <w:p w14:paraId="35B67BC5">
      <w:pPr>
        <w:pStyle w:val="44"/>
        <w:spacing w:line="276" w:lineRule="auto"/>
        <w:ind w:firstLine="0"/>
        <w:rPr>
          <w:rStyle w:val="122"/>
          <w:rFonts w:ascii="宋体" w:hAnsi="宋体"/>
          <w:b/>
          <w:color w:val="auto"/>
          <w:szCs w:val="21"/>
        </w:rPr>
      </w:pPr>
      <w:r>
        <w:rPr>
          <w:rStyle w:val="122"/>
          <w:rFonts w:ascii="宋体" w:hAnsi="宋体"/>
          <w:b/>
          <w:color w:val="auto"/>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4"/>
        <w:tblW w:w="9100"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57"/>
        <w:gridCol w:w="981"/>
        <w:gridCol w:w="1552"/>
        <w:gridCol w:w="5910"/>
      </w:tblGrid>
      <w:tr w14:paraId="1B9720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215D95EE">
            <w:pPr>
              <w:spacing w:line="276" w:lineRule="auto"/>
              <w:ind w:left="62" w:right="62"/>
              <w:jc w:val="center"/>
              <w:rPr>
                <w:rStyle w:val="122"/>
                <w:rFonts w:ascii="宋体" w:hAnsi="宋体"/>
                <w:b/>
                <w:color w:val="auto"/>
                <w:szCs w:val="21"/>
              </w:rPr>
            </w:pPr>
            <w:r>
              <w:rPr>
                <w:rStyle w:val="122"/>
                <w:rFonts w:ascii="宋体" w:hAnsi="宋体"/>
                <w:b/>
                <w:color w:val="auto"/>
                <w:szCs w:val="21"/>
              </w:rPr>
              <w:t>项目</w:t>
            </w:r>
          </w:p>
        </w:tc>
        <w:tc>
          <w:tcPr>
            <w:tcW w:w="981" w:type="dxa"/>
            <w:vAlign w:val="center"/>
          </w:tcPr>
          <w:p w14:paraId="081F490C">
            <w:pPr>
              <w:spacing w:line="276" w:lineRule="auto"/>
              <w:ind w:left="62" w:right="62"/>
              <w:jc w:val="center"/>
              <w:rPr>
                <w:rStyle w:val="122"/>
                <w:rFonts w:ascii="宋体" w:hAnsi="宋体"/>
                <w:b/>
                <w:color w:val="auto"/>
                <w:szCs w:val="21"/>
              </w:rPr>
            </w:pPr>
            <w:r>
              <w:rPr>
                <w:rStyle w:val="122"/>
                <w:rFonts w:ascii="宋体" w:hAnsi="宋体"/>
                <w:b/>
                <w:color w:val="auto"/>
                <w:szCs w:val="21"/>
              </w:rPr>
              <w:t>条款号</w:t>
            </w:r>
          </w:p>
        </w:tc>
        <w:tc>
          <w:tcPr>
            <w:tcW w:w="1552" w:type="dxa"/>
            <w:vAlign w:val="center"/>
          </w:tcPr>
          <w:p w14:paraId="563773F2">
            <w:pPr>
              <w:spacing w:line="276" w:lineRule="auto"/>
              <w:ind w:left="62" w:right="62"/>
              <w:jc w:val="center"/>
              <w:rPr>
                <w:rStyle w:val="122"/>
                <w:rFonts w:ascii="宋体" w:hAnsi="宋体"/>
                <w:b/>
                <w:color w:val="auto"/>
                <w:szCs w:val="21"/>
              </w:rPr>
            </w:pPr>
            <w:r>
              <w:rPr>
                <w:rStyle w:val="122"/>
                <w:rFonts w:ascii="宋体" w:hAnsi="宋体"/>
                <w:b/>
                <w:color w:val="auto"/>
                <w:szCs w:val="21"/>
              </w:rPr>
              <w:t>内容</w:t>
            </w:r>
          </w:p>
        </w:tc>
        <w:tc>
          <w:tcPr>
            <w:tcW w:w="5910" w:type="dxa"/>
            <w:vAlign w:val="center"/>
          </w:tcPr>
          <w:p w14:paraId="3453261C">
            <w:pPr>
              <w:pStyle w:val="13"/>
              <w:spacing w:line="276" w:lineRule="auto"/>
              <w:ind w:left="62" w:right="62" w:firstLine="17"/>
              <w:jc w:val="center"/>
              <w:rPr>
                <w:rStyle w:val="122"/>
                <w:rFonts w:ascii="宋体" w:hAnsi="宋体"/>
                <w:b/>
                <w:color w:val="auto"/>
                <w:kern w:val="2"/>
                <w:sz w:val="21"/>
                <w:szCs w:val="21"/>
              </w:rPr>
            </w:pPr>
            <w:r>
              <w:rPr>
                <w:rStyle w:val="122"/>
                <w:rFonts w:ascii="宋体" w:hAnsi="宋体"/>
                <w:b/>
                <w:color w:val="auto"/>
                <w:kern w:val="2"/>
                <w:sz w:val="21"/>
                <w:szCs w:val="21"/>
              </w:rPr>
              <w:t>说明与要求</w:t>
            </w:r>
          </w:p>
        </w:tc>
      </w:tr>
      <w:tr w14:paraId="1932D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5514C94">
            <w:pPr>
              <w:spacing w:line="276" w:lineRule="auto"/>
              <w:ind w:left="62" w:right="62"/>
              <w:jc w:val="center"/>
              <w:rPr>
                <w:rStyle w:val="122"/>
                <w:rFonts w:ascii="宋体" w:hAnsi="宋体"/>
                <w:color w:val="auto"/>
                <w:szCs w:val="21"/>
              </w:rPr>
            </w:pPr>
            <w:r>
              <w:rPr>
                <w:rStyle w:val="122"/>
                <w:rFonts w:ascii="宋体" w:hAnsi="宋体"/>
                <w:color w:val="auto"/>
                <w:szCs w:val="21"/>
              </w:rPr>
              <w:t>1</w:t>
            </w:r>
          </w:p>
        </w:tc>
        <w:tc>
          <w:tcPr>
            <w:tcW w:w="981" w:type="dxa"/>
            <w:vAlign w:val="center"/>
          </w:tcPr>
          <w:p w14:paraId="3DA87CB7">
            <w:pPr>
              <w:spacing w:line="276" w:lineRule="auto"/>
              <w:ind w:left="62" w:right="62"/>
              <w:jc w:val="center"/>
              <w:rPr>
                <w:rStyle w:val="122"/>
                <w:rFonts w:ascii="宋体" w:hAnsi="宋体"/>
                <w:color w:val="auto"/>
                <w:szCs w:val="21"/>
              </w:rPr>
            </w:pPr>
            <w:r>
              <w:rPr>
                <w:rStyle w:val="122"/>
                <w:rFonts w:ascii="宋体" w:hAnsi="宋体"/>
                <w:color w:val="auto"/>
                <w:szCs w:val="21"/>
              </w:rPr>
              <w:t>1</w:t>
            </w:r>
          </w:p>
        </w:tc>
        <w:tc>
          <w:tcPr>
            <w:tcW w:w="1552" w:type="dxa"/>
            <w:vAlign w:val="center"/>
          </w:tcPr>
          <w:p w14:paraId="7E822BE5">
            <w:pPr>
              <w:spacing w:line="276" w:lineRule="auto"/>
              <w:ind w:left="62" w:right="62"/>
              <w:jc w:val="center"/>
              <w:rPr>
                <w:rStyle w:val="122"/>
                <w:rFonts w:ascii="宋体" w:hAnsi="宋体"/>
                <w:color w:val="auto"/>
                <w:szCs w:val="21"/>
              </w:rPr>
            </w:pPr>
            <w:r>
              <w:rPr>
                <w:rStyle w:val="122"/>
                <w:rFonts w:ascii="宋体" w:hAnsi="宋体"/>
                <w:color w:val="auto"/>
                <w:szCs w:val="21"/>
              </w:rPr>
              <w:t>定义</w:t>
            </w:r>
          </w:p>
        </w:tc>
        <w:tc>
          <w:tcPr>
            <w:tcW w:w="5910" w:type="dxa"/>
            <w:vAlign w:val="center"/>
          </w:tcPr>
          <w:p w14:paraId="3F9700B4">
            <w:pPr>
              <w:spacing w:line="276" w:lineRule="auto"/>
              <w:ind w:left="62" w:right="62"/>
              <w:rPr>
                <w:rFonts w:ascii="宋体" w:hAnsi="宋体"/>
                <w:color w:val="auto"/>
                <w:szCs w:val="21"/>
              </w:rPr>
            </w:pPr>
            <w:r>
              <w:rPr>
                <w:rFonts w:hint="eastAsia" w:ascii="宋体" w:hAnsi="宋体"/>
                <w:color w:val="auto"/>
                <w:szCs w:val="21"/>
              </w:rPr>
              <w:t>招标人（即发包人）：</w:t>
            </w:r>
            <w:r>
              <w:rPr>
                <w:rFonts w:hint="eastAsia" w:ascii="宋体" w:hAnsi="宋体"/>
                <w:color w:val="auto"/>
                <w:szCs w:val="21"/>
                <w:u w:val="single"/>
              </w:rPr>
              <w:t>中电科普天科技股份有限公司</w:t>
            </w:r>
          </w:p>
          <w:p w14:paraId="16EB2C92">
            <w:pPr>
              <w:spacing w:line="276" w:lineRule="auto"/>
              <w:ind w:left="62" w:right="62"/>
              <w:rPr>
                <w:rFonts w:ascii="宋体" w:hAnsi="宋体"/>
                <w:color w:val="auto"/>
                <w:szCs w:val="21"/>
              </w:rPr>
            </w:pPr>
            <w:r>
              <w:rPr>
                <w:rFonts w:hint="eastAsia" w:ascii="宋体" w:hAnsi="宋体"/>
                <w:color w:val="auto"/>
                <w:szCs w:val="21"/>
              </w:rPr>
              <w:t>项目建设管理单位：</w:t>
            </w:r>
            <w:r>
              <w:rPr>
                <w:rFonts w:hint="eastAsia" w:ascii="宋体" w:hAnsi="宋体"/>
                <w:color w:val="auto"/>
                <w:szCs w:val="21"/>
                <w:u w:val="single"/>
              </w:rPr>
              <w:t>/</w:t>
            </w:r>
          </w:p>
          <w:p w14:paraId="457596A5">
            <w:pPr>
              <w:spacing w:line="276" w:lineRule="auto"/>
              <w:ind w:left="62" w:right="62"/>
              <w:rPr>
                <w:rFonts w:ascii="宋体" w:hAnsi="宋体"/>
                <w:color w:val="auto"/>
                <w:szCs w:val="21"/>
              </w:rPr>
            </w:pPr>
            <w:r>
              <w:rPr>
                <w:rFonts w:hint="eastAsia" w:ascii="宋体" w:hAnsi="宋体"/>
                <w:color w:val="auto"/>
                <w:szCs w:val="21"/>
              </w:rPr>
              <w:t>招标代理：</w:t>
            </w:r>
            <w:r>
              <w:rPr>
                <w:rFonts w:hint="eastAsia" w:ascii="宋体" w:hAnsi="宋体"/>
                <w:color w:val="auto"/>
                <w:szCs w:val="21"/>
                <w:u w:val="single"/>
              </w:rPr>
              <w:t>广东省机电设备招标有限公司</w:t>
            </w:r>
          </w:p>
          <w:p w14:paraId="26721944">
            <w:pPr>
              <w:spacing w:line="276" w:lineRule="auto"/>
              <w:ind w:left="62" w:right="62"/>
              <w:rPr>
                <w:rFonts w:ascii="宋体" w:hAnsi="宋体"/>
                <w:color w:val="auto"/>
                <w:szCs w:val="21"/>
                <w:u w:val="single"/>
              </w:rPr>
            </w:pPr>
            <w:r>
              <w:rPr>
                <w:rFonts w:hint="eastAsia" w:ascii="宋体" w:hAnsi="宋体"/>
                <w:color w:val="auto"/>
                <w:szCs w:val="21"/>
              </w:rPr>
              <w:t>设计单位：广州市城市规划勘测设计研究院有限公司</w:t>
            </w:r>
          </w:p>
          <w:p w14:paraId="6FCCAA55">
            <w:pPr>
              <w:spacing w:line="276" w:lineRule="auto"/>
              <w:ind w:left="62" w:right="62"/>
              <w:rPr>
                <w:rFonts w:ascii="宋体" w:hAnsi="宋体"/>
                <w:color w:val="auto"/>
                <w:szCs w:val="21"/>
                <w:u w:val="single"/>
              </w:rPr>
            </w:pPr>
            <w:r>
              <w:rPr>
                <w:rFonts w:hint="eastAsia" w:ascii="宋体" w:hAnsi="宋体"/>
                <w:color w:val="auto"/>
                <w:szCs w:val="21"/>
              </w:rPr>
              <w:t>监理单位：广州市广州工程建设监理有限公司</w:t>
            </w:r>
          </w:p>
          <w:p w14:paraId="32D33D1F">
            <w:pPr>
              <w:pStyle w:val="147"/>
              <w:spacing w:line="276" w:lineRule="auto"/>
              <w:ind w:left="62" w:right="62"/>
              <w:rPr>
                <w:rStyle w:val="122"/>
                <w:color w:val="auto"/>
              </w:rPr>
            </w:pPr>
            <w:r>
              <w:rPr>
                <w:rFonts w:hint="eastAsia" w:ascii="宋体" w:hAnsi="宋体"/>
                <w:color w:val="auto"/>
                <w:szCs w:val="21"/>
              </w:rPr>
              <w:t>检测机构：广东省建设工程质量安全检测总站有限公司</w:t>
            </w:r>
          </w:p>
        </w:tc>
      </w:tr>
      <w:tr w14:paraId="2425A7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4AA8185E">
            <w:pPr>
              <w:spacing w:line="276" w:lineRule="auto"/>
              <w:ind w:left="62" w:right="62"/>
              <w:jc w:val="center"/>
              <w:rPr>
                <w:rStyle w:val="122"/>
                <w:rFonts w:ascii="宋体" w:hAnsi="宋体"/>
                <w:color w:val="auto"/>
                <w:szCs w:val="21"/>
              </w:rPr>
            </w:pPr>
            <w:r>
              <w:rPr>
                <w:rStyle w:val="122"/>
                <w:rFonts w:ascii="宋体" w:hAnsi="宋体"/>
                <w:color w:val="auto"/>
                <w:szCs w:val="21"/>
              </w:rPr>
              <w:t>2</w:t>
            </w:r>
          </w:p>
        </w:tc>
        <w:tc>
          <w:tcPr>
            <w:tcW w:w="981" w:type="dxa"/>
            <w:vAlign w:val="center"/>
          </w:tcPr>
          <w:p w14:paraId="37FFC6CF">
            <w:pPr>
              <w:spacing w:line="276" w:lineRule="auto"/>
              <w:ind w:left="62" w:right="62"/>
              <w:jc w:val="center"/>
              <w:rPr>
                <w:rStyle w:val="122"/>
                <w:rFonts w:ascii="宋体" w:hAnsi="宋体"/>
                <w:color w:val="auto"/>
                <w:szCs w:val="21"/>
              </w:rPr>
            </w:pPr>
            <w:r>
              <w:rPr>
                <w:rStyle w:val="122"/>
                <w:rFonts w:ascii="宋体" w:hAnsi="宋体"/>
                <w:color w:val="auto"/>
                <w:szCs w:val="21"/>
              </w:rPr>
              <w:t>2.2</w:t>
            </w:r>
          </w:p>
        </w:tc>
        <w:tc>
          <w:tcPr>
            <w:tcW w:w="1552" w:type="dxa"/>
            <w:vAlign w:val="center"/>
          </w:tcPr>
          <w:p w14:paraId="3182273E">
            <w:pPr>
              <w:spacing w:line="276" w:lineRule="auto"/>
              <w:ind w:left="62" w:right="62"/>
              <w:jc w:val="center"/>
              <w:rPr>
                <w:rStyle w:val="122"/>
                <w:rFonts w:ascii="宋体" w:hAnsi="宋体"/>
                <w:color w:val="auto"/>
                <w:szCs w:val="21"/>
              </w:rPr>
            </w:pPr>
            <w:r>
              <w:rPr>
                <w:rStyle w:val="122"/>
                <w:rFonts w:ascii="宋体" w:hAnsi="宋体"/>
                <w:color w:val="auto"/>
                <w:szCs w:val="21"/>
              </w:rPr>
              <w:t>工程名称</w:t>
            </w:r>
          </w:p>
        </w:tc>
        <w:tc>
          <w:tcPr>
            <w:tcW w:w="5910" w:type="dxa"/>
          </w:tcPr>
          <w:p w14:paraId="47AF8298">
            <w:pPr>
              <w:ind w:left="62" w:right="62"/>
              <w:rPr>
                <w:rFonts w:ascii="宋体" w:hAnsi="宋体"/>
                <w:color w:val="auto"/>
                <w:u w:val="single"/>
              </w:rPr>
            </w:pPr>
            <w:r>
              <w:rPr>
                <w:rFonts w:hint="eastAsia" w:ascii="宋体" w:hAnsi="宋体"/>
                <w:color w:val="auto"/>
                <w:u w:val="single"/>
              </w:rPr>
              <w:t>杰赛科技产业园建设项目（一期）精装修工程施工专业承包</w:t>
            </w:r>
          </w:p>
        </w:tc>
      </w:tr>
      <w:tr w14:paraId="0A66E7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3391C67F">
            <w:pPr>
              <w:spacing w:line="276" w:lineRule="auto"/>
              <w:ind w:left="62" w:right="62"/>
              <w:jc w:val="center"/>
              <w:rPr>
                <w:rStyle w:val="122"/>
                <w:rFonts w:ascii="宋体" w:hAnsi="宋体"/>
                <w:color w:val="auto"/>
                <w:szCs w:val="21"/>
              </w:rPr>
            </w:pPr>
            <w:r>
              <w:rPr>
                <w:rStyle w:val="122"/>
                <w:rFonts w:ascii="宋体" w:hAnsi="宋体"/>
                <w:color w:val="auto"/>
                <w:szCs w:val="21"/>
              </w:rPr>
              <w:t>3</w:t>
            </w:r>
          </w:p>
        </w:tc>
        <w:tc>
          <w:tcPr>
            <w:tcW w:w="981" w:type="dxa"/>
            <w:vAlign w:val="center"/>
          </w:tcPr>
          <w:p w14:paraId="710353B5">
            <w:pPr>
              <w:spacing w:line="276" w:lineRule="auto"/>
              <w:ind w:left="62" w:right="62"/>
              <w:jc w:val="center"/>
              <w:rPr>
                <w:rStyle w:val="122"/>
                <w:rFonts w:ascii="宋体" w:hAnsi="宋体"/>
                <w:color w:val="auto"/>
                <w:szCs w:val="21"/>
              </w:rPr>
            </w:pPr>
            <w:r>
              <w:rPr>
                <w:rStyle w:val="122"/>
                <w:rFonts w:ascii="宋体" w:hAnsi="宋体"/>
                <w:color w:val="auto"/>
                <w:szCs w:val="21"/>
              </w:rPr>
              <w:t>2.2</w:t>
            </w:r>
          </w:p>
        </w:tc>
        <w:tc>
          <w:tcPr>
            <w:tcW w:w="1552" w:type="dxa"/>
            <w:vAlign w:val="center"/>
          </w:tcPr>
          <w:p w14:paraId="08FD2B68">
            <w:pPr>
              <w:spacing w:line="276" w:lineRule="auto"/>
              <w:ind w:left="62" w:right="62"/>
              <w:jc w:val="center"/>
              <w:rPr>
                <w:rStyle w:val="122"/>
                <w:rFonts w:ascii="宋体" w:hAnsi="宋体"/>
                <w:color w:val="auto"/>
                <w:szCs w:val="21"/>
              </w:rPr>
            </w:pPr>
            <w:r>
              <w:rPr>
                <w:rStyle w:val="122"/>
                <w:rFonts w:ascii="宋体" w:hAnsi="宋体"/>
                <w:color w:val="auto"/>
                <w:szCs w:val="21"/>
              </w:rPr>
              <w:t>建设地点</w:t>
            </w:r>
          </w:p>
        </w:tc>
        <w:tc>
          <w:tcPr>
            <w:tcW w:w="5910" w:type="dxa"/>
          </w:tcPr>
          <w:p w14:paraId="32B88B56">
            <w:pPr>
              <w:ind w:left="62" w:right="62"/>
              <w:rPr>
                <w:color w:val="auto"/>
                <w:u w:val="single"/>
              </w:rPr>
            </w:pPr>
            <w:r>
              <w:rPr>
                <w:rFonts w:hint="eastAsia"/>
                <w:color w:val="auto"/>
                <w:u w:val="single"/>
              </w:rPr>
              <w:t>详见本工程招标公告。</w:t>
            </w:r>
          </w:p>
        </w:tc>
      </w:tr>
      <w:tr w14:paraId="38A37B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6D084B6">
            <w:pPr>
              <w:spacing w:line="276" w:lineRule="auto"/>
              <w:ind w:left="62" w:right="62"/>
              <w:jc w:val="center"/>
              <w:rPr>
                <w:rStyle w:val="122"/>
                <w:rFonts w:ascii="宋体" w:hAnsi="宋体"/>
                <w:color w:val="auto"/>
                <w:szCs w:val="21"/>
              </w:rPr>
            </w:pPr>
            <w:r>
              <w:rPr>
                <w:rStyle w:val="122"/>
                <w:rFonts w:ascii="宋体" w:hAnsi="宋体"/>
                <w:color w:val="auto"/>
                <w:szCs w:val="21"/>
              </w:rPr>
              <w:t>4</w:t>
            </w:r>
          </w:p>
        </w:tc>
        <w:tc>
          <w:tcPr>
            <w:tcW w:w="981" w:type="dxa"/>
            <w:vAlign w:val="center"/>
          </w:tcPr>
          <w:p w14:paraId="03276D00">
            <w:pPr>
              <w:spacing w:line="276" w:lineRule="auto"/>
              <w:ind w:left="62" w:right="62"/>
              <w:jc w:val="center"/>
              <w:rPr>
                <w:rStyle w:val="122"/>
                <w:rFonts w:ascii="宋体" w:hAnsi="宋体"/>
                <w:color w:val="auto"/>
                <w:szCs w:val="21"/>
              </w:rPr>
            </w:pPr>
            <w:r>
              <w:rPr>
                <w:rStyle w:val="122"/>
                <w:rFonts w:ascii="宋体" w:hAnsi="宋体"/>
                <w:color w:val="auto"/>
                <w:szCs w:val="21"/>
              </w:rPr>
              <w:t>2.2</w:t>
            </w:r>
          </w:p>
        </w:tc>
        <w:tc>
          <w:tcPr>
            <w:tcW w:w="1552" w:type="dxa"/>
            <w:vAlign w:val="center"/>
          </w:tcPr>
          <w:p w14:paraId="2DC32A69">
            <w:pPr>
              <w:spacing w:line="276" w:lineRule="auto"/>
              <w:ind w:left="62" w:right="62"/>
              <w:jc w:val="center"/>
              <w:rPr>
                <w:rStyle w:val="122"/>
                <w:rFonts w:ascii="宋体" w:hAnsi="宋体"/>
                <w:color w:val="auto"/>
                <w:szCs w:val="21"/>
              </w:rPr>
            </w:pPr>
            <w:r>
              <w:rPr>
                <w:rStyle w:val="122"/>
                <w:rFonts w:ascii="宋体" w:hAnsi="宋体"/>
                <w:color w:val="auto"/>
                <w:szCs w:val="21"/>
              </w:rPr>
              <w:t>建设规模</w:t>
            </w:r>
          </w:p>
        </w:tc>
        <w:tc>
          <w:tcPr>
            <w:tcW w:w="5910" w:type="dxa"/>
          </w:tcPr>
          <w:p w14:paraId="3C0AE334">
            <w:pPr>
              <w:ind w:left="62" w:right="62"/>
              <w:rPr>
                <w:color w:val="auto"/>
                <w:u w:val="single"/>
              </w:rPr>
            </w:pPr>
            <w:r>
              <w:rPr>
                <w:rFonts w:hint="eastAsia"/>
                <w:color w:val="auto"/>
                <w:u w:val="single"/>
              </w:rPr>
              <w:t>详见本工程招标公告。</w:t>
            </w:r>
          </w:p>
        </w:tc>
      </w:tr>
      <w:tr w14:paraId="6D1CF0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57" w:type="dxa"/>
            <w:vAlign w:val="center"/>
          </w:tcPr>
          <w:p w14:paraId="3E449EBC">
            <w:pPr>
              <w:spacing w:line="276" w:lineRule="auto"/>
              <w:ind w:left="62" w:right="62"/>
              <w:jc w:val="center"/>
              <w:rPr>
                <w:rStyle w:val="122"/>
                <w:rFonts w:ascii="宋体" w:hAnsi="宋体"/>
                <w:color w:val="auto"/>
                <w:szCs w:val="21"/>
              </w:rPr>
            </w:pPr>
            <w:r>
              <w:rPr>
                <w:rStyle w:val="122"/>
                <w:rFonts w:ascii="宋体" w:hAnsi="宋体"/>
                <w:color w:val="auto"/>
                <w:szCs w:val="21"/>
              </w:rPr>
              <w:t>5</w:t>
            </w:r>
          </w:p>
        </w:tc>
        <w:tc>
          <w:tcPr>
            <w:tcW w:w="981" w:type="dxa"/>
            <w:vAlign w:val="center"/>
          </w:tcPr>
          <w:p w14:paraId="077DFF23">
            <w:pPr>
              <w:spacing w:line="276" w:lineRule="auto"/>
              <w:ind w:left="62" w:right="62"/>
              <w:jc w:val="center"/>
              <w:rPr>
                <w:rStyle w:val="122"/>
                <w:rFonts w:ascii="宋体" w:hAnsi="宋体"/>
                <w:color w:val="auto"/>
                <w:szCs w:val="21"/>
              </w:rPr>
            </w:pPr>
            <w:r>
              <w:rPr>
                <w:rStyle w:val="122"/>
                <w:rFonts w:ascii="宋体" w:hAnsi="宋体"/>
                <w:color w:val="auto"/>
                <w:szCs w:val="21"/>
              </w:rPr>
              <w:t>2.2</w:t>
            </w:r>
          </w:p>
        </w:tc>
        <w:tc>
          <w:tcPr>
            <w:tcW w:w="1552" w:type="dxa"/>
            <w:vAlign w:val="center"/>
          </w:tcPr>
          <w:p w14:paraId="2F56A11C">
            <w:pPr>
              <w:spacing w:line="276" w:lineRule="auto"/>
              <w:ind w:left="62" w:right="62"/>
              <w:jc w:val="center"/>
              <w:rPr>
                <w:rStyle w:val="122"/>
                <w:rFonts w:ascii="宋体" w:hAnsi="宋体"/>
                <w:color w:val="auto"/>
                <w:szCs w:val="21"/>
              </w:rPr>
            </w:pPr>
            <w:r>
              <w:rPr>
                <w:rStyle w:val="122"/>
                <w:rFonts w:ascii="宋体" w:hAnsi="宋体"/>
                <w:color w:val="auto"/>
                <w:szCs w:val="21"/>
              </w:rPr>
              <w:t>承包方式</w:t>
            </w:r>
          </w:p>
        </w:tc>
        <w:tc>
          <w:tcPr>
            <w:tcW w:w="5910" w:type="dxa"/>
            <w:vAlign w:val="center"/>
          </w:tcPr>
          <w:p w14:paraId="218564A1">
            <w:pPr>
              <w:spacing w:line="276" w:lineRule="auto"/>
              <w:ind w:left="62" w:right="62"/>
              <w:rPr>
                <w:rStyle w:val="122"/>
                <w:rFonts w:ascii="宋体" w:hAnsi="宋体"/>
                <w:color w:val="auto"/>
                <w:szCs w:val="21"/>
              </w:rPr>
            </w:pPr>
            <w:r>
              <w:rPr>
                <w:rStyle w:val="122"/>
                <w:rFonts w:hint="eastAsia" w:ascii="宋体" w:hAnsi="宋体"/>
                <w:color w:val="auto"/>
                <w:szCs w:val="21"/>
              </w:rPr>
              <w:t>本项目采用分部分项工程量清单项目综合单价包干、安全文明施工费包干、措施费包干、规费包干、劳保(金)包干、</w:t>
            </w:r>
            <w:r>
              <w:rPr>
                <w:rStyle w:val="122"/>
                <w:rFonts w:ascii="宋体" w:hAnsi="宋体"/>
                <w:color w:val="auto"/>
                <w:szCs w:val="21"/>
              </w:rPr>
              <w:t>超高相关费用包干</w:t>
            </w:r>
            <w:r>
              <w:rPr>
                <w:rStyle w:val="122"/>
                <w:rFonts w:hint="eastAsia" w:ascii="宋体" w:hAnsi="宋体"/>
                <w:color w:val="auto"/>
                <w:szCs w:val="21"/>
              </w:rPr>
              <w:t>，工程量按竣工图图示完成的以组成系统内所必须的实体工程量按《广东省建设工程计价依据（2018）》、《广东省住房和城乡建设厅关于印发〈 广东省建设工程计价依据（2018）〉的通知》（粤建市〔2019〕6号）及广州市现行相应的取费标准进行结算的承包方式。图示以外工程内容，在无发包人审批同意施工的情况下，将不予计量。本项目实行分部分项工程量清单项目综合单价及组成合同价其它分项包施工（包括但不限于包人工、包材料、包机械、包企业管理费、包利润、包风险金、包保险费、包工期、包质量、包安全生产、包环保、包综合治理、包绿色安全文明施工）、包竣工图编制（须满足规划等各专项验收要求）、包承包范围内工程验收通过、包联动调试、包竣工验收通过（须满足规划、消防、人防、档案等各专项验收要求并通过竣工联合验收）、包竣工结算、包资料整理、包移交、包保修的承包方式。</w:t>
            </w:r>
          </w:p>
        </w:tc>
      </w:tr>
      <w:tr w14:paraId="24C8B4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4EC6AEC4">
            <w:pPr>
              <w:spacing w:line="276" w:lineRule="auto"/>
              <w:ind w:left="62" w:right="62"/>
              <w:jc w:val="center"/>
              <w:rPr>
                <w:rStyle w:val="122"/>
                <w:rFonts w:ascii="宋体" w:hAnsi="宋体"/>
                <w:color w:val="auto"/>
                <w:szCs w:val="21"/>
              </w:rPr>
            </w:pPr>
            <w:r>
              <w:rPr>
                <w:rStyle w:val="122"/>
                <w:rFonts w:ascii="宋体" w:hAnsi="宋体"/>
                <w:color w:val="auto"/>
                <w:szCs w:val="21"/>
              </w:rPr>
              <w:t>6</w:t>
            </w:r>
          </w:p>
        </w:tc>
        <w:tc>
          <w:tcPr>
            <w:tcW w:w="981" w:type="dxa"/>
            <w:vAlign w:val="center"/>
          </w:tcPr>
          <w:p w14:paraId="129BB17D">
            <w:pPr>
              <w:spacing w:line="276" w:lineRule="auto"/>
              <w:ind w:left="62" w:right="62"/>
              <w:jc w:val="center"/>
              <w:rPr>
                <w:rStyle w:val="122"/>
                <w:rFonts w:ascii="宋体" w:hAnsi="宋体"/>
                <w:color w:val="auto"/>
                <w:szCs w:val="21"/>
              </w:rPr>
            </w:pPr>
            <w:r>
              <w:rPr>
                <w:rStyle w:val="122"/>
                <w:rFonts w:ascii="宋体" w:hAnsi="宋体"/>
                <w:color w:val="auto"/>
                <w:szCs w:val="21"/>
              </w:rPr>
              <w:t>2.2</w:t>
            </w:r>
          </w:p>
        </w:tc>
        <w:tc>
          <w:tcPr>
            <w:tcW w:w="1552" w:type="dxa"/>
            <w:vAlign w:val="center"/>
          </w:tcPr>
          <w:p w14:paraId="050F2A66">
            <w:pPr>
              <w:spacing w:line="276" w:lineRule="auto"/>
              <w:ind w:left="62" w:right="62"/>
              <w:jc w:val="center"/>
              <w:rPr>
                <w:rStyle w:val="122"/>
                <w:rFonts w:ascii="宋体" w:hAnsi="宋体"/>
                <w:color w:val="auto"/>
                <w:szCs w:val="21"/>
              </w:rPr>
            </w:pPr>
            <w:r>
              <w:rPr>
                <w:rStyle w:val="122"/>
                <w:rFonts w:ascii="宋体" w:hAnsi="宋体"/>
                <w:color w:val="auto"/>
                <w:szCs w:val="21"/>
              </w:rPr>
              <w:t>质量标准</w:t>
            </w:r>
          </w:p>
        </w:tc>
        <w:tc>
          <w:tcPr>
            <w:tcW w:w="5910" w:type="dxa"/>
            <w:vAlign w:val="center"/>
          </w:tcPr>
          <w:p w14:paraId="5CCB54BB">
            <w:pPr>
              <w:spacing w:line="276" w:lineRule="auto"/>
              <w:ind w:left="62" w:right="62"/>
              <w:rPr>
                <w:rStyle w:val="122"/>
                <w:rFonts w:ascii="宋体" w:hAnsi="宋体"/>
                <w:color w:val="auto"/>
                <w:szCs w:val="21"/>
                <w:u w:val="single"/>
              </w:rPr>
            </w:pPr>
            <w:r>
              <w:rPr>
                <w:rStyle w:val="122"/>
                <w:rFonts w:hint="eastAsia"/>
                <w:color w:val="auto"/>
              </w:rPr>
              <w:t>合格</w:t>
            </w:r>
          </w:p>
        </w:tc>
      </w:tr>
      <w:tr w14:paraId="78DB31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F29628D">
            <w:pPr>
              <w:spacing w:line="276" w:lineRule="auto"/>
              <w:ind w:left="62" w:right="62"/>
              <w:jc w:val="center"/>
              <w:rPr>
                <w:rStyle w:val="122"/>
                <w:rFonts w:ascii="宋体" w:hAnsi="宋体"/>
                <w:color w:val="auto"/>
                <w:szCs w:val="21"/>
              </w:rPr>
            </w:pPr>
            <w:r>
              <w:rPr>
                <w:rStyle w:val="122"/>
                <w:rFonts w:ascii="宋体" w:hAnsi="宋体"/>
                <w:color w:val="auto"/>
                <w:szCs w:val="21"/>
              </w:rPr>
              <w:t>7</w:t>
            </w:r>
          </w:p>
        </w:tc>
        <w:tc>
          <w:tcPr>
            <w:tcW w:w="981" w:type="dxa"/>
            <w:vAlign w:val="center"/>
          </w:tcPr>
          <w:p w14:paraId="10308EED">
            <w:pPr>
              <w:spacing w:line="276" w:lineRule="auto"/>
              <w:ind w:left="62" w:right="62"/>
              <w:jc w:val="center"/>
              <w:rPr>
                <w:rStyle w:val="122"/>
                <w:rFonts w:ascii="宋体" w:hAnsi="宋体"/>
                <w:color w:val="auto"/>
                <w:szCs w:val="21"/>
              </w:rPr>
            </w:pPr>
            <w:r>
              <w:rPr>
                <w:rStyle w:val="122"/>
                <w:rFonts w:ascii="宋体" w:hAnsi="宋体"/>
                <w:color w:val="auto"/>
                <w:szCs w:val="21"/>
              </w:rPr>
              <w:t>2.2</w:t>
            </w:r>
          </w:p>
        </w:tc>
        <w:tc>
          <w:tcPr>
            <w:tcW w:w="1552" w:type="dxa"/>
            <w:vAlign w:val="center"/>
          </w:tcPr>
          <w:p w14:paraId="18E9A46E">
            <w:pPr>
              <w:spacing w:line="276" w:lineRule="auto"/>
              <w:ind w:left="62" w:right="62"/>
              <w:jc w:val="center"/>
              <w:rPr>
                <w:rStyle w:val="122"/>
                <w:rFonts w:ascii="宋体" w:hAnsi="宋体"/>
                <w:color w:val="auto"/>
                <w:szCs w:val="21"/>
              </w:rPr>
            </w:pPr>
            <w:r>
              <w:rPr>
                <w:rStyle w:val="122"/>
                <w:rFonts w:ascii="宋体" w:hAnsi="宋体"/>
                <w:color w:val="auto"/>
                <w:szCs w:val="21"/>
              </w:rPr>
              <w:t>招标范围</w:t>
            </w:r>
          </w:p>
        </w:tc>
        <w:tc>
          <w:tcPr>
            <w:tcW w:w="5910" w:type="dxa"/>
            <w:vAlign w:val="center"/>
          </w:tcPr>
          <w:p w14:paraId="17D69582">
            <w:pPr>
              <w:spacing w:line="276" w:lineRule="auto"/>
              <w:ind w:left="62" w:right="62"/>
              <w:rPr>
                <w:rStyle w:val="122"/>
                <w:rFonts w:ascii="宋体" w:hAnsi="宋体"/>
                <w:color w:val="auto"/>
                <w:szCs w:val="21"/>
                <w:u w:val="single"/>
              </w:rPr>
            </w:pPr>
            <w:r>
              <w:rPr>
                <w:rStyle w:val="122"/>
                <w:rFonts w:ascii="宋体" w:hAnsi="宋体"/>
                <w:color w:val="auto"/>
                <w:szCs w:val="21"/>
                <w:u w:val="single"/>
              </w:rPr>
              <w:t>详见本工程招标公告。</w:t>
            </w:r>
          </w:p>
        </w:tc>
      </w:tr>
      <w:tr w14:paraId="3F92C9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22FDB77A">
            <w:pPr>
              <w:spacing w:line="276" w:lineRule="auto"/>
              <w:ind w:left="62" w:right="62"/>
              <w:jc w:val="center"/>
              <w:rPr>
                <w:rStyle w:val="122"/>
                <w:rFonts w:ascii="宋体" w:hAnsi="宋体"/>
                <w:color w:val="auto"/>
                <w:szCs w:val="21"/>
              </w:rPr>
            </w:pPr>
            <w:r>
              <w:rPr>
                <w:rStyle w:val="122"/>
                <w:rFonts w:ascii="宋体" w:hAnsi="宋体"/>
                <w:color w:val="auto"/>
                <w:szCs w:val="21"/>
              </w:rPr>
              <w:t>8</w:t>
            </w:r>
          </w:p>
        </w:tc>
        <w:tc>
          <w:tcPr>
            <w:tcW w:w="981" w:type="dxa"/>
            <w:vAlign w:val="center"/>
          </w:tcPr>
          <w:p w14:paraId="2B1EB388">
            <w:pPr>
              <w:spacing w:line="276" w:lineRule="auto"/>
              <w:ind w:left="62" w:right="62"/>
              <w:jc w:val="center"/>
              <w:rPr>
                <w:rStyle w:val="122"/>
                <w:rFonts w:ascii="宋体" w:hAnsi="宋体"/>
                <w:color w:val="auto"/>
                <w:szCs w:val="21"/>
              </w:rPr>
            </w:pPr>
            <w:r>
              <w:rPr>
                <w:rStyle w:val="122"/>
                <w:rFonts w:ascii="宋体" w:hAnsi="宋体"/>
                <w:color w:val="auto"/>
                <w:szCs w:val="21"/>
              </w:rPr>
              <w:t>2.2</w:t>
            </w:r>
          </w:p>
        </w:tc>
        <w:tc>
          <w:tcPr>
            <w:tcW w:w="1552" w:type="dxa"/>
            <w:vAlign w:val="center"/>
          </w:tcPr>
          <w:p w14:paraId="2BAC4817">
            <w:pPr>
              <w:spacing w:line="276" w:lineRule="auto"/>
              <w:ind w:left="62" w:right="62"/>
              <w:jc w:val="center"/>
              <w:rPr>
                <w:rStyle w:val="122"/>
                <w:rFonts w:ascii="宋体" w:hAnsi="宋体"/>
                <w:color w:val="auto"/>
                <w:szCs w:val="21"/>
              </w:rPr>
            </w:pPr>
            <w:r>
              <w:rPr>
                <w:rStyle w:val="122"/>
                <w:rFonts w:ascii="宋体" w:hAnsi="宋体"/>
                <w:color w:val="auto"/>
                <w:szCs w:val="21"/>
              </w:rPr>
              <w:t>工期要求</w:t>
            </w:r>
          </w:p>
        </w:tc>
        <w:tc>
          <w:tcPr>
            <w:tcW w:w="5910" w:type="dxa"/>
            <w:vAlign w:val="center"/>
          </w:tcPr>
          <w:p w14:paraId="4990FB1F">
            <w:pPr>
              <w:spacing w:line="276" w:lineRule="auto"/>
              <w:ind w:left="62" w:right="62"/>
              <w:rPr>
                <w:rFonts w:ascii="宋体" w:hAnsi="宋体"/>
                <w:color w:val="auto"/>
              </w:rPr>
            </w:pPr>
            <w:r>
              <w:rPr>
                <w:rFonts w:hint="eastAsia" w:ascii="宋体" w:hAnsi="宋体"/>
                <w:color w:val="auto"/>
              </w:rPr>
              <w:t>总工期为</w:t>
            </w:r>
            <w:r>
              <w:rPr>
                <w:rFonts w:hint="eastAsia" w:ascii="宋体" w:hAnsi="宋体"/>
                <w:color w:val="auto"/>
                <w:u w:val="single"/>
              </w:rPr>
              <w:t xml:space="preserve">   </w:t>
            </w:r>
            <w:r>
              <w:rPr>
                <w:rFonts w:ascii="宋体" w:hAnsi="宋体"/>
                <w:color w:val="auto"/>
                <w:u w:val="single"/>
              </w:rPr>
              <w:t>115</w:t>
            </w:r>
            <w:r>
              <w:rPr>
                <w:rFonts w:hint="eastAsia" w:ascii="宋体" w:hAnsi="宋体"/>
                <w:color w:val="auto"/>
                <w:u w:val="single"/>
              </w:rPr>
              <w:t xml:space="preserve">  </w:t>
            </w:r>
            <w:r>
              <w:rPr>
                <w:rFonts w:hint="eastAsia" w:ascii="宋体" w:hAnsi="宋体"/>
                <w:color w:val="auto"/>
              </w:rPr>
              <w:t>个日历天。</w:t>
            </w:r>
          </w:p>
          <w:p w14:paraId="2B8E402E">
            <w:pPr>
              <w:spacing w:line="276" w:lineRule="auto"/>
              <w:ind w:left="62" w:right="62"/>
              <w:rPr>
                <w:color w:val="auto"/>
              </w:rPr>
            </w:pPr>
            <w:r>
              <w:rPr>
                <w:rFonts w:hint="eastAsia" w:ascii="宋体" w:hAnsi="宋体"/>
                <w:color w:val="auto"/>
              </w:rPr>
              <w:t>各工程具体起始时间以招标人或监理单位发出的开工令为准。</w:t>
            </w:r>
          </w:p>
        </w:tc>
      </w:tr>
      <w:tr w14:paraId="74BAD0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FA40EAE">
            <w:pPr>
              <w:spacing w:line="276" w:lineRule="auto"/>
              <w:ind w:left="62" w:right="62"/>
              <w:jc w:val="center"/>
              <w:rPr>
                <w:rStyle w:val="122"/>
                <w:rFonts w:ascii="宋体" w:hAnsi="宋体"/>
                <w:color w:val="auto"/>
                <w:szCs w:val="21"/>
              </w:rPr>
            </w:pPr>
            <w:r>
              <w:rPr>
                <w:rStyle w:val="122"/>
                <w:rFonts w:ascii="宋体" w:hAnsi="宋体"/>
                <w:color w:val="auto"/>
                <w:szCs w:val="21"/>
              </w:rPr>
              <w:t>9</w:t>
            </w:r>
          </w:p>
        </w:tc>
        <w:tc>
          <w:tcPr>
            <w:tcW w:w="981" w:type="dxa"/>
            <w:vAlign w:val="center"/>
          </w:tcPr>
          <w:p w14:paraId="6FFC9895">
            <w:pPr>
              <w:spacing w:line="276" w:lineRule="auto"/>
              <w:ind w:left="62" w:right="62"/>
              <w:jc w:val="center"/>
              <w:rPr>
                <w:rStyle w:val="122"/>
                <w:rFonts w:ascii="宋体" w:hAnsi="宋体"/>
                <w:color w:val="auto"/>
                <w:szCs w:val="21"/>
              </w:rPr>
            </w:pPr>
            <w:r>
              <w:rPr>
                <w:rStyle w:val="122"/>
                <w:rFonts w:ascii="宋体" w:hAnsi="宋体"/>
                <w:color w:val="auto"/>
                <w:szCs w:val="21"/>
              </w:rPr>
              <w:t>3.1</w:t>
            </w:r>
          </w:p>
        </w:tc>
        <w:tc>
          <w:tcPr>
            <w:tcW w:w="1552" w:type="dxa"/>
            <w:vAlign w:val="center"/>
          </w:tcPr>
          <w:p w14:paraId="38B6B35D">
            <w:pPr>
              <w:spacing w:line="276" w:lineRule="auto"/>
              <w:ind w:left="62" w:right="62"/>
              <w:jc w:val="center"/>
              <w:rPr>
                <w:rStyle w:val="122"/>
                <w:rFonts w:ascii="宋体" w:hAnsi="宋体"/>
                <w:color w:val="auto"/>
                <w:szCs w:val="21"/>
              </w:rPr>
            </w:pPr>
            <w:r>
              <w:rPr>
                <w:rStyle w:val="122"/>
                <w:rFonts w:ascii="宋体" w:hAnsi="宋体"/>
                <w:color w:val="auto"/>
                <w:szCs w:val="21"/>
              </w:rPr>
              <w:t>资金来源</w:t>
            </w:r>
          </w:p>
        </w:tc>
        <w:tc>
          <w:tcPr>
            <w:tcW w:w="5910" w:type="dxa"/>
            <w:vAlign w:val="center"/>
          </w:tcPr>
          <w:p w14:paraId="7DF16F20">
            <w:pPr>
              <w:spacing w:line="276" w:lineRule="auto"/>
              <w:ind w:left="62" w:right="62"/>
              <w:rPr>
                <w:rStyle w:val="122"/>
                <w:rFonts w:ascii="宋体" w:hAnsi="宋体"/>
                <w:color w:val="auto"/>
                <w:szCs w:val="21"/>
                <w:u w:val="single"/>
              </w:rPr>
            </w:pPr>
            <w:r>
              <w:rPr>
                <w:rFonts w:hint="eastAsia" w:ascii="宋体" w:hAnsi="宋体" w:cs="宋体"/>
                <w:bCs/>
                <w:snapToGrid w:val="0"/>
                <w:color w:val="auto"/>
                <w:kern w:val="0"/>
                <w:szCs w:val="21"/>
                <w:u w:val="single"/>
              </w:rPr>
              <w:t>企业自筹</w:t>
            </w:r>
          </w:p>
        </w:tc>
      </w:tr>
      <w:tr w14:paraId="0945DC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213B34B9">
            <w:pPr>
              <w:spacing w:line="276" w:lineRule="auto"/>
              <w:ind w:left="62" w:right="62"/>
              <w:jc w:val="center"/>
              <w:rPr>
                <w:rStyle w:val="122"/>
                <w:rFonts w:ascii="宋体" w:hAnsi="宋体"/>
                <w:color w:val="auto"/>
                <w:szCs w:val="21"/>
              </w:rPr>
            </w:pPr>
            <w:r>
              <w:rPr>
                <w:rStyle w:val="122"/>
                <w:rFonts w:ascii="宋体" w:hAnsi="宋体"/>
                <w:color w:val="auto"/>
                <w:szCs w:val="21"/>
              </w:rPr>
              <w:t>10</w:t>
            </w:r>
          </w:p>
        </w:tc>
        <w:tc>
          <w:tcPr>
            <w:tcW w:w="981" w:type="dxa"/>
            <w:vAlign w:val="center"/>
          </w:tcPr>
          <w:p w14:paraId="0C586640">
            <w:pPr>
              <w:spacing w:line="276" w:lineRule="auto"/>
              <w:ind w:left="62" w:right="62"/>
              <w:jc w:val="center"/>
              <w:rPr>
                <w:rStyle w:val="122"/>
                <w:rFonts w:ascii="宋体" w:hAnsi="宋体"/>
                <w:color w:val="auto"/>
                <w:szCs w:val="21"/>
              </w:rPr>
            </w:pPr>
            <w:r>
              <w:rPr>
                <w:rStyle w:val="122"/>
                <w:rFonts w:ascii="宋体" w:hAnsi="宋体"/>
                <w:color w:val="auto"/>
                <w:szCs w:val="21"/>
              </w:rPr>
              <w:t>4.1</w:t>
            </w:r>
          </w:p>
        </w:tc>
        <w:tc>
          <w:tcPr>
            <w:tcW w:w="1552" w:type="dxa"/>
            <w:vAlign w:val="center"/>
          </w:tcPr>
          <w:p w14:paraId="5D33A76E">
            <w:pPr>
              <w:spacing w:line="276" w:lineRule="auto"/>
              <w:ind w:left="62" w:right="62"/>
              <w:jc w:val="center"/>
              <w:rPr>
                <w:rStyle w:val="122"/>
                <w:rFonts w:ascii="宋体" w:hAnsi="宋体"/>
                <w:color w:val="auto"/>
                <w:szCs w:val="21"/>
              </w:rPr>
            </w:pPr>
            <w:r>
              <w:rPr>
                <w:rStyle w:val="122"/>
                <w:rFonts w:ascii="宋体" w:hAnsi="宋体"/>
                <w:color w:val="auto"/>
                <w:szCs w:val="21"/>
              </w:rPr>
              <w:t>投标人资质等级及项目负责人等级要求</w:t>
            </w:r>
          </w:p>
        </w:tc>
        <w:tc>
          <w:tcPr>
            <w:tcW w:w="5910" w:type="dxa"/>
            <w:vAlign w:val="center"/>
          </w:tcPr>
          <w:p w14:paraId="3A19B4BB">
            <w:pPr>
              <w:spacing w:line="276" w:lineRule="auto"/>
              <w:ind w:left="62" w:right="62"/>
              <w:rPr>
                <w:rStyle w:val="122"/>
                <w:rFonts w:ascii="宋体" w:hAnsi="宋体"/>
                <w:color w:val="auto"/>
                <w:szCs w:val="21"/>
              </w:rPr>
            </w:pPr>
            <w:r>
              <w:rPr>
                <w:rStyle w:val="122"/>
                <w:rFonts w:ascii="宋体" w:hAnsi="宋体"/>
                <w:color w:val="auto"/>
                <w:szCs w:val="21"/>
              </w:rPr>
              <w:t>详见本工程招标公告。</w:t>
            </w:r>
          </w:p>
        </w:tc>
      </w:tr>
      <w:tr w14:paraId="7A5D5E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8DBA52C">
            <w:pPr>
              <w:spacing w:line="276" w:lineRule="auto"/>
              <w:ind w:left="62" w:right="62"/>
              <w:jc w:val="center"/>
              <w:rPr>
                <w:rStyle w:val="122"/>
                <w:rFonts w:ascii="宋体" w:hAnsi="宋体"/>
                <w:color w:val="auto"/>
                <w:szCs w:val="21"/>
              </w:rPr>
            </w:pPr>
            <w:r>
              <w:rPr>
                <w:rStyle w:val="122"/>
                <w:rFonts w:ascii="宋体" w:hAnsi="宋体"/>
                <w:color w:val="auto"/>
                <w:szCs w:val="21"/>
              </w:rPr>
              <w:t>11</w:t>
            </w:r>
          </w:p>
        </w:tc>
        <w:tc>
          <w:tcPr>
            <w:tcW w:w="981" w:type="dxa"/>
            <w:vAlign w:val="center"/>
          </w:tcPr>
          <w:p w14:paraId="6628260C">
            <w:pPr>
              <w:spacing w:line="276" w:lineRule="auto"/>
              <w:ind w:left="62" w:right="62" w:firstLine="458"/>
              <w:jc w:val="center"/>
              <w:rPr>
                <w:rStyle w:val="122"/>
                <w:rFonts w:ascii="宋体" w:hAnsi="宋体"/>
                <w:color w:val="auto"/>
                <w:szCs w:val="21"/>
              </w:rPr>
            </w:pPr>
          </w:p>
        </w:tc>
        <w:tc>
          <w:tcPr>
            <w:tcW w:w="1552" w:type="dxa"/>
            <w:vAlign w:val="center"/>
          </w:tcPr>
          <w:p w14:paraId="601C4846">
            <w:pPr>
              <w:spacing w:line="276" w:lineRule="auto"/>
              <w:ind w:left="62" w:right="62"/>
              <w:jc w:val="center"/>
              <w:rPr>
                <w:rStyle w:val="122"/>
                <w:rFonts w:ascii="宋体" w:hAnsi="宋体"/>
                <w:color w:val="auto"/>
                <w:szCs w:val="21"/>
              </w:rPr>
            </w:pPr>
            <w:r>
              <w:rPr>
                <w:rStyle w:val="122"/>
                <w:rFonts w:ascii="宋体" w:hAnsi="宋体"/>
                <w:color w:val="auto"/>
                <w:szCs w:val="21"/>
              </w:rPr>
              <w:t>资格审查方式</w:t>
            </w:r>
          </w:p>
        </w:tc>
        <w:tc>
          <w:tcPr>
            <w:tcW w:w="5910" w:type="dxa"/>
            <w:vAlign w:val="center"/>
          </w:tcPr>
          <w:p w14:paraId="5BFAF94B">
            <w:pPr>
              <w:spacing w:line="276" w:lineRule="auto"/>
              <w:ind w:left="62" w:right="62"/>
              <w:rPr>
                <w:rStyle w:val="122"/>
                <w:rFonts w:ascii="宋体" w:hAnsi="宋体"/>
                <w:color w:val="auto"/>
                <w:szCs w:val="21"/>
              </w:rPr>
            </w:pPr>
            <w:r>
              <w:rPr>
                <w:rStyle w:val="122"/>
                <w:rFonts w:ascii="宋体" w:hAnsi="宋体"/>
                <w:color w:val="auto"/>
                <w:szCs w:val="21"/>
              </w:rPr>
              <w:t>详见本工程招标公告。</w:t>
            </w:r>
          </w:p>
        </w:tc>
      </w:tr>
      <w:tr w14:paraId="78F64D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8D3CE2B">
            <w:pPr>
              <w:spacing w:line="276" w:lineRule="auto"/>
              <w:ind w:left="62" w:right="62"/>
              <w:jc w:val="center"/>
              <w:rPr>
                <w:rStyle w:val="122"/>
                <w:rFonts w:ascii="宋体" w:hAnsi="宋体"/>
                <w:color w:val="auto"/>
                <w:szCs w:val="21"/>
              </w:rPr>
            </w:pPr>
            <w:r>
              <w:rPr>
                <w:rStyle w:val="122"/>
                <w:rFonts w:ascii="宋体" w:hAnsi="宋体"/>
                <w:color w:val="auto"/>
                <w:szCs w:val="21"/>
              </w:rPr>
              <w:t>12</w:t>
            </w:r>
          </w:p>
        </w:tc>
        <w:tc>
          <w:tcPr>
            <w:tcW w:w="981" w:type="dxa"/>
            <w:vAlign w:val="center"/>
          </w:tcPr>
          <w:p w14:paraId="69E68FA6">
            <w:pPr>
              <w:spacing w:line="276" w:lineRule="auto"/>
              <w:ind w:left="62" w:right="62"/>
              <w:jc w:val="center"/>
              <w:rPr>
                <w:rStyle w:val="122"/>
                <w:rFonts w:ascii="宋体" w:hAnsi="宋体"/>
                <w:color w:val="auto"/>
                <w:szCs w:val="21"/>
              </w:rPr>
            </w:pPr>
            <w:r>
              <w:rPr>
                <w:rStyle w:val="122"/>
                <w:rFonts w:ascii="宋体" w:hAnsi="宋体"/>
                <w:color w:val="auto"/>
                <w:szCs w:val="21"/>
              </w:rPr>
              <w:t>13.1</w:t>
            </w:r>
          </w:p>
        </w:tc>
        <w:tc>
          <w:tcPr>
            <w:tcW w:w="1552" w:type="dxa"/>
            <w:vAlign w:val="center"/>
          </w:tcPr>
          <w:p w14:paraId="7B5CE859">
            <w:pPr>
              <w:spacing w:line="276" w:lineRule="auto"/>
              <w:ind w:left="62" w:right="62"/>
              <w:jc w:val="center"/>
              <w:rPr>
                <w:rStyle w:val="122"/>
                <w:rFonts w:ascii="宋体" w:hAnsi="宋体"/>
                <w:color w:val="auto"/>
                <w:szCs w:val="21"/>
              </w:rPr>
            </w:pPr>
            <w:r>
              <w:rPr>
                <w:rStyle w:val="122"/>
                <w:rFonts w:ascii="宋体" w:hAnsi="宋体"/>
                <w:color w:val="auto"/>
                <w:szCs w:val="21"/>
              </w:rPr>
              <w:t>报价以及单价和总价计算方式</w:t>
            </w:r>
          </w:p>
        </w:tc>
        <w:tc>
          <w:tcPr>
            <w:tcW w:w="5910" w:type="dxa"/>
            <w:vAlign w:val="center"/>
          </w:tcPr>
          <w:p w14:paraId="60377E17">
            <w:pPr>
              <w:spacing w:line="276" w:lineRule="auto"/>
              <w:ind w:left="62" w:right="62"/>
              <w:rPr>
                <w:rStyle w:val="122"/>
                <w:rFonts w:ascii="宋体" w:hAnsi="宋体"/>
                <w:color w:val="auto"/>
                <w:szCs w:val="21"/>
              </w:rPr>
            </w:pPr>
            <w:bookmarkStart w:id="2" w:name="EBdfd7e3fe86a241738f1c1d356c309534"/>
            <w:r>
              <w:rPr>
                <w:rFonts w:hint="eastAsia" w:ascii="宋体" w:hAnsi="宋体"/>
                <w:color w:val="auto"/>
                <w:szCs w:val="21"/>
              </w:rPr>
              <w:t>工程量清单计价，按国家、省有关计价规范执行。</w:t>
            </w:r>
            <w:bookmarkEnd w:id="2"/>
            <w:r>
              <w:rPr>
                <w:rFonts w:hint="eastAsia" w:ascii="宋体" w:hAnsi="宋体"/>
                <w:color w:val="auto"/>
                <w:szCs w:val="21"/>
                <w:u w:val="single"/>
              </w:rPr>
              <w:t>本项目按增值税计算税金，采用一般计税方法。</w:t>
            </w:r>
          </w:p>
        </w:tc>
      </w:tr>
      <w:tr w14:paraId="300DBB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1E5F14E">
            <w:pPr>
              <w:spacing w:line="276" w:lineRule="auto"/>
              <w:ind w:left="62" w:right="62"/>
              <w:jc w:val="center"/>
              <w:rPr>
                <w:rStyle w:val="122"/>
                <w:rFonts w:ascii="宋体" w:hAnsi="宋体"/>
                <w:color w:val="auto"/>
                <w:szCs w:val="21"/>
              </w:rPr>
            </w:pPr>
            <w:r>
              <w:rPr>
                <w:rStyle w:val="122"/>
                <w:rFonts w:ascii="宋体" w:hAnsi="宋体"/>
                <w:color w:val="auto"/>
                <w:szCs w:val="21"/>
              </w:rPr>
              <w:t>13</w:t>
            </w:r>
          </w:p>
        </w:tc>
        <w:tc>
          <w:tcPr>
            <w:tcW w:w="981" w:type="dxa"/>
            <w:vAlign w:val="center"/>
          </w:tcPr>
          <w:p w14:paraId="7BD4F3EC">
            <w:pPr>
              <w:spacing w:line="276" w:lineRule="auto"/>
              <w:ind w:left="62" w:right="62"/>
              <w:jc w:val="center"/>
              <w:rPr>
                <w:rStyle w:val="122"/>
                <w:rFonts w:ascii="宋体" w:hAnsi="宋体"/>
                <w:color w:val="auto"/>
                <w:szCs w:val="21"/>
              </w:rPr>
            </w:pPr>
            <w:r>
              <w:rPr>
                <w:rStyle w:val="122"/>
                <w:rFonts w:ascii="宋体" w:hAnsi="宋体"/>
                <w:color w:val="auto"/>
                <w:szCs w:val="21"/>
              </w:rPr>
              <w:t>15.1</w:t>
            </w:r>
          </w:p>
        </w:tc>
        <w:tc>
          <w:tcPr>
            <w:tcW w:w="1552" w:type="dxa"/>
            <w:vAlign w:val="center"/>
          </w:tcPr>
          <w:p w14:paraId="370698A1">
            <w:pPr>
              <w:spacing w:line="276" w:lineRule="auto"/>
              <w:ind w:left="62" w:right="62"/>
              <w:jc w:val="center"/>
              <w:rPr>
                <w:rStyle w:val="122"/>
                <w:rFonts w:ascii="宋体" w:hAnsi="宋体"/>
                <w:color w:val="auto"/>
                <w:szCs w:val="21"/>
              </w:rPr>
            </w:pPr>
            <w:r>
              <w:rPr>
                <w:rStyle w:val="122"/>
                <w:rFonts w:ascii="宋体" w:hAnsi="宋体"/>
                <w:color w:val="auto"/>
                <w:szCs w:val="21"/>
              </w:rPr>
              <w:t>投标有效期</w:t>
            </w:r>
          </w:p>
        </w:tc>
        <w:tc>
          <w:tcPr>
            <w:tcW w:w="5910" w:type="dxa"/>
            <w:vAlign w:val="center"/>
          </w:tcPr>
          <w:p w14:paraId="710C91FD">
            <w:pPr>
              <w:spacing w:line="276" w:lineRule="auto"/>
              <w:ind w:left="62" w:right="62"/>
              <w:rPr>
                <w:rStyle w:val="122"/>
                <w:rFonts w:ascii="宋体" w:hAnsi="宋体"/>
                <w:color w:val="auto"/>
                <w:szCs w:val="21"/>
                <w:u w:val="single"/>
              </w:rPr>
            </w:pPr>
            <w:r>
              <w:rPr>
                <w:rStyle w:val="122"/>
                <w:rFonts w:ascii="宋体" w:hAnsi="宋体"/>
                <w:color w:val="auto"/>
                <w:szCs w:val="21"/>
                <w:u w:val="single"/>
              </w:rPr>
              <w:t>90</w:t>
            </w:r>
            <w:r>
              <w:rPr>
                <w:rStyle w:val="122"/>
                <w:rFonts w:ascii="宋体" w:hAnsi="宋体"/>
                <w:color w:val="auto"/>
                <w:szCs w:val="21"/>
              </w:rPr>
              <w:t>日历天。（从投标截止之日计起）</w:t>
            </w:r>
          </w:p>
        </w:tc>
      </w:tr>
      <w:tr w14:paraId="72D3AF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560D2DD">
            <w:pPr>
              <w:spacing w:line="276" w:lineRule="auto"/>
              <w:ind w:left="62" w:right="62"/>
              <w:jc w:val="center"/>
              <w:rPr>
                <w:rStyle w:val="122"/>
                <w:rFonts w:ascii="宋体" w:hAnsi="宋体"/>
                <w:color w:val="auto"/>
                <w:szCs w:val="21"/>
              </w:rPr>
            </w:pPr>
            <w:r>
              <w:rPr>
                <w:rStyle w:val="122"/>
                <w:rFonts w:ascii="宋体" w:hAnsi="宋体"/>
                <w:color w:val="auto"/>
                <w:szCs w:val="21"/>
              </w:rPr>
              <w:t>14</w:t>
            </w:r>
          </w:p>
        </w:tc>
        <w:tc>
          <w:tcPr>
            <w:tcW w:w="981" w:type="dxa"/>
            <w:vAlign w:val="center"/>
          </w:tcPr>
          <w:p w14:paraId="15D8A7A1">
            <w:pPr>
              <w:spacing w:line="276" w:lineRule="auto"/>
              <w:ind w:left="62" w:right="62"/>
              <w:jc w:val="center"/>
              <w:rPr>
                <w:rStyle w:val="122"/>
                <w:rFonts w:ascii="宋体" w:hAnsi="宋体"/>
                <w:color w:val="auto"/>
                <w:szCs w:val="21"/>
              </w:rPr>
            </w:pPr>
            <w:r>
              <w:rPr>
                <w:rStyle w:val="122"/>
                <w:rFonts w:ascii="宋体" w:hAnsi="宋体"/>
                <w:color w:val="auto"/>
                <w:szCs w:val="21"/>
              </w:rPr>
              <w:t>16.1</w:t>
            </w:r>
          </w:p>
        </w:tc>
        <w:tc>
          <w:tcPr>
            <w:tcW w:w="1552" w:type="dxa"/>
            <w:vAlign w:val="center"/>
          </w:tcPr>
          <w:p w14:paraId="46D49FA2">
            <w:pPr>
              <w:spacing w:line="276" w:lineRule="auto"/>
              <w:ind w:left="62" w:right="62"/>
              <w:jc w:val="center"/>
              <w:rPr>
                <w:rStyle w:val="122"/>
                <w:rFonts w:ascii="宋体" w:hAnsi="宋体"/>
                <w:color w:val="auto"/>
                <w:szCs w:val="21"/>
              </w:rPr>
            </w:pPr>
            <w:r>
              <w:rPr>
                <w:rStyle w:val="122"/>
                <w:rFonts w:ascii="宋体" w:hAnsi="宋体"/>
                <w:color w:val="auto"/>
                <w:szCs w:val="21"/>
              </w:rPr>
              <w:t>投标保证金</w:t>
            </w:r>
          </w:p>
        </w:tc>
        <w:tc>
          <w:tcPr>
            <w:tcW w:w="5910" w:type="dxa"/>
            <w:vAlign w:val="center"/>
          </w:tcPr>
          <w:p w14:paraId="72A4A753">
            <w:pPr>
              <w:spacing w:line="276" w:lineRule="auto"/>
              <w:ind w:left="62" w:right="62"/>
              <w:rPr>
                <w:rFonts w:ascii="宋体" w:hAnsi="宋体"/>
                <w:color w:val="auto"/>
                <w:szCs w:val="21"/>
              </w:rPr>
            </w:pPr>
            <w:r>
              <w:rPr>
                <w:rFonts w:hint="eastAsia" w:ascii="宋体" w:hAnsi="宋体"/>
                <w:color w:val="auto"/>
                <w:szCs w:val="21"/>
              </w:rPr>
              <w:t>是否要求投标人递交投标保证金：</w:t>
            </w:r>
          </w:p>
          <w:p w14:paraId="28A1CC09">
            <w:pPr>
              <w:spacing w:line="276" w:lineRule="auto"/>
              <w:ind w:left="62" w:right="62"/>
              <w:rPr>
                <w:rFonts w:ascii="宋体" w:hAnsi="宋体"/>
                <w:color w:val="auto"/>
                <w:szCs w:val="21"/>
              </w:rPr>
            </w:pPr>
            <w:r>
              <w:rPr>
                <w:rFonts w:hint="eastAsia" w:ascii="宋体" w:hAnsi="宋体"/>
                <w:color w:val="auto"/>
                <w:szCs w:val="21"/>
              </w:rPr>
              <w:t>□不要求递交投标保证金。</w:t>
            </w:r>
          </w:p>
          <w:p w14:paraId="55AB452D">
            <w:pPr>
              <w:pStyle w:val="147"/>
              <w:spacing w:line="276" w:lineRule="auto"/>
              <w:ind w:left="62" w:right="62"/>
              <w:rPr>
                <w:rFonts w:ascii="宋体" w:hAnsi="宋体"/>
                <w:color w:val="auto"/>
                <w:szCs w:val="21"/>
              </w:rPr>
            </w:pPr>
            <w:r>
              <w:rPr>
                <w:rFonts w:hint="eastAsia" w:ascii="宋体" w:hAnsi="宋体"/>
                <w:color w:val="auto"/>
                <w:szCs w:val="21"/>
              </w:rPr>
              <w:t>■要求递交投标保证金。投标保证金的金额：</w:t>
            </w:r>
            <w:r>
              <w:rPr>
                <w:rFonts w:hint="eastAsia" w:ascii="宋体" w:hAnsi="宋体"/>
                <w:color w:val="auto"/>
                <w:szCs w:val="21"/>
                <w:u w:val="single"/>
              </w:rPr>
              <w:t xml:space="preserve"> </w:t>
            </w:r>
            <w:r>
              <w:rPr>
                <w:rFonts w:ascii="宋体" w:hAnsi="宋体"/>
                <w:color w:val="auto"/>
                <w:szCs w:val="21"/>
                <w:u w:val="single"/>
              </w:rPr>
              <w:t>40</w:t>
            </w:r>
            <w:r>
              <w:rPr>
                <w:rFonts w:hint="eastAsia" w:ascii="宋体" w:hAnsi="宋体"/>
                <w:color w:val="auto"/>
                <w:szCs w:val="21"/>
                <w:u w:val="single"/>
              </w:rPr>
              <w:t xml:space="preserve"> </w:t>
            </w:r>
            <w:r>
              <w:rPr>
                <w:rFonts w:ascii="宋体" w:hAnsi="宋体"/>
                <w:color w:val="auto"/>
                <w:szCs w:val="21"/>
              </w:rPr>
              <w:t>万元</w:t>
            </w:r>
            <w:r>
              <w:rPr>
                <w:rFonts w:hint="eastAsia" w:ascii="宋体" w:hAnsi="宋体"/>
                <w:color w:val="auto"/>
                <w:szCs w:val="21"/>
              </w:rPr>
              <w:t>。</w:t>
            </w:r>
          </w:p>
          <w:p w14:paraId="4B6218D3">
            <w:pPr>
              <w:pStyle w:val="147"/>
              <w:spacing w:line="276" w:lineRule="auto"/>
              <w:ind w:left="62" w:right="62"/>
              <w:rPr>
                <w:rFonts w:ascii="宋体" w:hAnsi="宋体"/>
                <w:color w:val="auto"/>
                <w:szCs w:val="21"/>
              </w:rPr>
            </w:pPr>
            <w:r>
              <w:rPr>
                <w:rFonts w:hint="eastAsia" w:ascii="宋体" w:hAnsi="宋体"/>
                <w:color w:val="auto"/>
                <w:szCs w:val="21"/>
              </w:rPr>
              <w:t>投标保证金缴纳时间：在递交投标文件截止时间之前。</w:t>
            </w:r>
          </w:p>
          <w:p w14:paraId="29CDD946">
            <w:pPr>
              <w:pStyle w:val="147"/>
              <w:spacing w:line="276" w:lineRule="auto"/>
              <w:ind w:left="62" w:right="62"/>
              <w:rPr>
                <w:rFonts w:ascii="宋体" w:hAnsi="宋体"/>
                <w:color w:val="auto"/>
                <w:szCs w:val="21"/>
              </w:rPr>
            </w:pPr>
            <w:r>
              <w:rPr>
                <w:rFonts w:hint="eastAsia" w:ascii="宋体" w:hAnsi="宋体"/>
                <w:color w:val="auto"/>
                <w:szCs w:val="21"/>
              </w:rPr>
              <w:t>投标保证金有效期：与投标有效期一致。</w:t>
            </w:r>
          </w:p>
          <w:p w14:paraId="58D9A5EE">
            <w:pPr>
              <w:pStyle w:val="147"/>
              <w:spacing w:line="276" w:lineRule="auto"/>
              <w:ind w:left="62" w:right="62"/>
              <w:rPr>
                <w:rFonts w:ascii="宋体" w:hAnsi="宋体"/>
                <w:color w:val="auto"/>
                <w:szCs w:val="21"/>
              </w:rPr>
            </w:pPr>
            <w:r>
              <w:rPr>
                <w:rFonts w:hint="eastAsia" w:ascii="宋体" w:hAnsi="宋体"/>
                <w:color w:val="auto"/>
                <w:szCs w:val="21"/>
              </w:rPr>
              <w:t>投标保证金可采用现金、或者支票、银行保函、保证保险、专业工程担保公司担保等方式缴纳，须在递交投标文件截止时间前完成缴纳。</w:t>
            </w:r>
          </w:p>
          <w:p w14:paraId="65C484A1">
            <w:pPr>
              <w:pStyle w:val="147"/>
              <w:spacing w:line="276" w:lineRule="auto"/>
              <w:ind w:left="62" w:right="62"/>
              <w:rPr>
                <w:rFonts w:ascii="宋体" w:hAnsi="宋体"/>
                <w:color w:val="auto"/>
                <w:szCs w:val="21"/>
              </w:rPr>
            </w:pPr>
            <w:r>
              <w:rPr>
                <w:rFonts w:hint="eastAsia" w:ascii="宋体" w:hAnsi="宋体"/>
                <w:color w:val="auto"/>
                <w:szCs w:val="21"/>
              </w:rPr>
              <w:t>1、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交易集团有限公司，到账情况以开标时广州公共资源交易中心数据库查询的信息为准。</w:t>
            </w:r>
          </w:p>
          <w:p w14:paraId="2164C6BD">
            <w:pPr>
              <w:pStyle w:val="147"/>
              <w:spacing w:line="276" w:lineRule="auto"/>
              <w:ind w:left="62" w:right="62"/>
              <w:rPr>
                <w:rFonts w:ascii="宋体" w:hAnsi="宋体"/>
                <w:color w:val="auto"/>
                <w:szCs w:val="21"/>
              </w:rPr>
            </w:pPr>
            <w:r>
              <w:rPr>
                <w:rFonts w:hint="eastAsia" w:ascii="宋体" w:hAnsi="宋体"/>
                <w:color w:val="auto"/>
                <w:szCs w:val="21"/>
              </w:rPr>
              <w:t>收款单位：广州交易集团有限公司</w:t>
            </w:r>
          </w:p>
          <w:p w14:paraId="3E51E33F">
            <w:pPr>
              <w:pStyle w:val="147"/>
              <w:spacing w:line="276" w:lineRule="auto"/>
              <w:ind w:left="62" w:right="62"/>
              <w:rPr>
                <w:rFonts w:ascii="宋体" w:hAnsi="宋体"/>
                <w:color w:val="auto"/>
                <w:szCs w:val="21"/>
              </w:rPr>
            </w:pPr>
            <w:r>
              <w:rPr>
                <w:rFonts w:hint="eastAsia" w:ascii="宋体" w:hAnsi="宋体"/>
                <w:color w:val="auto"/>
                <w:szCs w:val="21"/>
              </w:rPr>
              <w:t>开户银行：中国建设银行广州天润路支行，</w:t>
            </w:r>
          </w:p>
          <w:p w14:paraId="51ADE885">
            <w:pPr>
              <w:pStyle w:val="147"/>
              <w:spacing w:line="276" w:lineRule="auto"/>
              <w:ind w:left="62" w:right="62"/>
              <w:rPr>
                <w:rFonts w:ascii="宋体" w:hAnsi="宋体"/>
                <w:color w:val="auto"/>
                <w:szCs w:val="21"/>
              </w:rPr>
            </w:pPr>
            <w:r>
              <w:rPr>
                <w:rFonts w:hint="eastAsia" w:ascii="宋体" w:hAnsi="宋体"/>
                <w:color w:val="auto"/>
                <w:szCs w:val="21"/>
              </w:rPr>
              <w:t>银行账号：44001583404059333333；</w:t>
            </w:r>
          </w:p>
          <w:p w14:paraId="02DFF7C3">
            <w:pPr>
              <w:pStyle w:val="147"/>
              <w:spacing w:line="276" w:lineRule="auto"/>
              <w:ind w:left="62" w:right="62"/>
              <w:rPr>
                <w:rFonts w:ascii="宋体" w:hAnsi="宋体"/>
                <w:color w:val="auto"/>
                <w:szCs w:val="21"/>
              </w:rPr>
            </w:pPr>
            <w:r>
              <w:rPr>
                <w:rFonts w:hint="eastAsia" w:ascii="宋体" w:hAnsi="宋体"/>
                <w:color w:val="auto"/>
                <w:szCs w:val="21"/>
              </w:rPr>
              <w:t>2、如采用非电子形式的银行保函、担保或保证保险或专业工程担保公司担保等形式提交投标保证金的形式提交的，银行保函、或保证保险或专业工程担保公司担保需开具给招标人（受益人也必须是招标人）。在开标前不强制要求投标人提交纸质原件，由中标候选人在中标候选人公示前提交并在网上公示，但投标人应在投标文件中提交非电子形式的银行保函、担保或保证保险等形式的原件扫描件并加盖投标单位电子印章。如投标人选择在开标前提交纸质原件的，可在投标截止时间前单独密封递交（封套上注明“【项目名称】银行保函、担保或保证保险或专业工程担保公司担保”，并注明投标单位名称）至开标室（时间及地点同递交备用投标文件电子光盘的时间及地点）。</w:t>
            </w:r>
          </w:p>
          <w:p w14:paraId="3E097DAF">
            <w:pPr>
              <w:pStyle w:val="147"/>
              <w:spacing w:line="276" w:lineRule="auto"/>
              <w:ind w:left="62" w:right="62"/>
              <w:rPr>
                <w:rFonts w:ascii="宋体" w:hAnsi="宋体"/>
                <w:color w:val="auto"/>
                <w:szCs w:val="21"/>
              </w:rPr>
            </w:pPr>
            <w:r>
              <w:rPr>
                <w:rFonts w:hint="eastAsia" w:ascii="宋体" w:hAnsi="宋体"/>
                <w:color w:val="auto"/>
                <w:szCs w:val="21"/>
              </w:rPr>
              <w:t>3、如采用电子形式的保函、保证保险或担保提交投标保证金的，详见广州公共资源交易中心的相关操作指引为准。</w:t>
            </w:r>
          </w:p>
          <w:p w14:paraId="018C07BE">
            <w:pPr>
              <w:pStyle w:val="147"/>
              <w:spacing w:line="276" w:lineRule="auto"/>
              <w:ind w:left="62" w:right="62"/>
              <w:rPr>
                <w:rFonts w:ascii="宋体" w:hAnsi="宋体"/>
                <w:color w:val="auto"/>
                <w:szCs w:val="21"/>
              </w:rPr>
            </w:pPr>
            <w:r>
              <w:rPr>
                <w:rFonts w:hint="eastAsia" w:ascii="宋体" w:hAnsi="宋体"/>
                <w:color w:val="auto"/>
                <w:szCs w:val="21"/>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tc>
      </w:tr>
      <w:tr w14:paraId="71A6B3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4BA5E87">
            <w:pPr>
              <w:spacing w:line="276" w:lineRule="auto"/>
              <w:ind w:left="62" w:right="62"/>
              <w:jc w:val="center"/>
              <w:rPr>
                <w:rStyle w:val="122"/>
                <w:rFonts w:ascii="宋体" w:hAnsi="宋体"/>
                <w:color w:val="auto"/>
                <w:szCs w:val="21"/>
              </w:rPr>
            </w:pPr>
            <w:r>
              <w:rPr>
                <w:rStyle w:val="122"/>
                <w:rFonts w:ascii="宋体" w:hAnsi="宋体"/>
                <w:color w:val="auto"/>
                <w:szCs w:val="21"/>
              </w:rPr>
              <w:t>15</w:t>
            </w:r>
          </w:p>
        </w:tc>
        <w:tc>
          <w:tcPr>
            <w:tcW w:w="981" w:type="dxa"/>
            <w:vAlign w:val="center"/>
          </w:tcPr>
          <w:p w14:paraId="07154BB1">
            <w:pPr>
              <w:spacing w:line="276" w:lineRule="auto"/>
              <w:ind w:left="62" w:right="62"/>
              <w:jc w:val="center"/>
              <w:rPr>
                <w:rStyle w:val="122"/>
                <w:rFonts w:ascii="宋体" w:hAnsi="宋体"/>
                <w:color w:val="auto"/>
                <w:szCs w:val="21"/>
              </w:rPr>
            </w:pPr>
            <w:r>
              <w:rPr>
                <w:rStyle w:val="122"/>
                <w:rFonts w:ascii="宋体" w:hAnsi="宋体"/>
                <w:color w:val="auto"/>
                <w:szCs w:val="21"/>
              </w:rPr>
              <w:t>5</w:t>
            </w:r>
          </w:p>
        </w:tc>
        <w:tc>
          <w:tcPr>
            <w:tcW w:w="1552" w:type="dxa"/>
            <w:vAlign w:val="center"/>
          </w:tcPr>
          <w:p w14:paraId="00C9B7AD">
            <w:pPr>
              <w:spacing w:line="276" w:lineRule="auto"/>
              <w:ind w:left="62" w:right="62"/>
              <w:jc w:val="center"/>
              <w:rPr>
                <w:rStyle w:val="122"/>
                <w:rFonts w:ascii="宋体" w:hAnsi="宋体"/>
                <w:color w:val="auto"/>
                <w:szCs w:val="21"/>
              </w:rPr>
            </w:pPr>
            <w:r>
              <w:rPr>
                <w:rStyle w:val="122"/>
                <w:rFonts w:ascii="宋体" w:hAnsi="宋体"/>
                <w:color w:val="auto"/>
                <w:szCs w:val="21"/>
              </w:rPr>
              <w:t>踏勘现场</w:t>
            </w:r>
          </w:p>
        </w:tc>
        <w:tc>
          <w:tcPr>
            <w:tcW w:w="5910" w:type="dxa"/>
            <w:vAlign w:val="center"/>
          </w:tcPr>
          <w:p w14:paraId="7FE70C08">
            <w:pPr>
              <w:pStyle w:val="13"/>
              <w:spacing w:line="276" w:lineRule="auto"/>
              <w:ind w:left="62" w:right="62"/>
              <w:rPr>
                <w:bCs/>
                <w:color w:val="auto"/>
              </w:rPr>
            </w:pPr>
            <w:r>
              <w:rPr>
                <w:bCs/>
                <w:color w:val="auto"/>
              </w:rPr>
              <w:t>招标人不集中组织，由投标人自行踏勘。</w:t>
            </w:r>
          </w:p>
          <w:p w14:paraId="7F11220A">
            <w:pPr>
              <w:rPr>
                <w:color w:val="auto"/>
              </w:rPr>
            </w:pPr>
            <w:r>
              <w:rPr>
                <w:rFonts w:hint="eastAsia"/>
                <w:color w:val="auto"/>
              </w:rPr>
              <w:t>补充说明如下：</w:t>
            </w:r>
          </w:p>
          <w:p w14:paraId="55621B74">
            <w:pPr>
              <w:rPr>
                <w:color w:val="auto"/>
              </w:rPr>
            </w:pPr>
            <w:r>
              <w:rPr>
                <w:rFonts w:hint="eastAsia"/>
                <w:color w:val="auto"/>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招标人不受理因投标人缺乏对现场条件的了解或掌握而提出的任何索赔。</w:t>
            </w:r>
          </w:p>
          <w:p w14:paraId="140DD68D">
            <w:pPr>
              <w:rPr>
                <w:color w:val="auto"/>
              </w:rPr>
            </w:pPr>
            <w:r>
              <w:rPr>
                <w:rFonts w:hint="eastAsia"/>
                <w:color w:val="auto"/>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7A207A05">
            <w:pPr>
              <w:rPr>
                <w:color w:val="auto"/>
              </w:rPr>
            </w:pPr>
            <w:r>
              <w:rPr>
                <w:rFonts w:hint="eastAsia"/>
                <w:color w:val="auto"/>
              </w:rPr>
              <w:t>（3）在现场考察中由招标人提供的资料和数据，只是为了使投标人能够利用招标人现有的资料。招标人对投标人由此而作出的推论、解释和结论概不负责。</w:t>
            </w:r>
          </w:p>
        </w:tc>
      </w:tr>
      <w:tr w14:paraId="41063F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07" w:hRule="atLeast"/>
        </w:trPr>
        <w:tc>
          <w:tcPr>
            <w:tcW w:w="657" w:type="dxa"/>
            <w:vAlign w:val="center"/>
          </w:tcPr>
          <w:p w14:paraId="23B88BEB">
            <w:pPr>
              <w:spacing w:line="276" w:lineRule="auto"/>
              <w:ind w:left="62" w:right="62"/>
              <w:jc w:val="center"/>
              <w:rPr>
                <w:rStyle w:val="122"/>
                <w:rFonts w:ascii="宋体" w:hAnsi="宋体"/>
                <w:color w:val="auto"/>
                <w:szCs w:val="21"/>
              </w:rPr>
            </w:pPr>
            <w:r>
              <w:rPr>
                <w:rStyle w:val="122"/>
                <w:rFonts w:ascii="宋体" w:hAnsi="宋体"/>
                <w:color w:val="auto"/>
                <w:szCs w:val="21"/>
              </w:rPr>
              <w:t>16</w:t>
            </w:r>
          </w:p>
        </w:tc>
        <w:tc>
          <w:tcPr>
            <w:tcW w:w="981" w:type="dxa"/>
            <w:vAlign w:val="center"/>
          </w:tcPr>
          <w:p w14:paraId="45403BC7">
            <w:pPr>
              <w:spacing w:line="276" w:lineRule="auto"/>
              <w:ind w:left="62" w:right="62"/>
              <w:jc w:val="center"/>
              <w:rPr>
                <w:rStyle w:val="122"/>
                <w:rFonts w:ascii="宋体" w:hAnsi="宋体"/>
                <w:color w:val="auto"/>
                <w:szCs w:val="21"/>
              </w:rPr>
            </w:pPr>
            <w:r>
              <w:rPr>
                <w:rStyle w:val="122"/>
                <w:rFonts w:ascii="宋体" w:hAnsi="宋体"/>
                <w:color w:val="auto"/>
                <w:szCs w:val="21"/>
              </w:rPr>
              <w:t>8</w:t>
            </w:r>
          </w:p>
        </w:tc>
        <w:tc>
          <w:tcPr>
            <w:tcW w:w="1552" w:type="dxa"/>
            <w:vAlign w:val="center"/>
          </w:tcPr>
          <w:p w14:paraId="71CD5C56">
            <w:pPr>
              <w:spacing w:line="276" w:lineRule="auto"/>
              <w:ind w:left="62" w:right="62"/>
              <w:jc w:val="center"/>
              <w:rPr>
                <w:rStyle w:val="122"/>
                <w:rFonts w:ascii="宋体" w:hAnsi="宋体"/>
                <w:color w:val="auto"/>
                <w:szCs w:val="21"/>
              </w:rPr>
            </w:pPr>
            <w:r>
              <w:rPr>
                <w:rStyle w:val="122"/>
                <w:rFonts w:ascii="宋体" w:hAnsi="宋体"/>
                <w:color w:val="auto"/>
                <w:szCs w:val="21"/>
              </w:rPr>
              <w:t>投标答疑</w:t>
            </w:r>
          </w:p>
        </w:tc>
        <w:tc>
          <w:tcPr>
            <w:tcW w:w="5910" w:type="dxa"/>
            <w:vAlign w:val="center"/>
          </w:tcPr>
          <w:p w14:paraId="3EB520FD">
            <w:pPr>
              <w:ind w:left="62" w:right="62"/>
              <w:rPr>
                <w:rFonts w:ascii="宋体" w:hAnsi="宋体" w:cs="宋体"/>
                <w:color w:val="auto"/>
                <w:szCs w:val="21"/>
              </w:rPr>
            </w:pPr>
            <w:r>
              <w:rPr>
                <w:rFonts w:hint="eastAsia" w:ascii="宋体" w:hAnsi="宋体" w:cs="宋体"/>
                <w:color w:val="auto"/>
                <w:szCs w:val="21"/>
              </w:rPr>
              <w:t>1、疑问提交时间：</w:t>
            </w:r>
            <w:r>
              <w:rPr>
                <w:rFonts w:hint="eastAsia" w:ascii="宋体" w:hAnsi="宋体" w:cs="宋体"/>
                <w:color w:val="auto"/>
                <w:szCs w:val="21"/>
                <w:u w:val="single"/>
              </w:rPr>
              <w:t>在递交投标文件截止日期前18日</w:t>
            </w:r>
            <w:r>
              <w:rPr>
                <w:rFonts w:hint="eastAsia" w:ascii="宋体" w:hAnsi="宋体" w:cs="宋体"/>
                <w:color w:val="auto"/>
                <w:szCs w:val="21"/>
              </w:rPr>
              <w:t>；</w:t>
            </w:r>
          </w:p>
          <w:p w14:paraId="37A2D305">
            <w:pPr>
              <w:ind w:left="62" w:right="62"/>
              <w:rPr>
                <w:rFonts w:ascii="宋体" w:hAnsi="宋体" w:cs="宋体"/>
                <w:color w:val="auto"/>
                <w:szCs w:val="21"/>
              </w:rPr>
            </w:pPr>
            <w:r>
              <w:rPr>
                <w:rFonts w:hint="eastAsia" w:ascii="宋体" w:hAnsi="宋体" w:cs="宋体"/>
                <w:color w:val="auto"/>
                <w:szCs w:val="21"/>
              </w:rPr>
              <w:t>2、形式：投标人的疑问通过</w:t>
            </w:r>
            <w:r>
              <w:rPr>
                <w:rFonts w:hint="eastAsia" w:ascii="宋体" w:hAnsi="宋体" w:cs="宋体"/>
                <w:color w:val="auto"/>
                <w:szCs w:val="21"/>
                <w:u w:val="single"/>
              </w:rPr>
              <w:t>广州公共资源交易中心</w:t>
            </w:r>
            <w:r>
              <w:rPr>
                <w:rFonts w:hint="eastAsia" w:ascii="宋体" w:hAnsi="宋体" w:cs="宋体"/>
                <w:color w:val="auto"/>
                <w:szCs w:val="21"/>
              </w:rPr>
              <w:t>交易平台提交。</w:t>
            </w:r>
          </w:p>
          <w:p w14:paraId="4257DFDC">
            <w:pPr>
              <w:ind w:left="62" w:right="62"/>
              <w:rPr>
                <w:rFonts w:ascii="宋体" w:hAnsi="宋体" w:cs="宋体"/>
                <w:color w:val="auto"/>
                <w:szCs w:val="21"/>
              </w:rPr>
            </w:pPr>
            <w:r>
              <w:rPr>
                <w:rFonts w:hint="eastAsia" w:ascii="宋体" w:hAnsi="宋体" w:cs="宋体"/>
                <w:color w:val="auto"/>
                <w:szCs w:val="21"/>
              </w:rPr>
              <w:t>3、招标人澄清、修补或答疑期限：在递交投标文件截止日期前</w:t>
            </w:r>
            <w:r>
              <w:rPr>
                <w:rFonts w:hint="eastAsia" w:ascii="宋体" w:hAnsi="宋体" w:cs="宋体"/>
                <w:color w:val="auto"/>
                <w:szCs w:val="21"/>
                <w:u w:val="single"/>
              </w:rPr>
              <w:t>15</w:t>
            </w:r>
            <w:r>
              <w:rPr>
                <w:rFonts w:hint="eastAsia" w:ascii="宋体" w:hAnsi="宋体" w:cs="宋体"/>
                <w:color w:val="auto"/>
                <w:szCs w:val="21"/>
              </w:rPr>
              <w:t>日；</w:t>
            </w:r>
          </w:p>
          <w:p w14:paraId="3683E46E">
            <w:pPr>
              <w:ind w:left="62" w:right="62"/>
              <w:rPr>
                <w:rFonts w:ascii="宋体" w:hAnsi="宋体" w:cs="宋体"/>
                <w:color w:val="auto"/>
                <w:szCs w:val="21"/>
              </w:rPr>
            </w:pPr>
            <w:r>
              <w:rPr>
                <w:rFonts w:hint="eastAsia" w:ascii="宋体" w:hAnsi="宋体" w:cs="宋体"/>
                <w:color w:val="auto"/>
                <w:szCs w:val="21"/>
              </w:rPr>
              <w:t>4、网上答疑的操作指南为：</w:t>
            </w:r>
            <w:r>
              <w:rPr>
                <w:rFonts w:hint="eastAsia" w:ascii="宋体" w:hAnsi="宋体" w:cs="宋体"/>
                <w:color w:val="auto"/>
                <w:szCs w:val="21"/>
                <w:u w:val="single"/>
              </w:rPr>
              <w:t>投标人登录广州公共资源交易中心数字交易平台→进入“我是投标人”页面→进入“招标答疑提问”页面→通过项目编号或名称找到所需的项目→在上述答疑时间内点击“答疑提问”→无记名或匿名提出问题。</w:t>
            </w:r>
          </w:p>
        </w:tc>
      </w:tr>
      <w:tr w14:paraId="5A55EF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57" w:type="dxa"/>
            <w:vAlign w:val="center"/>
          </w:tcPr>
          <w:p w14:paraId="33C5B1DA">
            <w:pPr>
              <w:spacing w:line="276" w:lineRule="auto"/>
              <w:ind w:left="62" w:right="62"/>
              <w:jc w:val="center"/>
              <w:rPr>
                <w:rStyle w:val="122"/>
                <w:rFonts w:ascii="宋体" w:hAnsi="宋体"/>
                <w:color w:val="auto"/>
                <w:szCs w:val="21"/>
              </w:rPr>
            </w:pPr>
            <w:r>
              <w:rPr>
                <w:rStyle w:val="122"/>
                <w:rFonts w:ascii="宋体" w:hAnsi="宋体"/>
                <w:color w:val="auto"/>
                <w:szCs w:val="21"/>
              </w:rPr>
              <w:t>17</w:t>
            </w:r>
          </w:p>
        </w:tc>
        <w:tc>
          <w:tcPr>
            <w:tcW w:w="981" w:type="dxa"/>
            <w:vAlign w:val="center"/>
          </w:tcPr>
          <w:p w14:paraId="683B7E72">
            <w:pPr>
              <w:spacing w:line="276" w:lineRule="auto"/>
              <w:ind w:left="62" w:right="62"/>
              <w:jc w:val="center"/>
              <w:rPr>
                <w:rStyle w:val="122"/>
                <w:rFonts w:ascii="宋体" w:hAnsi="宋体"/>
                <w:color w:val="auto"/>
                <w:szCs w:val="21"/>
              </w:rPr>
            </w:pPr>
            <w:r>
              <w:rPr>
                <w:rStyle w:val="122"/>
                <w:rFonts w:ascii="宋体" w:hAnsi="宋体"/>
                <w:color w:val="auto"/>
                <w:szCs w:val="21"/>
              </w:rPr>
              <w:t>20.1</w:t>
            </w:r>
          </w:p>
        </w:tc>
        <w:tc>
          <w:tcPr>
            <w:tcW w:w="1552" w:type="dxa"/>
            <w:vAlign w:val="center"/>
          </w:tcPr>
          <w:p w14:paraId="0B6E2FDD">
            <w:pPr>
              <w:spacing w:line="276" w:lineRule="auto"/>
              <w:ind w:left="62" w:right="62"/>
              <w:jc w:val="center"/>
              <w:rPr>
                <w:rStyle w:val="122"/>
                <w:rFonts w:ascii="宋体" w:hAnsi="宋体"/>
                <w:color w:val="auto"/>
                <w:szCs w:val="21"/>
              </w:rPr>
            </w:pPr>
            <w:r>
              <w:rPr>
                <w:rStyle w:val="122"/>
                <w:rFonts w:ascii="宋体" w:hAnsi="宋体"/>
                <w:color w:val="auto"/>
                <w:szCs w:val="21"/>
              </w:rPr>
              <w:t>投标截止时间</w:t>
            </w:r>
          </w:p>
        </w:tc>
        <w:tc>
          <w:tcPr>
            <w:tcW w:w="5910" w:type="dxa"/>
            <w:vAlign w:val="center"/>
          </w:tcPr>
          <w:p w14:paraId="4F88A14E">
            <w:pPr>
              <w:spacing w:line="276" w:lineRule="auto"/>
              <w:ind w:left="62" w:right="62"/>
              <w:rPr>
                <w:rStyle w:val="122"/>
                <w:rFonts w:ascii="宋体" w:hAnsi="宋体"/>
                <w:strike/>
                <w:color w:val="auto"/>
                <w:szCs w:val="21"/>
              </w:rPr>
            </w:pPr>
            <w:r>
              <w:rPr>
                <w:rStyle w:val="122"/>
                <w:rFonts w:hint="eastAsia" w:ascii="宋体" w:hAnsi="宋体"/>
                <w:color w:val="auto"/>
                <w:szCs w:val="21"/>
              </w:rPr>
              <w:t>详见招标公告</w:t>
            </w:r>
            <w:r>
              <w:rPr>
                <w:rStyle w:val="122"/>
                <w:rFonts w:ascii="宋体" w:hAnsi="宋体"/>
                <w:color w:val="auto"/>
                <w:szCs w:val="21"/>
              </w:rPr>
              <w:t>。</w:t>
            </w:r>
          </w:p>
        </w:tc>
      </w:tr>
      <w:tr w14:paraId="72408D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ABF1A86">
            <w:pPr>
              <w:spacing w:line="276" w:lineRule="auto"/>
              <w:ind w:left="62" w:right="62"/>
              <w:jc w:val="center"/>
              <w:rPr>
                <w:rStyle w:val="122"/>
                <w:rFonts w:ascii="宋体" w:hAnsi="宋体"/>
                <w:color w:val="auto"/>
                <w:szCs w:val="21"/>
              </w:rPr>
            </w:pPr>
            <w:r>
              <w:rPr>
                <w:rStyle w:val="122"/>
                <w:rFonts w:ascii="宋体" w:hAnsi="宋体"/>
                <w:color w:val="auto"/>
                <w:szCs w:val="21"/>
              </w:rPr>
              <w:t>18</w:t>
            </w:r>
          </w:p>
        </w:tc>
        <w:tc>
          <w:tcPr>
            <w:tcW w:w="981" w:type="dxa"/>
            <w:vAlign w:val="center"/>
          </w:tcPr>
          <w:p w14:paraId="09C180E0">
            <w:pPr>
              <w:spacing w:line="276" w:lineRule="auto"/>
              <w:ind w:left="62" w:right="62"/>
              <w:jc w:val="center"/>
              <w:rPr>
                <w:rStyle w:val="122"/>
                <w:rFonts w:ascii="宋体" w:hAnsi="宋体"/>
                <w:color w:val="auto"/>
                <w:szCs w:val="21"/>
              </w:rPr>
            </w:pPr>
            <w:r>
              <w:rPr>
                <w:rStyle w:val="122"/>
                <w:rFonts w:ascii="宋体" w:hAnsi="宋体"/>
                <w:color w:val="auto"/>
                <w:szCs w:val="21"/>
              </w:rPr>
              <w:t>20.1</w:t>
            </w:r>
          </w:p>
        </w:tc>
        <w:tc>
          <w:tcPr>
            <w:tcW w:w="1552" w:type="dxa"/>
            <w:vAlign w:val="center"/>
          </w:tcPr>
          <w:p w14:paraId="1DB7F3F4">
            <w:pPr>
              <w:spacing w:line="276" w:lineRule="auto"/>
              <w:ind w:left="62" w:right="62"/>
              <w:jc w:val="center"/>
              <w:rPr>
                <w:rStyle w:val="122"/>
                <w:rFonts w:ascii="宋体" w:hAnsi="宋体"/>
                <w:color w:val="auto"/>
                <w:szCs w:val="21"/>
              </w:rPr>
            </w:pPr>
            <w:r>
              <w:rPr>
                <w:rStyle w:val="122"/>
                <w:rFonts w:ascii="宋体" w:hAnsi="宋体"/>
                <w:color w:val="auto"/>
                <w:szCs w:val="21"/>
              </w:rPr>
              <w:t>开标开始时间和地点</w:t>
            </w:r>
          </w:p>
        </w:tc>
        <w:tc>
          <w:tcPr>
            <w:tcW w:w="5910" w:type="dxa"/>
            <w:vAlign w:val="center"/>
          </w:tcPr>
          <w:p w14:paraId="7518B3D8">
            <w:pPr>
              <w:spacing w:line="276" w:lineRule="auto"/>
              <w:ind w:left="62" w:right="62"/>
              <w:rPr>
                <w:rStyle w:val="122"/>
                <w:rFonts w:ascii="宋体" w:hAnsi="宋体"/>
                <w:color w:val="auto"/>
                <w:szCs w:val="21"/>
              </w:rPr>
            </w:pPr>
            <w:r>
              <w:rPr>
                <w:rStyle w:val="122"/>
                <w:rFonts w:ascii="宋体" w:hAnsi="宋体"/>
                <w:color w:val="auto"/>
                <w:szCs w:val="21"/>
              </w:rPr>
              <w:t>（技术标和经济标同时开标）</w:t>
            </w:r>
          </w:p>
          <w:p w14:paraId="50861DE7">
            <w:pPr>
              <w:spacing w:line="276" w:lineRule="auto"/>
              <w:ind w:left="62" w:right="62"/>
              <w:rPr>
                <w:rStyle w:val="122"/>
                <w:rFonts w:ascii="宋体" w:hAnsi="宋体"/>
                <w:color w:val="auto"/>
                <w:szCs w:val="21"/>
              </w:rPr>
            </w:pPr>
            <w:r>
              <w:rPr>
                <w:rStyle w:val="122"/>
                <w:rFonts w:hint="eastAsia" w:ascii="宋体" w:hAnsi="宋体"/>
                <w:color w:val="auto"/>
                <w:szCs w:val="21"/>
              </w:rPr>
              <w:t>1</w:t>
            </w:r>
            <w:r>
              <w:rPr>
                <w:rStyle w:val="122"/>
                <w:rFonts w:ascii="宋体" w:hAnsi="宋体"/>
                <w:color w:val="auto"/>
                <w:szCs w:val="21"/>
              </w:rPr>
              <w:t>.开标开始时间：</w:t>
            </w:r>
            <w:r>
              <w:rPr>
                <w:rStyle w:val="122"/>
                <w:rFonts w:hint="eastAsia" w:ascii="宋体" w:hAnsi="宋体"/>
                <w:color w:val="auto"/>
                <w:szCs w:val="21"/>
                <w:u w:val="single"/>
              </w:rPr>
              <w:t>详见招标公告</w:t>
            </w:r>
            <w:r>
              <w:rPr>
                <w:rStyle w:val="122"/>
                <w:rFonts w:ascii="宋体" w:hAnsi="宋体"/>
                <w:color w:val="auto"/>
                <w:szCs w:val="21"/>
                <w:u w:val="single"/>
              </w:rPr>
              <w:t>（与投标截止时间为同一时间）</w:t>
            </w:r>
            <w:r>
              <w:rPr>
                <w:rStyle w:val="122"/>
                <w:rFonts w:ascii="宋体" w:hAnsi="宋体"/>
                <w:color w:val="auto"/>
                <w:szCs w:val="21"/>
              </w:rPr>
              <w:t>，地点：</w:t>
            </w:r>
            <w:r>
              <w:rPr>
                <w:rStyle w:val="122"/>
                <w:rFonts w:hint="eastAsia" w:ascii="宋体" w:hAnsi="宋体"/>
                <w:color w:val="auto"/>
                <w:szCs w:val="21"/>
                <w:u w:val="single"/>
              </w:rPr>
              <w:t>详见招标公告。</w:t>
            </w:r>
            <w:r>
              <w:rPr>
                <w:rStyle w:val="122"/>
                <w:rFonts w:hint="eastAsia" w:ascii="宋体" w:hAnsi="宋体"/>
                <w:color w:val="auto"/>
                <w:szCs w:val="21"/>
              </w:rPr>
              <w:t>投标人也可选择参加在线开标，具体按照交易平台相关指南进行操作。详见：广州公共资源交易中心网站（http:/ www.gzggzy.cn）服务指南栏目。</w:t>
            </w:r>
          </w:p>
          <w:p w14:paraId="786DFDFC">
            <w:pPr>
              <w:spacing w:line="276" w:lineRule="auto"/>
              <w:ind w:left="62" w:right="62"/>
              <w:rPr>
                <w:rStyle w:val="122"/>
                <w:rFonts w:ascii="宋体" w:hAnsi="宋体"/>
                <w:color w:val="auto"/>
                <w:szCs w:val="21"/>
              </w:rPr>
            </w:pPr>
            <w:r>
              <w:rPr>
                <w:rStyle w:val="122"/>
                <w:rFonts w:ascii="宋体" w:hAnsi="宋体"/>
                <w:color w:val="auto"/>
                <w:szCs w:val="21"/>
              </w:rPr>
              <w:t>注：投标文件解密问题。投标人只用执行一次解密，招标人执行解密次数根据招标文件开标次数确定。</w:t>
            </w:r>
          </w:p>
          <w:p w14:paraId="66D53618">
            <w:pPr>
              <w:spacing w:line="276" w:lineRule="auto"/>
              <w:ind w:left="62" w:right="62"/>
              <w:rPr>
                <w:rStyle w:val="122"/>
                <w:rFonts w:ascii="宋体" w:hAnsi="宋体"/>
                <w:color w:val="auto"/>
                <w:szCs w:val="21"/>
              </w:rPr>
            </w:pPr>
            <w:r>
              <w:rPr>
                <w:rStyle w:val="122"/>
                <w:rFonts w:ascii="宋体" w:hAnsi="宋体"/>
                <w:color w:val="auto"/>
                <w:szCs w:val="21"/>
              </w:rPr>
              <w:t>2.递交投标文件备用光盘时间：</w:t>
            </w:r>
            <w:r>
              <w:rPr>
                <w:rStyle w:val="122"/>
                <w:rFonts w:hint="eastAsia" w:ascii="宋体" w:hAnsi="宋体"/>
                <w:color w:val="auto"/>
                <w:szCs w:val="21"/>
              </w:rPr>
              <w:t>详见广州公共资源交易中心网站</w:t>
            </w:r>
            <w:r>
              <w:rPr>
                <w:rStyle w:val="122"/>
                <w:rFonts w:hint="eastAsia" w:ascii="宋体" w:hAnsi="宋体"/>
                <w:color w:val="auto"/>
                <w:szCs w:val="21"/>
                <w:u w:val="single"/>
              </w:rPr>
              <w:t>日程安排</w:t>
            </w:r>
            <w:r>
              <w:rPr>
                <w:rStyle w:val="122"/>
                <w:rFonts w:ascii="宋体" w:hAnsi="宋体"/>
                <w:color w:val="auto"/>
                <w:szCs w:val="21"/>
              </w:rPr>
              <w:t>；递交地点：</w:t>
            </w:r>
            <w:r>
              <w:rPr>
                <w:rStyle w:val="122"/>
                <w:rFonts w:hint="eastAsia" w:ascii="宋体" w:hAnsi="宋体"/>
                <w:color w:val="auto"/>
                <w:szCs w:val="21"/>
              </w:rPr>
              <w:t>广州公共资源交易中心网站</w:t>
            </w:r>
            <w:r>
              <w:rPr>
                <w:rStyle w:val="122"/>
                <w:rFonts w:hint="eastAsia" w:ascii="宋体" w:hAnsi="宋体"/>
                <w:color w:val="auto"/>
                <w:szCs w:val="21"/>
                <w:u w:val="single"/>
              </w:rPr>
              <w:t>日程安排</w:t>
            </w:r>
            <w:r>
              <w:rPr>
                <w:rStyle w:val="122"/>
                <w:rFonts w:ascii="宋体" w:hAnsi="宋体"/>
                <w:color w:val="auto"/>
                <w:szCs w:val="21"/>
              </w:rPr>
              <w:t>。</w:t>
            </w:r>
          </w:p>
          <w:p w14:paraId="43338F5B">
            <w:pPr>
              <w:widowControl w:val="0"/>
              <w:ind w:left="62" w:right="62"/>
              <w:textAlignment w:val="auto"/>
              <w:rPr>
                <w:color w:val="auto"/>
              </w:rPr>
            </w:pPr>
            <w:r>
              <w:rPr>
                <w:rFonts w:hint="eastAsia" w:ascii="宋体" w:hAnsi="宋体" w:cs="宋体"/>
                <w:color w:val="auto"/>
                <w:u w:val="single"/>
              </w:rPr>
              <w:t>3、该项目不需要项目负责人签到。</w:t>
            </w:r>
          </w:p>
          <w:p w14:paraId="1E2C6BF4">
            <w:pPr>
              <w:spacing w:line="276" w:lineRule="auto"/>
              <w:ind w:left="62" w:right="62"/>
              <w:rPr>
                <w:rStyle w:val="122"/>
                <w:rFonts w:ascii="宋体" w:hAnsi="宋体"/>
                <w:color w:val="auto"/>
                <w:szCs w:val="21"/>
              </w:rPr>
            </w:pPr>
            <w:r>
              <w:rPr>
                <w:rFonts w:hint="eastAsia" w:ascii="宋体" w:hAnsi="宋体"/>
                <w:color w:val="auto"/>
                <w:szCs w:val="21"/>
              </w:rPr>
              <w:t>注：</w:t>
            </w:r>
            <w:r>
              <w:rPr>
                <w:rStyle w:val="122"/>
                <w:rFonts w:ascii="宋体" w:hAnsi="宋体"/>
                <w:color w:val="auto"/>
                <w:szCs w:val="21"/>
              </w:rPr>
              <w:t>上述时间及地点是否有改变，请密切留意</w:t>
            </w:r>
            <w:r>
              <w:rPr>
                <w:rStyle w:val="122"/>
                <w:rFonts w:hint="eastAsia" w:ascii="宋体" w:hAnsi="宋体"/>
                <w:color w:val="auto"/>
                <w:szCs w:val="21"/>
              </w:rPr>
              <w:t>补充公告或</w:t>
            </w:r>
            <w:r>
              <w:rPr>
                <w:rStyle w:val="122"/>
                <w:rFonts w:ascii="宋体" w:hAnsi="宋体"/>
                <w:color w:val="auto"/>
                <w:szCs w:val="21"/>
              </w:rPr>
              <w:t>招标答疑纪要的相关信息。</w:t>
            </w:r>
          </w:p>
        </w:tc>
      </w:tr>
      <w:tr w14:paraId="60966D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B10C556">
            <w:pPr>
              <w:spacing w:line="276" w:lineRule="auto"/>
              <w:ind w:left="62" w:right="62"/>
              <w:jc w:val="center"/>
              <w:rPr>
                <w:rStyle w:val="122"/>
                <w:rFonts w:ascii="宋体" w:hAnsi="宋体"/>
                <w:color w:val="auto"/>
                <w:szCs w:val="21"/>
              </w:rPr>
            </w:pPr>
            <w:r>
              <w:rPr>
                <w:rStyle w:val="122"/>
                <w:rFonts w:ascii="宋体" w:hAnsi="宋体"/>
                <w:color w:val="auto"/>
                <w:szCs w:val="21"/>
              </w:rPr>
              <w:t>19</w:t>
            </w:r>
          </w:p>
        </w:tc>
        <w:tc>
          <w:tcPr>
            <w:tcW w:w="981" w:type="dxa"/>
            <w:vAlign w:val="center"/>
          </w:tcPr>
          <w:p w14:paraId="0C99151E">
            <w:pPr>
              <w:spacing w:line="276" w:lineRule="auto"/>
              <w:ind w:left="62" w:right="62"/>
              <w:jc w:val="center"/>
              <w:rPr>
                <w:rStyle w:val="122"/>
                <w:rFonts w:ascii="宋体" w:hAnsi="宋体"/>
                <w:color w:val="auto"/>
                <w:szCs w:val="21"/>
              </w:rPr>
            </w:pPr>
            <w:r>
              <w:rPr>
                <w:rStyle w:val="122"/>
                <w:rFonts w:ascii="宋体" w:hAnsi="宋体"/>
                <w:color w:val="auto"/>
                <w:szCs w:val="21"/>
              </w:rPr>
              <w:t>26</w:t>
            </w:r>
          </w:p>
        </w:tc>
        <w:tc>
          <w:tcPr>
            <w:tcW w:w="1552" w:type="dxa"/>
            <w:vAlign w:val="center"/>
          </w:tcPr>
          <w:p w14:paraId="374783D9">
            <w:pPr>
              <w:spacing w:line="276" w:lineRule="auto"/>
              <w:ind w:left="62" w:right="62"/>
              <w:jc w:val="center"/>
              <w:rPr>
                <w:rStyle w:val="122"/>
                <w:rFonts w:ascii="宋体" w:hAnsi="宋体"/>
                <w:color w:val="auto"/>
                <w:szCs w:val="21"/>
              </w:rPr>
            </w:pPr>
            <w:r>
              <w:rPr>
                <w:rStyle w:val="122"/>
                <w:rFonts w:ascii="宋体" w:hAnsi="宋体"/>
                <w:color w:val="auto"/>
                <w:szCs w:val="21"/>
              </w:rPr>
              <w:t>开标评标办法</w:t>
            </w:r>
          </w:p>
        </w:tc>
        <w:tc>
          <w:tcPr>
            <w:tcW w:w="5910" w:type="dxa"/>
            <w:vAlign w:val="center"/>
          </w:tcPr>
          <w:p w14:paraId="50DC8464">
            <w:pPr>
              <w:spacing w:line="276" w:lineRule="auto"/>
              <w:ind w:left="62" w:right="62"/>
              <w:rPr>
                <w:b/>
                <w:bCs/>
                <w:color w:val="auto"/>
              </w:rPr>
            </w:pPr>
            <w:r>
              <w:rPr>
                <w:rFonts w:hint="eastAsia" w:ascii="宋体" w:hAnsi="宋体"/>
                <w:color w:val="auto"/>
                <w:szCs w:val="21"/>
              </w:rPr>
              <w:t>方式一：选取方法办法七（适合综合评分法四，技术标与经济标同时开启）；</w:t>
            </w:r>
            <w:r>
              <w:rPr>
                <w:rFonts w:hint="eastAsia" w:ascii="宋体" w:hAnsi="宋体"/>
                <w:b/>
                <w:bCs/>
                <w:color w:val="auto"/>
                <w:szCs w:val="21"/>
              </w:rPr>
              <w:t>投标人总得分（1</w:t>
            </w:r>
            <w:r>
              <w:rPr>
                <w:rFonts w:ascii="宋体" w:hAnsi="宋体"/>
                <w:b/>
                <w:bCs/>
                <w:color w:val="auto"/>
                <w:szCs w:val="21"/>
              </w:rPr>
              <w:t>00</w:t>
            </w:r>
            <w:r>
              <w:rPr>
                <w:rFonts w:hint="eastAsia" w:ascii="宋体" w:hAnsi="宋体"/>
                <w:b/>
                <w:bCs/>
                <w:color w:val="auto"/>
                <w:szCs w:val="21"/>
              </w:rPr>
              <w:t>分）=技术得分（1</w:t>
            </w:r>
            <w:r>
              <w:rPr>
                <w:rFonts w:ascii="宋体" w:hAnsi="宋体"/>
                <w:b/>
                <w:bCs/>
                <w:color w:val="auto"/>
                <w:szCs w:val="21"/>
              </w:rPr>
              <w:t>00</w:t>
            </w:r>
            <w:r>
              <w:rPr>
                <w:rFonts w:hint="eastAsia" w:ascii="宋体" w:hAnsi="宋体"/>
                <w:b/>
                <w:bCs/>
                <w:color w:val="auto"/>
                <w:szCs w:val="21"/>
              </w:rPr>
              <w:t>分）×技术得分权重（30%）＋经济得分（1</w:t>
            </w:r>
            <w:r>
              <w:rPr>
                <w:rFonts w:ascii="宋体" w:hAnsi="宋体"/>
                <w:b/>
                <w:bCs/>
                <w:color w:val="auto"/>
                <w:szCs w:val="21"/>
              </w:rPr>
              <w:t>00</w:t>
            </w:r>
            <w:r>
              <w:rPr>
                <w:rFonts w:hint="eastAsia" w:ascii="宋体" w:hAnsi="宋体"/>
                <w:b/>
                <w:bCs/>
                <w:color w:val="auto"/>
                <w:szCs w:val="21"/>
              </w:rPr>
              <w:t>分）×经济得分权重（70%）</w:t>
            </w:r>
          </w:p>
          <w:p w14:paraId="68E44A42">
            <w:pPr>
              <w:spacing w:line="276" w:lineRule="auto"/>
              <w:ind w:left="62" w:right="62"/>
              <w:rPr>
                <w:rFonts w:ascii="宋体" w:hAnsi="宋体"/>
                <w:color w:val="auto"/>
                <w:szCs w:val="21"/>
              </w:rPr>
            </w:pPr>
            <w:r>
              <w:rPr>
                <w:rFonts w:hint="eastAsia" w:ascii="宋体" w:hAnsi="宋体"/>
                <w:color w:val="auto"/>
                <w:szCs w:val="21"/>
              </w:rPr>
              <w:t>总得分相同情况下的排序方法：总得分相同的投标文件，以技术分高的排前；如仍存在相同情况，则对具有相同情况的投标人，由评标委员会采用投票方式，确定投标人的排序。</w:t>
            </w:r>
          </w:p>
          <w:p w14:paraId="57A62035">
            <w:pPr>
              <w:spacing w:line="276" w:lineRule="auto"/>
              <w:ind w:left="62" w:right="62"/>
              <w:rPr>
                <w:rStyle w:val="122"/>
                <w:rFonts w:ascii="宋体" w:hAnsi="宋体"/>
                <w:color w:val="auto"/>
                <w:szCs w:val="21"/>
              </w:rPr>
            </w:pPr>
            <w:r>
              <w:rPr>
                <w:rFonts w:hint="eastAsia" w:ascii="宋体" w:hAnsi="宋体"/>
                <w:color w:val="auto"/>
                <w:szCs w:val="21"/>
              </w:rPr>
              <w:t>注：投票方式确定排序的具体操作步骤为：由评标委员会对出现该情况的投标人进行编号，然后通过投票方式依次确定投标人的排序。</w:t>
            </w:r>
          </w:p>
        </w:tc>
      </w:tr>
      <w:tr w14:paraId="277FBE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794E7B5">
            <w:pPr>
              <w:spacing w:line="276" w:lineRule="auto"/>
              <w:ind w:left="62" w:right="62"/>
              <w:jc w:val="center"/>
              <w:rPr>
                <w:rStyle w:val="122"/>
                <w:rFonts w:ascii="宋体" w:hAnsi="宋体"/>
                <w:color w:val="auto"/>
                <w:szCs w:val="21"/>
              </w:rPr>
            </w:pPr>
            <w:r>
              <w:rPr>
                <w:rStyle w:val="122"/>
                <w:rFonts w:ascii="宋体" w:hAnsi="宋体"/>
                <w:color w:val="auto"/>
                <w:szCs w:val="21"/>
              </w:rPr>
              <w:t>20</w:t>
            </w:r>
          </w:p>
        </w:tc>
        <w:tc>
          <w:tcPr>
            <w:tcW w:w="981" w:type="dxa"/>
            <w:vAlign w:val="center"/>
          </w:tcPr>
          <w:p w14:paraId="3BB7465F">
            <w:pPr>
              <w:spacing w:line="276" w:lineRule="auto"/>
              <w:ind w:left="62" w:right="62"/>
              <w:jc w:val="center"/>
              <w:rPr>
                <w:rStyle w:val="122"/>
                <w:rFonts w:ascii="宋体" w:hAnsi="宋体"/>
                <w:color w:val="auto"/>
                <w:szCs w:val="21"/>
              </w:rPr>
            </w:pPr>
            <w:r>
              <w:rPr>
                <w:rStyle w:val="122"/>
                <w:rFonts w:ascii="宋体" w:hAnsi="宋体"/>
                <w:color w:val="auto"/>
                <w:szCs w:val="21"/>
              </w:rPr>
              <w:t>29.1</w:t>
            </w:r>
          </w:p>
        </w:tc>
        <w:tc>
          <w:tcPr>
            <w:tcW w:w="1552" w:type="dxa"/>
            <w:vAlign w:val="center"/>
          </w:tcPr>
          <w:p w14:paraId="758153D0">
            <w:pPr>
              <w:spacing w:line="276" w:lineRule="auto"/>
              <w:ind w:left="62" w:right="62"/>
              <w:jc w:val="center"/>
              <w:rPr>
                <w:rStyle w:val="122"/>
                <w:rFonts w:ascii="宋体" w:hAnsi="宋体"/>
                <w:color w:val="auto"/>
                <w:szCs w:val="21"/>
              </w:rPr>
            </w:pPr>
            <w:r>
              <w:rPr>
                <w:rStyle w:val="122"/>
                <w:rFonts w:ascii="宋体" w:hAnsi="宋体"/>
                <w:color w:val="auto"/>
                <w:szCs w:val="21"/>
              </w:rPr>
              <w:t>履约担保</w:t>
            </w:r>
          </w:p>
        </w:tc>
        <w:tc>
          <w:tcPr>
            <w:tcW w:w="5910" w:type="dxa"/>
            <w:vAlign w:val="center"/>
          </w:tcPr>
          <w:p w14:paraId="24696BDB">
            <w:pPr>
              <w:spacing w:line="276" w:lineRule="auto"/>
              <w:ind w:left="62" w:right="62"/>
              <w:rPr>
                <w:rFonts w:ascii="宋体" w:hAnsi="宋体"/>
                <w:color w:val="auto"/>
                <w:szCs w:val="21"/>
              </w:rPr>
            </w:pPr>
            <w:r>
              <w:rPr>
                <w:rFonts w:hint="eastAsia" w:ascii="宋体" w:hAnsi="宋体"/>
                <w:color w:val="auto"/>
                <w:szCs w:val="21"/>
              </w:rPr>
              <w:t>方式一：中标人提供的履约保证金为中标价款的</w:t>
            </w:r>
            <w:r>
              <w:rPr>
                <w:rFonts w:ascii="宋体" w:hAnsi="宋体"/>
                <w:color w:val="auto"/>
                <w:szCs w:val="21"/>
              </w:rPr>
              <w:t>1</w:t>
            </w:r>
            <w:r>
              <w:rPr>
                <w:rFonts w:hint="eastAsia" w:ascii="宋体" w:hAnsi="宋体"/>
                <w:color w:val="auto"/>
                <w:szCs w:val="21"/>
              </w:rPr>
              <w:t>0%，采用在中国注册的国有商业银行或股份制商业银行出具的无条件、不可撤销、见索即付的保函或以现金形式提交。</w:t>
            </w:r>
          </w:p>
        </w:tc>
      </w:tr>
      <w:tr w14:paraId="148048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1169EDAC">
            <w:pPr>
              <w:spacing w:line="276" w:lineRule="auto"/>
              <w:ind w:left="62" w:right="62"/>
              <w:jc w:val="center"/>
              <w:rPr>
                <w:rStyle w:val="122"/>
                <w:rFonts w:ascii="宋体" w:hAnsi="宋体"/>
                <w:color w:val="auto"/>
                <w:szCs w:val="21"/>
              </w:rPr>
            </w:pPr>
            <w:r>
              <w:rPr>
                <w:rStyle w:val="122"/>
                <w:rFonts w:ascii="宋体" w:hAnsi="宋体"/>
                <w:color w:val="auto"/>
                <w:szCs w:val="21"/>
              </w:rPr>
              <w:t>21</w:t>
            </w:r>
          </w:p>
        </w:tc>
        <w:tc>
          <w:tcPr>
            <w:tcW w:w="981" w:type="dxa"/>
            <w:vAlign w:val="center"/>
          </w:tcPr>
          <w:p w14:paraId="2B782ACB">
            <w:pPr>
              <w:spacing w:line="276" w:lineRule="auto"/>
              <w:ind w:left="62" w:right="62"/>
              <w:jc w:val="center"/>
              <w:rPr>
                <w:rStyle w:val="122"/>
                <w:rFonts w:ascii="宋体" w:hAnsi="宋体"/>
                <w:color w:val="auto"/>
                <w:szCs w:val="21"/>
              </w:rPr>
            </w:pPr>
          </w:p>
        </w:tc>
        <w:tc>
          <w:tcPr>
            <w:tcW w:w="1552" w:type="dxa"/>
            <w:vAlign w:val="center"/>
          </w:tcPr>
          <w:p w14:paraId="629053E6">
            <w:pPr>
              <w:spacing w:line="276" w:lineRule="auto"/>
              <w:ind w:left="62" w:right="62"/>
              <w:jc w:val="center"/>
              <w:rPr>
                <w:rStyle w:val="122"/>
                <w:rFonts w:ascii="宋体" w:hAnsi="宋体"/>
                <w:color w:val="auto"/>
                <w:szCs w:val="21"/>
              </w:rPr>
            </w:pPr>
            <w:r>
              <w:rPr>
                <w:rStyle w:val="122"/>
                <w:rFonts w:ascii="宋体" w:hAnsi="宋体"/>
                <w:color w:val="auto"/>
                <w:szCs w:val="21"/>
              </w:rPr>
              <w:t>最高投标限价</w:t>
            </w:r>
          </w:p>
        </w:tc>
        <w:tc>
          <w:tcPr>
            <w:tcW w:w="5910" w:type="dxa"/>
            <w:vAlign w:val="center"/>
          </w:tcPr>
          <w:p w14:paraId="0F729CA3">
            <w:pPr>
              <w:spacing w:line="276" w:lineRule="auto"/>
              <w:ind w:left="62" w:right="62"/>
              <w:rPr>
                <w:rStyle w:val="122"/>
                <w:rFonts w:ascii="宋体" w:hAnsi="宋体"/>
                <w:color w:val="auto"/>
                <w:szCs w:val="21"/>
              </w:rPr>
            </w:pPr>
            <w:r>
              <w:rPr>
                <w:rStyle w:val="122"/>
                <w:rFonts w:ascii="宋体" w:hAnsi="宋体"/>
                <w:color w:val="auto"/>
                <w:szCs w:val="21"/>
              </w:rPr>
              <w:t>本项目最高投标限价为人民币</w:t>
            </w:r>
            <w:r>
              <w:rPr>
                <w:rStyle w:val="122"/>
                <w:rFonts w:ascii="宋体" w:hAnsi="宋体"/>
                <w:color w:val="auto"/>
                <w:szCs w:val="21"/>
                <w:u w:val="single"/>
              </w:rPr>
              <w:t>25269996.59</w:t>
            </w:r>
            <w:r>
              <w:rPr>
                <w:rFonts w:hint="eastAsia" w:ascii="宋体" w:hAnsi="宋体"/>
                <w:color w:val="auto"/>
                <w:szCs w:val="21"/>
              </w:rPr>
              <w:t>元</w:t>
            </w:r>
            <w:r>
              <w:rPr>
                <w:rStyle w:val="122"/>
                <w:rFonts w:hint="eastAsia"/>
                <w:color w:val="auto"/>
              </w:rPr>
              <w:t>。</w:t>
            </w:r>
          </w:p>
        </w:tc>
      </w:tr>
      <w:tr w14:paraId="47C8E6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3FD64493">
            <w:pPr>
              <w:spacing w:line="276" w:lineRule="auto"/>
              <w:ind w:left="62" w:right="62"/>
              <w:jc w:val="center"/>
              <w:rPr>
                <w:rStyle w:val="122"/>
                <w:rFonts w:ascii="宋体" w:hAnsi="宋体"/>
                <w:color w:val="auto"/>
                <w:szCs w:val="21"/>
              </w:rPr>
            </w:pPr>
            <w:r>
              <w:rPr>
                <w:rStyle w:val="122"/>
                <w:rFonts w:ascii="宋体" w:hAnsi="宋体"/>
                <w:color w:val="auto"/>
                <w:szCs w:val="21"/>
              </w:rPr>
              <w:t>22</w:t>
            </w:r>
          </w:p>
        </w:tc>
        <w:tc>
          <w:tcPr>
            <w:tcW w:w="981" w:type="dxa"/>
            <w:vAlign w:val="center"/>
          </w:tcPr>
          <w:p w14:paraId="02DC5FF7">
            <w:pPr>
              <w:spacing w:line="276" w:lineRule="auto"/>
              <w:ind w:left="62" w:right="62"/>
              <w:jc w:val="center"/>
              <w:rPr>
                <w:rStyle w:val="122"/>
                <w:rFonts w:ascii="宋体" w:hAnsi="宋体"/>
                <w:color w:val="auto"/>
                <w:szCs w:val="21"/>
              </w:rPr>
            </w:pPr>
          </w:p>
        </w:tc>
        <w:tc>
          <w:tcPr>
            <w:tcW w:w="1552" w:type="dxa"/>
            <w:vAlign w:val="center"/>
          </w:tcPr>
          <w:p w14:paraId="6F3F6AA7">
            <w:pPr>
              <w:spacing w:line="276" w:lineRule="auto"/>
              <w:ind w:left="62" w:right="62"/>
              <w:jc w:val="center"/>
              <w:rPr>
                <w:rStyle w:val="122"/>
                <w:rFonts w:ascii="宋体" w:hAnsi="宋体"/>
                <w:color w:val="auto"/>
                <w:szCs w:val="21"/>
              </w:rPr>
            </w:pPr>
            <w:r>
              <w:rPr>
                <w:rStyle w:val="122"/>
                <w:rFonts w:ascii="宋体" w:hAnsi="宋体"/>
                <w:color w:val="auto"/>
                <w:szCs w:val="21"/>
              </w:rPr>
              <w:t>非竞争费用</w:t>
            </w:r>
          </w:p>
        </w:tc>
        <w:tc>
          <w:tcPr>
            <w:tcW w:w="5910" w:type="dxa"/>
            <w:vAlign w:val="center"/>
          </w:tcPr>
          <w:p w14:paraId="4288EDB6">
            <w:pPr>
              <w:spacing w:line="276" w:lineRule="auto"/>
              <w:ind w:right="62"/>
              <w:rPr>
                <w:rStyle w:val="122"/>
                <w:rFonts w:ascii="宋体" w:hAnsi="宋体"/>
                <w:color w:val="auto"/>
                <w:szCs w:val="21"/>
              </w:rPr>
            </w:pPr>
            <w:r>
              <w:rPr>
                <w:rFonts w:ascii="宋体" w:hAnsi="宋体"/>
                <w:color w:val="auto"/>
                <w:szCs w:val="21"/>
              </w:rPr>
              <w:t>本项目绿色施工安全防护措施费为</w:t>
            </w:r>
            <w:r>
              <w:rPr>
                <w:rFonts w:hint="eastAsia" w:ascii="宋体" w:hAnsi="宋体"/>
                <w:color w:val="auto"/>
                <w:szCs w:val="21"/>
                <w:u w:val="single"/>
              </w:rPr>
              <w:t xml:space="preserve"> </w:t>
            </w:r>
            <w:r>
              <w:rPr>
                <w:rFonts w:ascii="宋体" w:hAnsi="宋体"/>
                <w:color w:val="auto"/>
                <w:szCs w:val="21"/>
                <w:u w:val="single"/>
              </w:rPr>
              <w:t>1003638.34</w:t>
            </w:r>
            <w:r>
              <w:rPr>
                <w:rFonts w:hint="eastAsia" w:ascii="宋体" w:hAnsi="宋体"/>
                <w:color w:val="auto"/>
                <w:szCs w:val="21"/>
                <w:u w:val="single"/>
              </w:rPr>
              <w:t xml:space="preserve"> </w:t>
            </w:r>
            <w:r>
              <w:rPr>
                <w:rFonts w:hint="eastAsia" w:ascii="宋体" w:hAnsi="宋体"/>
                <w:color w:val="auto"/>
                <w:szCs w:val="21"/>
              </w:rPr>
              <w:t>元</w:t>
            </w:r>
            <w:r>
              <w:rPr>
                <w:rFonts w:ascii="宋体" w:hAnsi="宋体"/>
                <w:color w:val="auto"/>
                <w:szCs w:val="21"/>
              </w:rPr>
              <w:t>，暂列金额为</w:t>
            </w:r>
            <w:r>
              <w:rPr>
                <w:rFonts w:ascii="宋体" w:hAnsi="宋体"/>
                <w:color w:val="auto"/>
                <w:szCs w:val="21"/>
                <w:u w:val="single"/>
              </w:rPr>
              <w:t>1885002.06</w:t>
            </w:r>
            <w:r>
              <w:rPr>
                <w:rFonts w:ascii="宋体" w:hAnsi="宋体"/>
                <w:color w:val="auto"/>
                <w:szCs w:val="21"/>
              </w:rPr>
              <w:t>元</w:t>
            </w:r>
            <w:r>
              <w:rPr>
                <w:rFonts w:hint="eastAsia" w:ascii="宋体" w:hAnsi="宋体"/>
                <w:color w:val="auto"/>
                <w:szCs w:val="21"/>
              </w:rPr>
              <w:t>，暂估价为</w:t>
            </w:r>
            <w:r>
              <w:rPr>
                <w:rFonts w:hint="eastAsia" w:ascii="宋体" w:hAnsi="宋体"/>
                <w:color w:val="auto"/>
                <w:szCs w:val="21"/>
                <w:u w:val="single"/>
              </w:rPr>
              <w:t xml:space="preserve"> </w:t>
            </w:r>
            <w:r>
              <w:rPr>
                <w:rFonts w:ascii="宋体" w:hAnsi="宋体"/>
                <w:color w:val="auto"/>
                <w:szCs w:val="21"/>
                <w:u w:val="single"/>
              </w:rPr>
              <w:t>350000.00</w:t>
            </w:r>
            <w:r>
              <w:rPr>
                <w:rFonts w:hint="eastAsia" w:ascii="宋体" w:hAnsi="宋体"/>
                <w:color w:val="auto"/>
                <w:szCs w:val="21"/>
                <w:u w:val="single"/>
              </w:rPr>
              <w:t xml:space="preserve"> </w:t>
            </w:r>
            <w:r>
              <w:rPr>
                <w:rFonts w:ascii="宋体" w:hAnsi="宋体"/>
                <w:color w:val="auto"/>
                <w:szCs w:val="21"/>
              </w:rPr>
              <w:t>元。（未按招标文件规定的金额填写的，由评标委员会按照招标文件规定的金额进行修正）</w:t>
            </w:r>
          </w:p>
        </w:tc>
      </w:tr>
      <w:tr w14:paraId="04746E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19D9F6A">
            <w:pPr>
              <w:spacing w:line="276" w:lineRule="auto"/>
              <w:ind w:left="62" w:right="62"/>
              <w:jc w:val="center"/>
              <w:rPr>
                <w:rStyle w:val="122"/>
                <w:rFonts w:ascii="宋体" w:hAnsi="宋体"/>
                <w:color w:val="auto"/>
                <w:szCs w:val="21"/>
              </w:rPr>
            </w:pPr>
            <w:r>
              <w:rPr>
                <w:rStyle w:val="122"/>
                <w:rFonts w:ascii="宋体" w:hAnsi="宋体"/>
                <w:color w:val="auto"/>
                <w:szCs w:val="21"/>
              </w:rPr>
              <w:t>23</w:t>
            </w:r>
          </w:p>
        </w:tc>
        <w:tc>
          <w:tcPr>
            <w:tcW w:w="981" w:type="dxa"/>
            <w:vAlign w:val="center"/>
          </w:tcPr>
          <w:p w14:paraId="002D9F5B">
            <w:pPr>
              <w:spacing w:line="276" w:lineRule="auto"/>
              <w:ind w:left="62" w:right="62"/>
              <w:jc w:val="center"/>
              <w:rPr>
                <w:rStyle w:val="122"/>
                <w:rFonts w:ascii="宋体" w:hAnsi="宋体"/>
                <w:color w:val="auto"/>
                <w:szCs w:val="21"/>
              </w:rPr>
            </w:pPr>
          </w:p>
        </w:tc>
        <w:tc>
          <w:tcPr>
            <w:tcW w:w="1552" w:type="dxa"/>
            <w:vAlign w:val="center"/>
          </w:tcPr>
          <w:p w14:paraId="4D5E4AC2">
            <w:pPr>
              <w:pStyle w:val="115"/>
              <w:spacing w:after="0" w:line="276" w:lineRule="auto"/>
              <w:ind w:left="62" w:right="62" w:firstLine="0"/>
              <w:jc w:val="center"/>
              <w:rPr>
                <w:rStyle w:val="122"/>
                <w:rFonts w:ascii="宋体" w:hAnsi="宋体"/>
                <w:color w:val="auto"/>
                <w:kern w:val="2"/>
                <w:sz w:val="21"/>
                <w:szCs w:val="21"/>
              </w:rPr>
            </w:pPr>
            <w:r>
              <w:rPr>
                <w:rStyle w:val="122"/>
                <w:rFonts w:ascii="宋体" w:hAnsi="宋体"/>
                <w:color w:val="auto"/>
                <w:kern w:val="2"/>
                <w:sz w:val="21"/>
                <w:szCs w:val="21"/>
              </w:rPr>
              <w:t>保修期</w:t>
            </w:r>
          </w:p>
        </w:tc>
        <w:tc>
          <w:tcPr>
            <w:tcW w:w="5910" w:type="dxa"/>
            <w:vAlign w:val="center"/>
          </w:tcPr>
          <w:p w14:paraId="61E27FA4">
            <w:pPr>
              <w:spacing w:line="276" w:lineRule="auto"/>
              <w:ind w:left="62" w:right="62"/>
              <w:rPr>
                <w:rStyle w:val="122"/>
                <w:rFonts w:ascii="宋体" w:hAnsi="宋体"/>
                <w:color w:val="auto"/>
                <w:szCs w:val="21"/>
              </w:rPr>
            </w:pPr>
            <w:r>
              <w:rPr>
                <w:rStyle w:val="122"/>
                <w:rFonts w:ascii="宋体" w:hAnsi="宋体"/>
                <w:color w:val="auto"/>
                <w:szCs w:val="21"/>
              </w:rPr>
              <w:t>按照《建设工程质量管理条例》规定。</w:t>
            </w:r>
          </w:p>
        </w:tc>
      </w:tr>
      <w:tr w14:paraId="454A1C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CD74211">
            <w:pPr>
              <w:spacing w:line="276" w:lineRule="auto"/>
              <w:ind w:left="62" w:right="62"/>
              <w:jc w:val="center"/>
              <w:rPr>
                <w:rStyle w:val="122"/>
                <w:rFonts w:ascii="宋体" w:hAnsi="宋体"/>
                <w:color w:val="auto"/>
                <w:szCs w:val="21"/>
              </w:rPr>
            </w:pPr>
            <w:r>
              <w:rPr>
                <w:rStyle w:val="122"/>
                <w:rFonts w:ascii="宋体" w:hAnsi="宋体"/>
                <w:color w:val="auto"/>
                <w:szCs w:val="21"/>
              </w:rPr>
              <w:t>24</w:t>
            </w:r>
          </w:p>
        </w:tc>
        <w:tc>
          <w:tcPr>
            <w:tcW w:w="981" w:type="dxa"/>
            <w:vAlign w:val="center"/>
          </w:tcPr>
          <w:p w14:paraId="636A100D">
            <w:pPr>
              <w:spacing w:line="276" w:lineRule="auto"/>
              <w:ind w:left="62" w:right="62"/>
              <w:jc w:val="center"/>
              <w:rPr>
                <w:rStyle w:val="122"/>
                <w:rFonts w:ascii="宋体" w:hAnsi="宋体"/>
                <w:color w:val="auto"/>
                <w:szCs w:val="21"/>
              </w:rPr>
            </w:pPr>
          </w:p>
        </w:tc>
        <w:tc>
          <w:tcPr>
            <w:tcW w:w="1552" w:type="dxa"/>
            <w:vAlign w:val="center"/>
          </w:tcPr>
          <w:p w14:paraId="1BC71375">
            <w:pPr>
              <w:spacing w:line="276" w:lineRule="auto"/>
              <w:ind w:left="62" w:right="62"/>
              <w:jc w:val="center"/>
              <w:rPr>
                <w:rStyle w:val="122"/>
                <w:rFonts w:ascii="宋体" w:hAnsi="宋体"/>
                <w:color w:val="auto"/>
                <w:szCs w:val="21"/>
              </w:rPr>
            </w:pPr>
            <w:r>
              <w:rPr>
                <w:rStyle w:val="122"/>
                <w:rFonts w:ascii="宋体" w:hAnsi="宋体"/>
                <w:color w:val="auto"/>
                <w:szCs w:val="21"/>
              </w:rPr>
              <w:t>计算评标参考价的等分点值</w:t>
            </w:r>
          </w:p>
        </w:tc>
        <w:tc>
          <w:tcPr>
            <w:tcW w:w="5910" w:type="dxa"/>
            <w:vAlign w:val="center"/>
          </w:tcPr>
          <w:p w14:paraId="40A6B842">
            <w:pPr>
              <w:spacing w:line="276" w:lineRule="auto"/>
              <w:ind w:left="62" w:right="62"/>
              <w:rPr>
                <w:rStyle w:val="122"/>
                <w:rFonts w:ascii="宋体" w:hAnsi="宋体"/>
                <w:color w:val="auto"/>
                <w:szCs w:val="21"/>
              </w:rPr>
            </w:pPr>
            <w:r>
              <w:rPr>
                <w:rStyle w:val="122"/>
                <w:rFonts w:hint="eastAsia" w:ascii="宋体" w:hAnsi="宋体"/>
                <w:color w:val="auto"/>
              </w:rPr>
              <w:t>计算评标参考价的等分点值X在开标前从【0，100】的整数中随机抽取。</w:t>
            </w:r>
          </w:p>
        </w:tc>
      </w:tr>
      <w:tr w14:paraId="20895D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657" w:type="dxa"/>
            <w:vAlign w:val="center"/>
          </w:tcPr>
          <w:p w14:paraId="799C665E">
            <w:pPr>
              <w:spacing w:line="276" w:lineRule="auto"/>
              <w:ind w:left="62" w:right="62"/>
              <w:jc w:val="center"/>
              <w:rPr>
                <w:rStyle w:val="122"/>
                <w:rFonts w:ascii="宋体" w:hAnsi="宋体"/>
                <w:color w:val="auto"/>
                <w:szCs w:val="21"/>
              </w:rPr>
            </w:pPr>
            <w:r>
              <w:rPr>
                <w:rStyle w:val="122"/>
                <w:rFonts w:ascii="宋体" w:hAnsi="宋体"/>
                <w:color w:val="auto"/>
                <w:szCs w:val="21"/>
              </w:rPr>
              <w:t>25</w:t>
            </w:r>
          </w:p>
        </w:tc>
        <w:tc>
          <w:tcPr>
            <w:tcW w:w="981" w:type="dxa"/>
            <w:vAlign w:val="center"/>
          </w:tcPr>
          <w:p w14:paraId="46BF3F5C">
            <w:pPr>
              <w:spacing w:line="276" w:lineRule="auto"/>
              <w:ind w:left="62" w:right="62" w:firstLine="458"/>
              <w:jc w:val="center"/>
              <w:rPr>
                <w:rStyle w:val="122"/>
                <w:rFonts w:ascii="宋体" w:hAnsi="宋体"/>
                <w:color w:val="auto"/>
                <w:szCs w:val="21"/>
              </w:rPr>
            </w:pPr>
          </w:p>
        </w:tc>
        <w:tc>
          <w:tcPr>
            <w:tcW w:w="1552" w:type="dxa"/>
            <w:vAlign w:val="center"/>
          </w:tcPr>
          <w:p w14:paraId="366DE896">
            <w:pPr>
              <w:spacing w:line="276" w:lineRule="auto"/>
              <w:ind w:left="62" w:right="62"/>
              <w:jc w:val="center"/>
              <w:rPr>
                <w:rStyle w:val="122"/>
                <w:rFonts w:ascii="宋体" w:hAnsi="宋体"/>
                <w:color w:val="auto"/>
                <w:szCs w:val="21"/>
              </w:rPr>
            </w:pPr>
            <w:r>
              <w:rPr>
                <w:rStyle w:val="122"/>
                <w:rFonts w:ascii="宋体" w:hAnsi="宋体"/>
                <w:color w:val="auto"/>
                <w:szCs w:val="21"/>
              </w:rPr>
              <w:t>进入第二阶段评审的家数</w:t>
            </w:r>
          </w:p>
        </w:tc>
        <w:tc>
          <w:tcPr>
            <w:tcW w:w="5910" w:type="dxa"/>
            <w:vAlign w:val="center"/>
          </w:tcPr>
          <w:p w14:paraId="5CFC7968">
            <w:pPr>
              <w:spacing w:line="276" w:lineRule="auto"/>
              <w:ind w:left="62" w:right="62"/>
              <w:rPr>
                <w:rStyle w:val="122"/>
                <w:rFonts w:ascii="宋体" w:hAnsi="宋体"/>
                <w:color w:val="auto"/>
                <w:szCs w:val="21"/>
              </w:rPr>
            </w:pPr>
            <w:r>
              <w:rPr>
                <w:rFonts w:hint="eastAsia" w:ascii="宋体" w:hAnsi="宋体"/>
                <w:color w:val="auto"/>
                <w:szCs w:val="21"/>
              </w:rPr>
              <w:t>本款不适用。</w:t>
            </w:r>
          </w:p>
        </w:tc>
      </w:tr>
      <w:tr w14:paraId="7CE5F1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4B659DA8">
            <w:pPr>
              <w:spacing w:line="276" w:lineRule="auto"/>
              <w:ind w:left="62" w:right="62"/>
              <w:jc w:val="center"/>
              <w:rPr>
                <w:rStyle w:val="122"/>
                <w:rFonts w:ascii="宋体" w:hAnsi="宋体"/>
                <w:color w:val="auto"/>
                <w:szCs w:val="21"/>
              </w:rPr>
            </w:pPr>
            <w:r>
              <w:rPr>
                <w:rStyle w:val="122"/>
                <w:rFonts w:ascii="宋体" w:hAnsi="宋体"/>
                <w:color w:val="auto"/>
                <w:szCs w:val="21"/>
              </w:rPr>
              <w:t>26</w:t>
            </w:r>
          </w:p>
        </w:tc>
        <w:tc>
          <w:tcPr>
            <w:tcW w:w="981" w:type="dxa"/>
            <w:vAlign w:val="center"/>
          </w:tcPr>
          <w:p w14:paraId="6B36661F">
            <w:pPr>
              <w:spacing w:line="276" w:lineRule="auto"/>
              <w:ind w:left="62" w:right="62"/>
              <w:jc w:val="center"/>
              <w:rPr>
                <w:rStyle w:val="122"/>
                <w:rFonts w:ascii="宋体" w:hAnsi="宋体"/>
                <w:color w:val="auto"/>
                <w:szCs w:val="21"/>
              </w:rPr>
            </w:pPr>
          </w:p>
        </w:tc>
        <w:tc>
          <w:tcPr>
            <w:tcW w:w="1552" w:type="dxa"/>
            <w:vAlign w:val="center"/>
          </w:tcPr>
          <w:p w14:paraId="48470833">
            <w:pPr>
              <w:spacing w:line="276" w:lineRule="auto"/>
              <w:ind w:left="62" w:right="62"/>
              <w:jc w:val="center"/>
              <w:rPr>
                <w:rStyle w:val="122"/>
                <w:rFonts w:ascii="宋体" w:hAnsi="宋体"/>
                <w:color w:val="auto"/>
                <w:szCs w:val="21"/>
              </w:rPr>
            </w:pPr>
            <w:r>
              <w:rPr>
                <w:rStyle w:val="122"/>
                <w:rFonts w:ascii="宋体" w:hAnsi="宋体"/>
                <w:color w:val="auto"/>
                <w:szCs w:val="21"/>
              </w:rPr>
              <w:t>工程成本警戒价</w:t>
            </w:r>
          </w:p>
        </w:tc>
        <w:tc>
          <w:tcPr>
            <w:tcW w:w="5910" w:type="dxa"/>
            <w:vAlign w:val="center"/>
          </w:tcPr>
          <w:p w14:paraId="69B00E38">
            <w:pPr>
              <w:spacing w:line="276" w:lineRule="auto"/>
              <w:ind w:left="62" w:right="62"/>
              <w:rPr>
                <w:rStyle w:val="122"/>
                <w:rFonts w:ascii="宋体" w:hAnsi="宋体"/>
                <w:color w:val="auto"/>
                <w:szCs w:val="21"/>
              </w:rPr>
            </w:pPr>
            <w:r>
              <w:rPr>
                <w:rStyle w:val="122"/>
                <w:rFonts w:ascii="宋体" w:hAnsi="宋体"/>
                <w:color w:val="auto"/>
                <w:szCs w:val="21"/>
              </w:rPr>
              <w:t>工程成本警戒价为</w:t>
            </w:r>
            <w:r>
              <w:rPr>
                <w:rStyle w:val="122"/>
                <w:rFonts w:hint="eastAsia" w:ascii="宋体" w:hAnsi="宋体"/>
                <w:color w:val="auto"/>
                <w:szCs w:val="21"/>
                <w:u w:val="single"/>
              </w:rPr>
              <w:t xml:space="preserve"> </w:t>
            </w:r>
            <w:r>
              <w:rPr>
                <w:rStyle w:val="122"/>
                <w:rFonts w:ascii="宋体" w:hAnsi="宋体"/>
                <w:color w:val="auto"/>
                <w:szCs w:val="21"/>
                <w:u w:val="single"/>
              </w:rPr>
              <w:t>22237597.00元（招标控制价的88 %）</w:t>
            </w:r>
            <w:r>
              <w:rPr>
                <w:rStyle w:val="122"/>
                <w:rFonts w:ascii="宋体" w:hAnsi="宋体"/>
                <w:color w:val="auto"/>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65C64F27">
            <w:pPr>
              <w:spacing w:line="276" w:lineRule="auto"/>
              <w:ind w:left="62" w:right="62"/>
              <w:rPr>
                <w:rStyle w:val="122"/>
                <w:rFonts w:ascii="宋体" w:hAnsi="宋体"/>
                <w:color w:val="auto"/>
                <w:szCs w:val="21"/>
                <w:u w:val="single"/>
              </w:rPr>
            </w:pPr>
            <w:r>
              <w:rPr>
                <w:rStyle w:val="122"/>
                <w:rFonts w:ascii="宋体" w:hAnsi="宋体"/>
                <w:color w:val="auto"/>
                <w:szCs w:val="21"/>
              </w:rPr>
              <w:t>注：为充分体现招标人意愿及落实项目招标人负责制，警戒价由招标人决定。</w:t>
            </w:r>
          </w:p>
        </w:tc>
      </w:tr>
      <w:tr w14:paraId="49A882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4083FC65">
            <w:pPr>
              <w:spacing w:line="276" w:lineRule="auto"/>
              <w:ind w:left="62" w:right="62"/>
              <w:jc w:val="center"/>
              <w:rPr>
                <w:rStyle w:val="122"/>
                <w:rFonts w:ascii="宋体" w:hAnsi="宋体"/>
                <w:color w:val="auto"/>
                <w:szCs w:val="21"/>
              </w:rPr>
            </w:pPr>
            <w:r>
              <w:rPr>
                <w:rStyle w:val="122"/>
                <w:rFonts w:ascii="宋体" w:hAnsi="宋体"/>
                <w:color w:val="auto"/>
                <w:szCs w:val="21"/>
              </w:rPr>
              <w:t>27</w:t>
            </w:r>
          </w:p>
        </w:tc>
        <w:tc>
          <w:tcPr>
            <w:tcW w:w="981" w:type="dxa"/>
            <w:vAlign w:val="center"/>
          </w:tcPr>
          <w:p w14:paraId="6AB53BCF">
            <w:pPr>
              <w:spacing w:line="276" w:lineRule="auto"/>
              <w:ind w:left="62" w:right="62"/>
              <w:jc w:val="center"/>
              <w:rPr>
                <w:rStyle w:val="122"/>
                <w:rFonts w:ascii="宋体" w:hAnsi="宋体"/>
                <w:color w:val="auto"/>
                <w:szCs w:val="21"/>
              </w:rPr>
            </w:pPr>
          </w:p>
        </w:tc>
        <w:tc>
          <w:tcPr>
            <w:tcW w:w="1552" w:type="dxa"/>
            <w:vAlign w:val="center"/>
          </w:tcPr>
          <w:p w14:paraId="3F15F208">
            <w:pPr>
              <w:spacing w:line="276" w:lineRule="auto"/>
              <w:ind w:left="62" w:right="62"/>
              <w:jc w:val="center"/>
              <w:rPr>
                <w:rStyle w:val="122"/>
                <w:rFonts w:ascii="宋体" w:hAnsi="宋体"/>
                <w:color w:val="auto"/>
                <w:szCs w:val="21"/>
              </w:rPr>
            </w:pPr>
            <w:r>
              <w:rPr>
                <w:rStyle w:val="122"/>
                <w:rFonts w:ascii="宋体" w:hAnsi="宋体"/>
                <w:color w:val="auto"/>
                <w:szCs w:val="21"/>
              </w:rPr>
              <w:t>第一阶段各分值的权重</w:t>
            </w:r>
          </w:p>
        </w:tc>
        <w:tc>
          <w:tcPr>
            <w:tcW w:w="5910" w:type="dxa"/>
            <w:vAlign w:val="center"/>
          </w:tcPr>
          <w:p w14:paraId="442C751A">
            <w:pPr>
              <w:spacing w:line="276" w:lineRule="auto"/>
              <w:ind w:left="62" w:right="62"/>
              <w:rPr>
                <w:rStyle w:val="122"/>
                <w:rFonts w:ascii="宋体" w:hAnsi="宋体"/>
                <w:color w:val="auto"/>
                <w:szCs w:val="21"/>
              </w:rPr>
            </w:pPr>
            <w:r>
              <w:rPr>
                <w:rFonts w:hint="eastAsia" w:ascii="宋体" w:hAnsi="宋体"/>
                <w:color w:val="auto"/>
                <w:szCs w:val="21"/>
              </w:rPr>
              <w:t>本款不适用。</w:t>
            </w:r>
          </w:p>
        </w:tc>
      </w:tr>
      <w:tr w14:paraId="7BA97E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2DDED589">
            <w:pPr>
              <w:spacing w:line="276" w:lineRule="auto"/>
              <w:ind w:left="62" w:right="62"/>
              <w:jc w:val="center"/>
              <w:rPr>
                <w:rStyle w:val="122"/>
                <w:rFonts w:ascii="宋体" w:hAnsi="宋体"/>
                <w:color w:val="auto"/>
                <w:szCs w:val="21"/>
              </w:rPr>
            </w:pPr>
            <w:r>
              <w:rPr>
                <w:rStyle w:val="122"/>
                <w:rFonts w:ascii="宋体" w:hAnsi="宋体"/>
                <w:color w:val="auto"/>
                <w:szCs w:val="21"/>
              </w:rPr>
              <w:t>28</w:t>
            </w:r>
          </w:p>
        </w:tc>
        <w:tc>
          <w:tcPr>
            <w:tcW w:w="981" w:type="dxa"/>
            <w:vAlign w:val="center"/>
          </w:tcPr>
          <w:p w14:paraId="3895A69A">
            <w:pPr>
              <w:spacing w:line="276" w:lineRule="auto"/>
              <w:ind w:left="62" w:right="62"/>
              <w:jc w:val="center"/>
              <w:rPr>
                <w:rStyle w:val="122"/>
                <w:rFonts w:ascii="宋体" w:hAnsi="宋体"/>
                <w:color w:val="auto"/>
                <w:szCs w:val="21"/>
              </w:rPr>
            </w:pPr>
          </w:p>
        </w:tc>
        <w:tc>
          <w:tcPr>
            <w:tcW w:w="1552" w:type="dxa"/>
            <w:vAlign w:val="center"/>
          </w:tcPr>
          <w:p w14:paraId="624D5D46">
            <w:pPr>
              <w:spacing w:line="276" w:lineRule="auto"/>
              <w:ind w:left="62" w:right="62"/>
              <w:jc w:val="center"/>
              <w:rPr>
                <w:rStyle w:val="122"/>
                <w:rFonts w:ascii="宋体" w:hAnsi="宋体"/>
                <w:color w:val="auto"/>
                <w:szCs w:val="21"/>
              </w:rPr>
            </w:pPr>
            <w:r>
              <w:rPr>
                <w:rStyle w:val="122"/>
                <w:rFonts w:ascii="宋体" w:hAnsi="宋体"/>
                <w:color w:val="auto"/>
                <w:szCs w:val="21"/>
              </w:rPr>
              <w:t>评标委员会人数</w:t>
            </w:r>
          </w:p>
        </w:tc>
        <w:tc>
          <w:tcPr>
            <w:tcW w:w="5910" w:type="dxa"/>
            <w:vAlign w:val="center"/>
          </w:tcPr>
          <w:p w14:paraId="7AED1328">
            <w:pPr>
              <w:spacing w:line="276" w:lineRule="auto"/>
              <w:ind w:left="62" w:right="62"/>
              <w:rPr>
                <w:rStyle w:val="122"/>
                <w:rFonts w:ascii="宋体" w:hAnsi="宋体"/>
                <w:color w:val="auto"/>
                <w:szCs w:val="21"/>
              </w:rPr>
            </w:pPr>
            <w:r>
              <w:rPr>
                <w:rStyle w:val="122"/>
                <w:rFonts w:ascii="宋体" w:hAnsi="宋体"/>
                <w:color w:val="auto"/>
                <w:szCs w:val="21"/>
              </w:rPr>
              <w:t>评标委员会由招标人依法组建。</w:t>
            </w:r>
          </w:p>
        </w:tc>
      </w:tr>
      <w:tr w14:paraId="77ED98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610EC62">
            <w:pPr>
              <w:spacing w:line="276" w:lineRule="auto"/>
              <w:ind w:left="62" w:right="62"/>
              <w:jc w:val="center"/>
              <w:rPr>
                <w:rStyle w:val="122"/>
                <w:rFonts w:ascii="宋体" w:hAnsi="宋体"/>
                <w:color w:val="auto"/>
                <w:szCs w:val="21"/>
              </w:rPr>
            </w:pPr>
            <w:r>
              <w:rPr>
                <w:rStyle w:val="122"/>
                <w:rFonts w:ascii="宋体" w:hAnsi="宋体"/>
                <w:color w:val="auto"/>
                <w:szCs w:val="21"/>
              </w:rPr>
              <w:t>29</w:t>
            </w:r>
          </w:p>
        </w:tc>
        <w:tc>
          <w:tcPr>
            <w:tcW w:w="981" w:type="dxa"/>
            <w:vAlign w:val="center"/>
          </w:tcPr>
          <w:p w14:paraId="3E93051F">
            <w:pPr>
              <w:spacing w:line="276" w:lineRule="auto"/>
              <w:ind w:left="62" w:right="62"/>
              <w:jc w:val="center"/>
              <w:rPr>
                <w:rStyle w:val="122"/>
                <w:rFonts w:ascii="宋体" w:hAnsi="宋体"/>
                <w:color w:val="auto"/>
                <w:szCs w:val="21"/>
              </w:rPr>
            </w:pPr>
          </w:p>
        </w:tc>
        <w:tc>
          <w:tcPr>
            <w:tcW w:w="1552" w:type="dxa"/>
            <w:vAlign w:val="center"/>
          </w:tcPr>
          <w:p w14:paraId="0F008C16">
            <w:pPr>
              <w:spacing w:line="276" w:lineRule="auto"/>
              <w:ind w:left="62" w:right="62"/>
              <w:jc w:val="center"/>
              <w:rPr>
                <w:rStyle w:val="122"/>
                <w:rFonts w:ascii="宋体" w:hAnsi="宋体"/>
                <w:color w:val="auto"/>
                <w:szCs w:val="21"/>
              </w:rPr>
            </w:pPr>
            <w:r>
              <w:rPr>
                <w:rStyle w:val="122"/>
                <w:rFonts w:ascii="宋体" w:hAnsi="宋体"/>
                <w:color w:val="auto"/>
                <w:szCs w:val="21"/>
              </w:rPr>
              <w:t>企业综合诚信评价分数</w:t>
            </w:r>
          </w:p>
        </w:tc>
        <w:tc>
          <w:tcPr>
            <w:tcW w:w="5910" w:type="dxa"/>
            <w:vAlign w:val="center"/>
          </w:tcPr>
          <w:p w14:paraId="03A8A757">
            <w:pPr>
              <w:pStyle w:val="14"/>
              <w:spacing w:line="276" w:lineRule="auto"/>
              <w:ind w:left="62" w:right="62"/>
              <w:rPr>
                <w:color w:val="auto"/>
              </w:rPr>
            </w:pPr>
            <w:r>
              <w:rPr>
                <w:rStyle w:val="122"/>
                <w:rFonts w:hint="eastAsia" w:ascii="宋体" w:hAnsi="宋体"/>
                <w:color w:val="auto"/>
                <w:sz w:val="21"/>
                <w:szCs w:val="21"/>
              </w:rPr>
              <w:t>本款不适用。</w:t>
            </w:r>
          </w:p>
        </w:tc>
      </w:tr>
      <w:tr w14:paraId="26F210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A781F6C">
            <w:pPr>
              <w:spacing w:line="276" w:lineRule="auto"/>
              <w:ind w:left="62" w:right="62"/>
              <w:jc w:val="center"/>
              <w:rPr>
                <w:rStyle w:val="122"/>
                <w:rFonts w:ascii="宋体" w:hAnsi="宋体"/>
                <w:color w:val="auto"/>
                <w:szCs w:val="21"/>
              </w:rPr>
            </w:pPr>
            <w:r>
              <w:rPr>
                <w:rStyle w:val="122"/>
                <w:rFonts w:ascii="宋体" w:hAnsi="宋体"/>
                <w:color w:val="auto"/>
                <w:szCs w:val="21"/>
              </w:rPr>
              <w:t>30</w:t>
            </w:r>
          </w:p>
        </w:tc>
        <w:tc>
          <w:tcPr>
            <w:tcW w:w="981" w:type="dxa"/>
            <w:vAlign w:val="center"/>
          </w:tcPr>
          <w:p w14:paraId="0633000D">
            <w:pPr>
              <w:spacing w:line="276" w:lineRule="auto"/>
              <w:ind w:left="62" w:right="62" w:firstLine="458"/>
              <w:jc w:val="center"/>
              <w:rPr>
                <w:rStyle w:val="122"/>
                <w:rFonts w:ascii="宋体" w:hAnsi="宋体"/>
                <w:strike/>
                <w:color w:val="auto"/>
                <w:szCs w:val="21"/>
              </w:rPr>
            </w:pPr>
          </w:p>
        </w:tc>
        <w:tc>
          <w:tcPr>
            <w:tcW w:w="1552" w:type="dxa"/>
            <w:vAlign w:val="center"/>
          </w:tcPr>
          <w:p w14:paraId="464D2492">
            <w:pPr>
              <w:spacing w:line="276" w:lineRule="auto"/>
              <w:ind w:left="62" w:right="62"/>
              <w:jc w:val="center"/>
              <w:rPr>
                <w:rStyle w:val="122"/>
                <w:rFonts w:ascii="宋体" w:hAnsi="宋体"/>
                <w:color w:val="auto"/>
                <w:szCs w:val="21"/>
              </w:rPr>
            </w:pPr>
            <w:r>
              <w:rPr>
                <w:rStyle w:val="122"/>
                <w:rFonts w:ascii="宋体" w:hAnsi="宋体"/>
                <w:color w:val="auto"/>
                <w:szCs w:val="21"/>
              </w:rPr>
              <w:t>第二阶段投标人名次的排序方法（适用于办法一、办法二）</w:t>
            </w:r>
          </w:p>
        </w:tc>
        <w:tc>
          <w:tcPr>
            <w:tcW w:w="5910" w:type="dxa"/>
            <w:vAlign w:val="center"/>
          </w:tcPr>
          <w:p w14:paraId="25FB07AB">
            <w:pPr>
              <w:spacing w:line="276" w:lineRule="auto"/>
              <w:ind w:left="62" w:right="62"/>
              <w:rPr>
                <w:rStyle w:val="122"/>
                <w:rFonts w:ascii="宋体" w:hAnsi="宋体"/>
                <w:color w:val="auto"/>
                <w:szCs w:val="21"/>
              </w:rPr>
            </w:pPr>
            <w:r>
              <w:rPr>
                <w:rFonts w:hint="eastAsia" w:ascii="宋体" w:hAnsi="宋体"/>
                <w:color w:val="auto"/>
                <w:szCs w:val="21"/>
              </w:rPr>
              <w:t>本款不适用。</w:t>
            </w:r>
          </w:p>
        </w:tc>
      </w:tr>
      <w:tr w14:paraId="6B7ED4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F9C27F6">
            <w:pPr>
              <w:spacing w:line="276" w:lineRule="auto"/>
              <w:ind w:left="62" w:right="62"/>
              <w:jc w:val="center"/>
              <w:rPr>
                <w:rStyle w:val="122"/>
                <w:rFonts w:ascii="宋体" w:hAnsi="宋体"/>
                <w:color w:val="auto"/>
                <w:szCs w:val="21"/>
              </w:rPr>
            </w:pPr>
            <w:r>
              <w:rPr>
                <w:rStyle w:val="122"/>
                <w:rFonts w:ascii="宋体" w:hAnsi="宋体"/>
                <w:color w:val="auto"/>
                <w:szCs w:val="21"/>
              </w:rPr>
              <w:t>31</w:t>
            </w:r>
          </w:p>
        </w:tc>
        <w:tc>
          <w:tcPr>
            <w:tcW w:w="981" w:type="dxa"/>
            <w:vAlign w:val="center"/>
          </w:tcPr>
          <w:p w14:paraId="4294A49E">
            <w:pPr>
              <w:spacing w:line="276" w:lineRule="auto"/>
              <w:ind w:left="62" w:right="62" w:firstLine="458"/>
              <w:jc w:val="center"/>
              <w:rPr>
                <w:rStyle w:val="122"/>
                <w:rFonts w:ascii="宋体" w:hAnsi="宋体"/>
                <w:strike/>
                <w:color w:val="auto"/>
                <w:szCs w:val="21"/>
              </w:rPr>
            </w:pPr>
          </w:p>
        </w:tc>
        <w:tc>
          <w:tcPr>
            <w:tcW w:w="1552" w:type="dxa"/>
            <w:vAlign w:val="center"/>
          </w:tcPr>
          <w:p w14:paraId="26785EC4">
            <w:pPr>
              <w:spacing w:line="276" w:lineRule="auto"/>
              <w:ind w:left="62" w:right="62"/>
              <w:jc w:val="center"/>
              <w:rPr>
                <w:rStyle w:val="122"/>
                <w:rFonts w:ascii="宋体" w:hAnsi="宋体"/>
                <w:color w:val="auto"/>
                <w:szCs w:val="21"/>
              </w:rPr>
            </w:pPr>
            <w:r>
              <w:rPr>
                <w:rStyle w:val="122"/>
                <w:rFonts w:ascii="宋体" w:hAnsi="宋体"/>
                <w:color w:val="auto"/>
                <w:szCs w:val="21"/>
              </w:rPr>
              <w:t>经济分相同情况下的排序方法（适用于办法三、办法四）</w:t>
            </w:r>
          </w:p>
        </w:tc>
        <w:tc>
          <w:tcPr>
            <w:tcW w:w="5910" w:type="dxa"/>
            <w:vAlign w:val="center"/>
          </w:tcPr>
          <w:p w14:paraId="59471A3E">
            <w:pPr>
              <w:spacing w:line="276" w:lineRule="auto"/>
              <w:ind w:left="62" w:right="62"/>
              <w:rPr>
                <w:rStyle w:val="122"/>
                <w:rFonts w:ascii="宋体" w:hAnsi="宋体"/>
                <w:color w:val="auto"/>
                <w:szCs w:val="21"/>
              </w:rPr>
            </w:pPr>
            <w:r>
              <w:rPr>
                <w:rFonts w:hint="eastAsia" w:ascii="宋体" w:hAnsi="宋体"/>
                <w:color w:val="auto"/>
                <w:szCs w:val="21"/>
              </w:rPr>
              <w:t>本款不适用。</w:t>
            </w:r>
          </w:p>
        </w:tc>
      </w:tr>
      <w:tr w14:paraId="689577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0" w:hRule="atLeast"/>
        </w:trPr>
        <w:tc>
          <w:tcPr>
            <w:tcW w:w="657" w:type="dxa"/>
            <w:vAlign w:val="center"/>
          </w:tcPr>
          <w:p w14:paraId="66C9326F">
            <w:pPr>
              <w:spacing w:line="276" w:lineRule="auto"/>
              <w:ind w:left="62" w:right="62"/>
              <w:jc w:val="center"/>
              <w:rPr>
                <w:rStyle w:val="122"/>
                <w:rFonts w:ascii="宋体" w:hAnsi="宋体"/>
                <w:color w:val="auto"/>
                <w:szCs w:val="21"/>
              </w:rPr>
            </w:pPr>
            <w:r>
              <w:rPr>
                <w:rStyle w:val="122"/>
                <w:rFonts w:ascii="宋体" w:hAnsi="宋体"/>
                <w:color w:val="auto"/>
                <w:szCs w:val="21"/>
              </w:rPr>
              <w:t>32</w:t>
            </w:r>
          </w:p>
        </w:tc>
        <w:tc>
          <w:tcPr>
            <w:tcW w:w="981" w:type="dxa"/>
            <w:vAlign w:val="center"/>
          </w:tcPr>
          <w:p w14:paraId="20378F97">
            <w:pPr>
              <w:spacing w:line="276" w:lineRule="auto"/>
              <w:ind w:left="62" w:right="62" w:firstLine="458"/>
              <w:jc w:val="center"/>
              <w:rPr>
                <w:rStyle w:val="122"/>
                <w:rFonts w:ascii="宋体" w:hAnsi="宋体"/>
                <w:color w:val="auto"/>
                <w:szCs w:val="21"/>
              </w:rPr>
            </w:pPr>
          </w:p>
        </w:tc>
        <w:tc>
          <w:tcPr>
            <w:tcW w:w="1552" w:type="dxa"/>
            <w:vAlign w:val="center"/>
          </w:tcPr>
          <w:p w14:paraId="48F89826">
            <w:pPr>
              <w:spacing w:line="276" w:lineRule="auto"/>
              <w:ind w:left="62" w:right="62"/>
              <w:jc w:val="center"/>
              <w:rPr>
                <w:rStyle w:val="122"/>
                <w:rFonts w:ascii="宋体" w:hAnsi="宋体"/>
                <w:color w:val="auto"/>
                <w:szCs w:val="21"/>
              </w:rPr>
            </w:pPr>
            <w:r>
              <w:rPr>
                <w:rStyle w:val="122"/>
                <w:rFonts w:ascii="宋体" w:hAnsi="宋体"/>
                <w:color w:val="auto"/>
                <w:szCs w:val="21"/>
              </w:rPr>
              <w:t>第二阶段投标人名次的排序方法（适用于办法五、办法六）</w:t>
            </w:r>
          </w:p>
        </w:tc>
        <w:tc>
          <w:tcPr>
            <w:tcW w:w="5910" w:type="dxa"/>
            <w:vAlign w:val="center"/>
          </w:tcPr>
          <w:p w14:paraId="6A190C2E">
            <w:pPr>
              <w:spacing w:line="276" w:lineRule="auto"/>
              <w:ind w:left="62" w:right="62"/>
              <w:rPr>
                <w:rStyle w:val="122"/>
                <w:rFonts w:ascii="宋体" w:hAnsi="宋体"/>
                <w:color w:val="auto"/>
                <w:szCs w:val="21"/>
              </w:rPr>
            </w:pPr>
            <w:r>
              <w:rPr>
                <w:rFonts w:hint="eastAsia" w:ascii="宋体" w:hAnsi="宋体"/>
                <w:color w:val="auto"/>
                <w:szCs w:val="21"/>
              </w:rPr>
              <w:t>本款不适用。</w:t>
            </w:r>
          </w:p>
        </w:tc>
      </w:tr>
      <w:tr w14:paraId="4641F6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1EE259A3">
            <w:pPr>
              <w:spacing w:line="276" w:lineRule="auto"/>
              <w:ind w:left="62" w:right="62"/>
              <w:jc w:val="center"/>
              <w:rPr>
                <w:rStyle w:val="122"/>
                <w:rFonts w:ascii="宋体" w:hAnsi="宋体"/>
                <w:color w:val="auto"/>
                <w:szCs w:val="21"/>
              </w:rPr>
            </w:pPr>
            <w:r>
              <w:rPr>
                <w:rStyle w:val="122"/>
                <w:rFonts w:ascii="宋体" w:hAnsi="宋体"/>
                <w:color w:val="auto"/>
                <w:szCs w:val="21"/>
              </w:rPr>
              <w:t>33</w:t>
            </w:r>
          </w:p>
        </w:tc>
        <w:tc>
          <w:tcPr>
            <w:tcW w:w="981" w:type="dxa"/>
            <w:vAlign w:val="center"/>
          </w:tcPr>
          <w:p w14:paraId="4896E540">
            <w:pPr>
              <w:spacing w:line="276" w:lineRule="auto"/>
              <w:ind w:left="62" w:right="62"/>
              <w:jc w:val="center"/>
              <w:rPr>
                <w:rStyle w:val="122"/>
                <w:rFonts w:ascii="宋体" w:hAnsi="宋体"/>
                <w:color w:val="auto"/>
                <w:szCs w:val="21"/>
              </w:rPr>
            </w:pPr>
            <w:r>
              <w:rPr>
                <w:rStyle w:val="122"/>
                <w:rFonts w:ascii="宋体" w:hAnsi="宋体"/>
                <w:color w:val="auto"/>
                <w:szCs w:val="21"/>
              </w:rPr>
              <w:t>13.4、13.5.2</w:t>
            </w:r>
          </w:p>
        </w:tc>
        <w:tc>
          <w:tcPr>
            <w:tcW w:w="1552" w:type="dxa"/>
            <w:vAlign w:val="center"/>
          </w:tcPr>
          <w:p w14:paraId="62CE4745">
            <w:pPr>
              <w:spacing w:line="276" w:lineRule="auto"/>
              <w:ind w:left="62" w:right="62"/>
              <w:jc w:val="center"/>
              <w:rPr>
                <w:rStyle w:val="122"/>
                <w:rFonts w:ascii="宋体" w:hAnsi="宋体"/>
                <w:color w:val="auto"/>
                <w:szCs w:val="21"/>
              </w:rPr>
            </w:pPr>
            <w:r>
              <w:rPr>
                <w:rStyle w:val="122"/>
                <w:rFonts w:ascii="宋体" w:hAnsi="宋体"/>
                <w:color w:val="auto"/>
                <w:szCs w:val="21"/>
              </w:rPr>
              <w:t>合同价款的调整办法</w:t>
            </w:r>
          </w:p>
        </w:tc>
        <w:tc>
          <w:tcPr>
            <w:tcW w:w="5910" w:type="dxa"/>
            <w:vAlign w:val="center"/>
          </w:tcPr>
          <w:p w14:paraId="56191790">
            <w:pPr>
              <w:spacing w:line="276" w:lineRule="auto"/>
              <w:ind w:left="62" w:right="62"/>
              <w:rPr>
                <w:rStyle w:val="122"/>
                <w:rFonts w:ascii="宋体" w:hAnsi="宋体"/>
                <w:color w:val="auto"/>
                <w:szCs w:val="21"/>
                <w:u w:val="single"/>
              </w:rPr>
            </w:pPr>
            <w:r>
              <w:rPr>
                <w:color w:val="auto"/>
                <w:u w:val="single"/>
              </w:rPr>
              <w:t>按合同条款相关约定调整。</w:t>
            </w:r>
          </w:p>
        </w:tc>
      </w:tr>
      <w:tr w14:paraId="67486E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3A3DF222">
            <w:pPr>
              <w:spacing w:line="276" w:lineRule="auto"/>
              <w:ind w:left="62" w:right="62"/>
              <w:jc w:val="center"/>
              <w:rPr>
                <w:rStyle w:val="122"/>
                <w:rFonts w:ascii="宋体" w:hAnsi="宋体"/>
                <w:color w:val="auto"/>
                <w:szCs w:val="21"/>
              </w:rPr>
            </w:pPr>
            <w:r>
              <w:rPr>
                <w:rStyle w:val="122"/>
                <w:rFonts w:ascii="宋体" w:hAnsi="宋体"/>
                <w:color w:val="auto"/>
                <w:szCs w:val="21"/>
              </w:rPr>
              <w:t>34</w:t>
            </w:r>
          </w:p>
        </w:tc>
        <w:tc>
          <w:tcPr>
            <w:tcW w:w="981" w:type="dxa"/>
            <w:vAlign w:val="center"/>
          </w:tcPr>
          <w:p w14:paraId="01C613D7">
            <w:pPr>
              <w:spacing w:line="276" w:lineRule="auto"/>
              <w:ind w:left="62" w:right="62"/>
              <w:jc w:val="center"/>
              <w:rPr>
                <w:rStyle w:val="122"/>
                <w:rFonts w:ascii="宋体" w:hAnsi="宋体"/>
                <w:color w:val="auto"/>
                <w:szCs w:val="21"/>
              </w:rPr>
            </w:pPr>
          </w:p>
        </w:tc>
        <w:tc>
          <w:tcPr>
            <w:tcW w:w="1552" w:type="dxa"/>
            <w:vAlign w:val="center"/>
          </w:tcPr>
          <w:p w14:paraId="28D8BDA3">
            <w:pPr>
              <w:spacing w:line="276" w:lineRule="auto"/>
              <w:ind w:left="62" w:right="62"/>
              <w:jc w:val="center"/>
              <w:rPr>
                <w:rStyle w:val="122"/>
                <w:rFonts w:ascii="宋体" w:hAnsi="宋体"/>
                <w:color w:val="auto"/>
                <w:szCs w:val="21"/>
              </w:rPr>
            </w:pPr>
            <w:r>
              <w:rPr>
                <w:rStyle w:val="122"/>
                <w:rFonts w:hint="eastAsia" w:ascii="宋体" w:hAnsi="宋体"/>
                <w:color w:val="auto"/>
                <w:kern w:val="0"/>
                <w:szCs w:val="21"/>
                <w:lang w:val="zh-CN"/>
              </w:rPr>
              <w:t>建设工程质量检测单位</w:t>
            </w:r>
          </w:p>
        </w:tc>
        <w:tc>
          <w:tcPr>
            <w:tcW w:w="5910" w:type="dxa"/>
            <w:vAlign w:val="center"/>
          </w:tcPr>
          <w:p w14:paraId="5EE5AC2E">
            <w:pPr>
              <w:spacing w:line="276" w:lineRule="auto"/>
              <w:ind w:left="62" w:right="62"/>
              <w:rPr>
                <w:rStyle w:val="122"/>
                <w:rFonts w:ascii="宋体" w:hAnsi="宋体"/>
                <w:color w:val="auto"/>
                <w:kern w:val="0"/>
                <w:szCs w:val="21"/>
                <w:u w:val="single"/>
                <w:lang w:val="zh-CN"/>
              </w:rPr>
            </w:pPr>
            <w:r>
              <w:rPr>
                <w:rStyle w:val="122"/>
                <w:rFonts w:hint="eastAsia" w:ascii="宋体" w:hAnsi="宋体"/>
                <w:color w:val="auto"/>
                <w:kern w:val="0"/>
                <w:szCs w:val="21"/>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AD727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0" w:hRule="atLeast"/>
        </w:trPr>
        <w:tc>
          <w:tcPr>
            <w:tcW w:w="657" w:type="dxa"/>
            <w:vAlign w:val="center"/>
          </w:tcPr>
          <w:p w14:paraId="6D0BC118">
            <w:pPr>
              <w:spacing w:line="276" w:lineRule="auto"/>
              <w:ind w:left="62" w:right="62"/>
              <w:jc w:val="center"/>
              <w:rPr>
                <w:rStyle w:val="122"/>
                <w:rFonts w:ascii="宋体" w:hAnsi="宋体"/>
                <w:color w:val="auto"/>
                <w:szCs w:val="21"/>
              </w:rPr>
            </w:pPr>
            <w:r>
              <w:rPr>
                <w:rStyle w:val="122"/>
                <w:rFonts w:ascii="宋体" w:hAnsi="宋体"/>
                <w:color w:val="auto"/>
                <w:szCs w:val="21"/>
              </w:rPr>
              <w:t>35</w:t>
            </w:r>
          </w:p>
        </w:tc>
        <w:tc>
          <w:tcPr>
            <w:tcW w:w="981" w:type="dxa"/>
            <w:vAlign w:val="center"/>
          </w:tcPr>
          <w:p w14:paraId="77A25D7D">
            <w:pPr>
              <w:spacing w:line="276" w:lineRule="auto"/>
              <w:ind w:left="62" w:right="62"/>
              <w:jc w:val="center"/>
              <w:rPr>
                <w:rStyle w:val="122"/>
                <w:rFonts w:ascii="宋体" w:hAnsi="宋体"/>
                <w:color w:val="auto"/>
                <w:szCs w:val="21"/>
              </w:rPr>
            </w:pPr>
          </w:p>
        </w:tc>
        <w:tc>
          <w:tcPr>
            <w:tcW w:w="1552" w:type="dxa"/>
            <w:vAlign w:val="center"/>
          </w:tcPr>
          <w:p w14:paraId="14301C40">
            <w:pPr>
              <w:spacing w:line="276" w:lineRule="auto"/>
              <w:ind w:left="62" w:right="62"/>
              <w:jc w:val="center"/>
              <w:rPr>
                <w:rStyle w:val="122"/>
                <w:rFonts w:ascii="宋体" w:hAnsi="宋体"/>
                <w:color w:val="auto"/>
                <w:kern w:val="0"/>
                <w:szCs w:val="21"/>
                <w:lang w:val="zh-CN"/>
              </w:rPr>
            </w:pPr>
            <w:r>
              <w:rPr>
                <w:rStyle w:val="122"/>
                <w:rFonts w:ascii="宋体" w:hAnsi="宋体"/>
                <w:color w:val="auto"/>
                <w:kern w:val="0"/>
                <w:szCs w:val="21"/>
                <w:lang w:val="zh-CN"/>
              </w:rPr>
              <w:t>分包</w:t>
            </w:r>
          </w:p>
        </w:tc>
        <w:tc>
          <w:tcPr>
            <w:tcW w:w="5910" w:type="dxa"/>
            <w:vAlign w:val="center"/>
          </w:tcPr>
          <w:p w14:paraId="757318BB">
            <w:pPr>
              <w:spacing w:line="276" w:lineRule="auto"/>
              <w:ind w:left="62" w:right="62"/>
              <w:rPr>
                <w:rFonts w:ascii="宋体" w:hAnsi="宋体"/>
                <w:color w:val="auto"/>
                <w:kern w:val="0"/>
                <w:szCs w:val="21"/>
                <w:lang w:val="zh-CN"/>
              </w:rPr>
            </w:pPr>
            <w:r>
              <w:rPr>
                <w:rStyle w:val="122"/>
                <w:rFonts w:ascii="宋体" w:hAnsi="宋体"/>
                <w:color w:val="auto"/>
                <w:kern w:val="0"/>
                <w:szCs w:val="21"/>
                <w:lang w:val="zh-CN"/>
              </w:rPr>
              <w:t>不允许。</w:t>
            </w:r>
          </w:p>
        </w:tc>
      </w:tr>
      <w:tr w14:paraId="07B040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3A9925A0">
            <w:pPr>
              <w:spacing w:line="276" w:lineRule="auto"/>
              <w:ind w:left="62" w:right="62"/>
              <w:jc w:val="center"/>
              <w:rPr>
                <w:rStyle w:val="122"/>
                <w:rFonts w:ascii="宋体" w:hAnsi="宋体"/>
                <w:color w:val="auto"/>
                <w:szCs w:val="21"/>
              </w:rPr>
            </w:pPr>
            <w:r>
              <w:rPr>
                <w:rStyle w:val="122"/>
                <w:rFonts w:ascii="宋体" w:hAnsi="宋体"/>
                <w:color w:val="auto"/>
                <w:szCs w:val="21"/>
              </w:rPr>
              <w:t>36</w:t>
            </w:r>
          </w:p>
        </w:tc>
        <w:tc>
          <w:tcPr>
            <w:tcW w:w="981" w:type="dxa"/>
            <w:vAlign w:val="center"/>
          </w:tcPr>
          <w:p w14:paraId="304DA7AE">
            <w:pPr>
              <w:spacing w:line="276" w:lineRule="auto"/>
              <w:ind w:left="62" w:right="62"/>
              <w:jc w:val="center"/>
              <w:rPr>
                <w:rStyle w:val="122"/>
                <w:rFonts w:ascii="宋体" w:hAnsi="宋体"/>
                <w:color w:val="auto"/>
                <w:szCs w:val="21"/>
              </w:rPr>
            </w:pPr>
          </w:p>
        </w:tc>
        <w:tc>
          <w:tcPr>
            <w:tcW w:w="1552" w:type="dxa"/>
            <w:vAlign w:val="center"/>
          </w:tcPr>
          <w:p w14:paraId="3E9493E6">
            <w:pPr>
              <w:spacing w:line="276" w:lineRule="auto"/>
              <w:ind w:left="62" w:right="62"/>
              <w:jc w:val="center"/>
              <w:rPr>
                <w:rStyle w:val="122"/>
                <w:rFonts w:ascii="宋体" w:hAnsi="宋体"/>
                <w:color w:val="auto"/>
                <w:kern w:val="0"/>
                <w:szCs w:val="21"/>
                <w:lang w:val="zh-CN"/>
              </w:rPr>
            </w:pPr>
            <w:r>
              <w:rPr>
                <w:rStyle w:val="122"/>
                <w:rFonts w:ascii="宋体" w:hAnsi="宋体"/>
                <w:color w:val="auto"/>
                <w:szCs w:val="21"/>
              </w:rPr>
              <w:t>电子招标投标解密失败及突发情况的补救</w:t>
            </w:r>
          </w:p>
        </w:tc>
        <w:tc>
          <w:tcPr>
            <w:tcW w:w="5910" w:type="dxa"/>
            <w:vAlign w:val="center"/>
          </w:tcPr>
          <w:p w14:paraId="1A31CDE1">
            <w:pPr>
              <w:spacing w:line="276" w:lineRule="auto"/>
              <w:ind w:left="62" w:right="62"/>
              <w:rPr>
                <w:rStyle w:val="122"/>
                <w:rFonts w:ascii="宋体" w:hAnsi="宋体"/>
                <w:color w:val="auto"/>
                <w:szCs w:val="21"/>
              </w:rPr>
            </w:pPr>
            <w:r>
              <w:rPr>
                <w:rStyle w:val="122"/>
                <w:rFonts w:hint="eastAsia" w:ascii="宋体" w:hAnsi="宋体"/>
                <w:color w:val="auto"/>
                <w:szCs w:val="21"/>
              </w:rPr>
              <w:t>1、按照交易平台关于全流程电子化项目的相关指南进行操作。详见：</w:t>
            </w:r>
            <w:r>
              <w:rPr>
                <w:rStyle w:val="122"/>
                <w:rFonts w:hint="eastAsia" w:ascii="宋体" w:hAnsi="宋体"/>
                <w:color w:val="auto"/>
                <w:szCs w:val="21"/>
                <w:u w:val="single"/>
              </w:rPr>
              <w:t>广州公共资源交易中心（</w:t>
            </w:r>
            <w:r>
              <w:rPr>
                <w:rStyle w:val="122"/>
                <w:rFonts w:ascii="宋体" w:hAnsi="宋体"/>
                <w:color w:val="auto"/>
                <w:szCs w:val="21"/>
                <w:u w:val="single"/>
              </w:rPr>
              <w:t>http://www.gzggzy.cn/</w:t>
            </w:r>
            <w:r>
              <w:rPr>
                <w:rStyle w:val="122"/>
                <w:rFonts w:hint="eastAsia" w:ascii="宋体" w:hAnsi="宋体"/>
                <w:color w:val="auto"/>
                <w:szCs w:val="21"/>
                <w:u w:val="single"/>
              </w:rPr>
              <w:t>）网站发布的最新指引。</w:t>
            </w:r>
            <w:r>
              <w:rPr>
                <w:rStyle w:val="122"/>
                <w:rFonts w:hint="eastAsia" w:ascii="宋体" w:hAnsi="宋体"/>
                <w:color w:val="auto"/>
                <w:szCs w:val="21"/>
              </w:rPr>
              <w:t xml:space="preserve">  </w:t>
            </w:r>
          </w:p>
          <w:p w14:paraId="59917A9A">
            <w:pPr>
              <w:spacing w:line="276" w:lineRule="auto"/>
              <w:ind w:left="62" w:right="62"/>
              <w:rPr>
                <w:rStyle w:val="122"/>
                <w:rFonts w:ascii="宋体" w:hAnsi="宋体"/>
                <w:color w:val="auto"/>
                <w:szCs w:val="21"/>
              </w:rPr>
            </w:pPr>
            <w:r>
              <w:rPr>
                <w:rStyle w:val="122"/>
                <w:rFonts w:hint="eastAsia" w:ascii="宋体" w:hAnsi="宋体"/>
                <w:color w:val="auto"/>
                <w:szCs w:val="21"/>
              </w:rPr>
              <w:t>2、提交投标文件光盘备用</w:t>
            </w:r>
          </w:p>
          <w:p w14:paraId="21E17951">
            <w:pPr>
              <w:spacing w:line="276" w:lineRule="auto"/>
              <w:ind w:left="62" w:right="62"/>
              <w:rPr>
                <w:rStyle w:val="122"/>
                <w:rFonts w:ascii="宋体" w:hAnsi="宋体"/>
                <w:color w:val="auto"/>
                <w:szCs w:val="21"/>
              </w:rPr>
            </w:pPr>
            <w:r>
              <w:rPr>
                <w:rStyle w:val="122"/>
                <w:rFonts w:hint="eastAsia" w:ascii="宋体" w:hAnsi="宋体"/>
                <w:color w:val="auto"/>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10F8DDBF">
            <w:pPr>
              <w:spacing w:line="276" w:lineRule="auto"/>
              <w:ind w:left="62" w:right="62"/>
              <w:rPr>
                <w:rStyle w:val="122"/>
                <w:rFonts w:ascii="宋体" w:hAnsi="宋体"/>
                <w:color w:val="auto"/>
                <w:szCs w:val="21"/>
              </w:rPr>
            </w:pPr>
            <w:r>
              <w:rPr>
                <w:rStyle w:val="122"/>
                <w:rFonts w:hint="eastAsia" w:ascii="宋体" w:hAnsi="宋体"/>
                <w:color w:val="auto"/>
                <w:szCs w:val="21"/>
              </w:rPr>
              <w:t>3、补救方案</w:t>
            </w:r>
          </w:p>
          <w:p w14:paraId="5947D6D2">
            <w:pPr>
              <w:spacing w:line="276" w:lineRule="auto"/>
              <w:ind w:left="62" w:right="62"/>
              <w:rPr>
                <w:rStyle w:val="122"/>
                <w:rFonts w:ascii="宋体" w:hAnsi="宋体"/>
                <w:color w:val="auto"/>
                <w:szCs w:val="21"/>
              </w:rPr>
            </w:pPr>
            <w:r>
              <w:rPr>
                <w:rStyle w:val="122"/>
                <w:rFonts w:hint="eastAsia" w:ascii="宋体" w:hAnsi="宋体"/>
                <w:color w:val="auto"/>
                <w:szCs w:val="21"/>
              </w:rPr>
              <w:t>（1）投标文件解密失败的补救方案：</w:t>
            </w:r>
          </w:p>
          <w:p w14:paraId="1D7F12A2">
            <w:pPr>
              <w:spacing w:line="276" w:lineRule="auto"/>
              <w:ind w:left="62" w:right="62"/>
              <w:rPr>
                <w:rStyle w:val="122"/>
                <w:rFonts w:ascii="宋体" w:hAnsi="宋体"/>
                <w:color w:val="auto"/>
                <w:szCs w:val="21"/>
              </w:rPr>
            </w:pPr>
            <w:r>
              <w:rPr>
                <w:rStyle w:val="122"/>
                <w:rFonts w:hint="eastAsia" w:ascii="宋体" w:hAnsi="宋体"/>
                <w:color w:val="auto"/>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5F20AA2">
            <w:pPr>
              <w:spacing w:line="276" w:lineRule="auto"/>
              <w:ind w:left="62" w:right="62"/>
              <w:rPr>
                <w:rStyle w:val="122"/>
                <w:rFonts w:ascii="宋体" w:hAnsi="宋体"/>
                <w:color w:val="auto"/>
                <w:szCs w:val="21"/>
              </w:rPr>
            </w:pPr>
            <w:r>
              <w:rPr>
                <w:rStyle w:val="122"/>
                <w:rFonts w:hint="eastAsia" w:ascii="宋体" w:hAnsi="宋体"/>
                <w:color w:val="auto"/>
                <w:szCs w:val="21"/>
              </w:rPr>
              <w:t>（2）评标时突发情况的补救方案</w:t>
            </w:r>
          </w:p>
          <w:p w14:paraId="074535CC">
            <w:pPr>
              <w:spacing w:line="276" w:lineRule="auto"/>
              <w:ind w:left="62" w:right="62"/>
              <w:rPr>
                <w:rStyle w:val="122"/>
                <w:rFonts w:ascii="宋体" w:hAnsi="宋体"/>
                <w:color w:val="auto"/>
                <w:szCs w:val="21"/>
              </w:rPr>
            </w:pPr>
            <w:r>
              <w:rPr>
                <w:rStyle w:val="122"/>
                <w:rFonts w:hint="eastAsia" w:ascii="宋体" w:hAnsi="宋体"/>
                <w:color w:val="auto"/>
                <w:szCs w:val="21"/>
              </w:rPr>
              <w:t>若遇不可抗力发生（指网络瘫痪、服务器损坏、交易系统故障短期无法恢复等因素），由评标委员会开启投标人递交的全部投标文件光盘，并按光盘内容进行评审。</w:t>
            </w:r>
          </w:p>
          <w:p w14:paraId="5232B7F9">
            <w:pPr>
              <w:spacing w:line="276" w:lineRule="auto"/>
              <w:ind w:left="62" w:right="62"/>
              <w:rPr>
                <w:rStyle w:val="122"/>
                <w:rFonts w:ascii="宋体" w:hAnsi="宋体"/>
                <w:color w:val="auto"/>
                <w:kern w:val="0"/>
                <w:szCs w:val="21"/>
                <w:lang w:val="zh-CN"/>
              </w:rPr>
            </w:pPr>
            <w:r>
              <w:rPr>
                <w:rStyle w:val="122"/>
                <w:rFonts w:hint="eastAsia" w:ascii="宋体" w:hAnsi="宋体"/>
                <w:color w:val="auto"/>
                <w:szCs w:val="21"/>
              </w:rPr>
              <w:t>（3）除发生上述情况外，开标评标均以投标人通过交易平台网上递交的电子投标文件为准。</w:t>
            </w:r>
          </w:p>
        </w:tc>
      </w:tr>
      <w:tr w14:paraId="6BF429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B7C7AEA">
            <w:pPr>
              <w:spacing w:line="276" w:lineRule="auto"/>
              <w:ind w:left="62" w:right="62"/>
              <w:jc w:val="center"/>
              <w:rPr>
                <w:rStyle w:val="122"/>
                <w:rFonts w:ascii="宋体" w:hAnsi="宋体"/>
                <w:color w:val="auto"/>
                <w:szCs w:val="21"/>
              </w:rPr>
            </w:pPr>
            <w:r>
              <w:rPr>
                <w:rStyle w:val="122"/>
                <w:rFonts w:hint="eastAsia" w:ascii="宋体" w:hAnsi="宋体"/>
                <w:color w:val="auto"/>
                <w:szCs w:val="21"/>
              </w:rPr>
              <w:t>37</w:t>
            </w:r>
          </w:p>
        </w:tc>
        <w:tc>
          <w:tcPr>
            <w:tcW w:w="981" w:type="dxa"/>
            <w:vAlign w:val="center"/>
          </w:tcPr>
          <w:p w14:paraId="6E6A3319">
            <w:pPr>
              <w:spacing w:line="276" w:lineRule="auto"/>
              <w:ind w:left="62" w:right="62"/>
              <w:jc w:val="center"/>
              <w:rPr>
                <w:rStyle w:val="122"/>
                <w:rFonts w:ascii="宋体" w:hAnsi="宋体"/>
                <w:color w:val="auto"/>
                <w:szCs w:val="21"/>
              </w:rPr>
            </w:pPr>
          </w:p>
        </w:tc>
        <w:tc>
          <w:tcPr>
            <w:tcW w:w="1552" w:type="dxa"/>
            <w:vAlign w:val="center"/>
          </w:tcPr>
          <w:p w14:paraId="0EE37A6A">
            <w:pPr>
              <w:spacing w:line="276" w:lineRule="auto"/>
              <w:ind w:left="62" w:right="62"/>
              <w:jc w:val="center"/>
              <w:rPr>
                <w:rStyle w:val="122"/>
                <w:rFonts w:ascii="宋体" w:hAnsi="宋体"/>
                <w:color w:val="auto"/>
                <w:szCs w:val="21"/>
              </w:rPr>
            </w:pPr>
            <w:r>
              <w:rPr>
                <w:rStyle w:val="122"/>
                <w:rFonts w:hint="eastAsia" w:ascii="宋体" w:hAnsi="宋体"/>
                <w:color w:val="auto"/>
                <w:szCs w:val="21"/>
              </w:rPr>
              <w:t>招标人对中标人参与“百千万工程”的具体要求</w:t>
            </w:r>
          </w:p>
        </w:tc>
        <w:tc>
          <w:tcPr>
            <w:tcW w:w="5910" w:type="dxa"/>
            <w:vAlign w:val="center"/>
          </w:tcPr>
          <w:p w14:paraId="253E15C0">
            <w:pPr>
              <w:spacing w:line="276" w:lineRule="auto"/>
              <w:ind w:left="62" w:right="62"/>
              <w:rPr>
                <w:rStyle w:val="122"/>
                <w:rFonts w:ascii="宋体" w:hAnsi="宋体"/>
                <w:color w:val="auto"/>
                <w:szCs w:val="21"/>
              </w:rPr>
            </w:pPr>
            <w:r>
              <w:rPr>
                <w:rStyle w:val="122"/>
                <w:rFonts w:hint="eastAsia" w:ascii="宋体" w:hAnsi="宋体"/>
                <w:color w:val="auto"/>
                <w:szCs w:val="21"/>
              </w:rPr>
              <w:t>说明与要求：</w:t>
            </w:r>
          </w:p>
          <w:p w14:paraId="516B1337">
            <w:pPr>
              <w:spacing w:line="276" w:lineRule="auto"/>
              <w:ind w:left="62" w:right="62"/>
              <w:rPr>
                <w:rStyle w:val="122"/>
                <w:rFonts w:ascii="宋体" w:hAnsi="宋体"/>
                <w:color w:val="auto"/>
                <w:szCs w:val="21"/>
              </w:rPr>
            </w:pPr>
            <w:r>
              <w:rPr>
                <w:rStyle w:val="122"/>
                <w:rFonts w:hint="eastAsia" w:ascii="宋体" w:hAnsi="宋体"/>
                <w:color w:val="auto"/>
                <w:szCs w:val="21"/>
              </w:rPr>
              <w:t>█具体要求在中标后按照投标承诺和招标人的要求执行。</w:t>
            </w:r>
          </w:p>
          <w:p w14:paraId="7D90E39F">
            <w:pPr>
              <w:spacing w:line="276" w:lineRule="auto"/>
              <w:ind w:left="62" w:right="62"/>
              <w:rPr>
                <w:rStyle w:val="122"/>
                <w:rFonts w:ascii="宋体" w:hAnsi="宋体"/>
                <w:color w:val="auto"/>
                <w:szCs w:val="21"/>
              </w:rPr>
            </w:pPr>
            <w:r>
              <w:rPr>
                <w:rStyle w:val="122"/>
                <w:rFonts w:hint="eastAsia" w:ascii="宋体" w:hAnsi="宋体"/>
                <w:color w:val="auto"/>
                <w:szCs w:val="21"/>
              </w:rPr>
              <w:t>□具体要求：</w:t>
            </w:r>
            <w:r>
              <w:rPr>
                <w:rStyle w:val="122"/>
                <w:rFonts w:hint="eastAsia" w:ascii="宋体" w:hAnsi="宋体"/>
                <w:color w:val="auto"/>
                <w:szCs w:val="21"/>
                <w:u w:val="single"/>
              </w:rPr>
              <w:t>（由招标人填写）</w:t>
            </w:r>
          </w:p>
        </w:tc>
      </w:tr>
      <w:tr w14:paraId="589DF8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640A321">
            <w:pPr>
              <w:spacing w:line="276" w:lineRule="auto"/>
              <w:ind w:left="62" w:right="62"/>
              <w:jc w:val="center"/>
              <w:rPr>
                <w:rStyle w:val="122"/>
                <w:rFonts w:ascii="宋体" w:hAnsi="宋体"/>
                <w:color w:val="auto"/>
                <w:szCs w:val="21"/>
              </w:rPr>
            </w:pPr>
            <w:r>
              <w:rPr>
                <w:rStyle w:val="122"/>
                <w:rFonts w:hint="eastAsia" w:ascii="宋体" w:hAnsi="宋体"/>
                <w:color w:val="auto"/>
                <w:szCs w:val="21"/>
              </w:rPr>
              <w:t>38</w:t>
            </w:r>
          </w:p>
        </w:tc>
        <w:tc>
          <w:tcPr>
            <w:tcW w:w="981" w:type="dxa"/>
            <w:vAlign w:val="center"/>
          </w:tcPr>
          <w:p w14:paraId="43B31CAD">
            <w:pPr>
              <w:spacing w:line="276" w:lineRule="auto"/>
              <w:ind w:left="62" w:right="62"/>
              <w:jc w:val="center"/>
              <w:rPr>
                <w:rStyle w:val="122"/>
                <w:rFonts w:ascii="宋体" w:hAnsi="宋体"/>
                <w:color w:val="auto"/>
                <w:szCs w:val="21"/>
              </w:rPr>
            </w:pPr>
          </w:p>
        </w:tc>
        <w:tc>
          <w:tcPr>
            <w:tcW w:w="1552" w:type="dxa"/>
            <w:vAlign w:val="center"/>
          </w:tcPr>
          <w:p w14:paraId="2B53E0A8">
            <w:pPr>
              <w:spacing w:line="276" w:lineRule="auto"/>
              <w:ind w:left="62" w:right="62"/>
              <w:jc w:val="center"/>
              <w:rPr>
                <w:rStyle w:val="122"/>
                <w:rFonts w:ascii="宋体" w:hAnsi="宋体"/>
                <w:color w:val="auto"/>
                <w:szCs w:val="21"/>
              </w:rPr>
            </w:pPr>
            <w:r>
              <w:rPr>
                <w:rFonts w:hint="eastAsia" w:ascii="宋体" w:hAnsi="宋体" w:cs="宋体"/>
                <w:bCs/>
                <w:color w:val="auto"/>
                <w:szCs w:val="21"/>
                <w:u w:val="single"/>
              </w:rPr>
              <w:t>其他费用</w:t>
            </w:r>
          </w:p>
        </w:tc>
        <w:tc>
          <w:tcPr>
            <w:tcW w:w="5910" w:type="dxa"/>
            <w:vAlign w:val="center"/>
          </w:tcPr>
          <w:p w14:paraId="0EE58BD0">
            <w:pPr>
              <w:ind w:left="62" w:right="62"/>
              <w:jc w:val="left"/>
              <w:rPr>
                <w:rFonts w:ascii="宋体" w:hAnsi="宋体" w:cs="宋体"/>
                <w:bCs/>
                <w:color w:val="auto"/>
                <w:szCs w:val="21"/>
                <w:u w:val="single"/>
              </w:rPr>
            </w:pPr>
            <w:r>
              <w:rPr>
                <w:rFonts w:hint="eastAsia" w:ascii="宋体" w:hAnsi="宋体" w:cs="宋体"/>
                <w:bCs/>
                <w:color w:val="auto"/>
                <w:szCs w:val="21"/>
                <w:u w:val="single"/>
              </w:rPr>
              <w:t>1、中标人代缴公共资源交易服务费，其费用包含在中标人投标报价中，交易中心向中标人开具增值税发票。</w:t>
            </w:r>
          </w:p>
          <w:p w14:paraId="4A6A07EC">
            <w:pPr>
              <w:spacing w:line="276" w:lineRule="auto"/>
              <w:ind w:left="62" w:right="62"/>
              <w:rPr>
                <w:rStyle w:val="122"/>
                <w:rFonts w:ascii="宋体" w:hAnsi="宋体"/>
                <w:color w:val="auto"/>
                <w:szCs w:val="21"/>
              </w:rPr>
            </w:pPr>
            <w:r>
              <w:rPr>
                <w:rFonts w:hint="eastAsia" w:ascii="宋体" w:hAnsi="宋体" w:cs="宋体"/>
                <w:bCs/>
                <w:color w:val="auto"/>
                <w:szCs w:val="21"/>
                <w:u w:val="single"/>
              </w:rPr>
              <w:t>2、本项目招标代理服务费由中标人支付，以中标价作为招标代理服务费的计算基数。参照《招标代理服务收费管理暂行办法》(计价格[2002]1980号)的相关规定，以中标金额为基数，</w:t>
            </w:r>
            <w:r>
              <w:rPr>
                <w:rFonts w:hint="eastAsia" w:ascii="宋体" w:hAnsi="宋体"/>
                <w:color w:val="auto"/>
                <w:szCs w:val="21"/>
              </w:rPr>
              <w:t>按工程类标准计算招标代理服务费并下浮40%向中标人收取。</w:t>
            </w:r>
            <w:r>
              <w:rPr>
                <w:rFonts w:hint="eastAsia" w:ascii="宋体" w:hAnsi="宋体" w:cs="宋体"/>
                <w:bCs/>
                <w:color w:val="auto"/>
                <w:szCs w:val="21"/>
                <w:u w:val="single"/>
              </w:rPr>
              <w:t>中标人在领取中标通知书前将此费用支付给招标代理单位。</w:t>
            </w:r>
          </w:p>
        </w:tc>
      </w:tr>
      <w:tr w14:paraId="6A0331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11DB0806">
            <w:pPr>
              <w:spacing w:line="276" w:lineRule="auto"/>
              <w:ind w:left="62" w:right="62"/>
              <w:jc w:val="center"/>
              <w:rPr>
                <w:rStyle w:val="122"/>
                <w:rFonts w:ascii="宋体" w:hAnsi="宋体"/>
                <w:color w:val="auto"/>
                <w:szCs w:val="21"/>
              </w:rPr>
            </w:pPr>
            <w:r>
              <w:rPr>
                <w:rStyle w:val="122"/>
                <w:rFonts w:hint="eastAsia" w:ascii="宋体" w:hAnsi="宋体"/>
                <w:color w:val="auto"/>
                <w:szCs w:val="21"/>
              </w:rPr>
              <w:t>39</w:t>
            </w:r>
          </w:p>
        </w:tc>
        <w:tc>
          <w:tcPr>
            <w:tcW w:w="981" w:type="dxa"/>
            <w:vAlign w:val="center"/>
          </w:tcPr>
          <w:p w14:paraId="3D42ED0E">
            <w:pPr>
              <w:spacing w:line="276" w:lineRule="auto"/>
              <w:ind w:left="62" w:right="62"/>
              <w:jc w:val="center"/>
              <w:rPr>
                <w:rFonts w:ascii="宋体" w:hAnsi="宋体" w:cs="宋体"/>
                <w:bCs/>
                <w:color w:val="auto"/>
                <w:szCs w:val="21"/>
                <w:u w:val="single"/>
              </w:rPr>
            </w:pPr>
          </w:p>
        </w:tc>
        <w:tc>
          <w:tcPr>
            <w:tcW w:w="1552" w:type="dxa"/>
            <w:vAlign w:val="center"/>
          </w:tcPr>
          <w:p w14:paraId="1CD6C703">
            <w:pPr>
              <w:jc w:val="center"/>
              <w:rPr>
                <w:rFonts w:ascii="宋体" w:hAnsi="宋体" w:cs="宋体"/>
                <w:bCs/>
                <w:color w:val="auto"/>
                <w:szCs w:val="21"/>
                <w:u w:val="single"/>
              </w:rPr>
            </w:pPr>
            <w:r>
              <w:rPr>
                <w:rFonts w:hint="eastAsia" w:ascii="宋体" w:hAnsi="宋体"/>
                <w:color w:val="auto"/>
              </w:rPr>
              <w:t>否决性条款汇总</w:t>
            </w:r>
          </w:p>
        </w:tc>
        <w:tc>
          <w:tcPr>
            <w:tcW w:w="5910" w:type="dxa"/>
            <w:vAlign w:val="center"/>
          </w:tcPr>
          <w:p w14:paraId="49599529">
            <w:pPr>
              <w:rPr>
                <w:color w:val="auto"/>
              </w:rPr>
            </w:pPr>
            <w:r>
              <w:rPr>
                <w:rFonts w:hint="eastAsia"/>
                <w:color w:val="auto"/>
              </w:rPr>
              <w:t>否决性条款是指招标文件中规定的不予受理投标或者作无效标、废标以及不合格标处理等否定投标文件效力的条款。</w:t>
            </w:r>
          </w:p>
          <w:p w14:paraId="48D8575F">
            <w:pPr>
              <w:rPr>
                <w:color w:val="auto"/>
              </w:rPr>
            </w:pPr>
            <w:r>
              <w:rPr>
                <w:rFonts w:hint="eastAsia"/>
                <w:color w:val="auto"/>
              </w:rPr>
              <w:t>（1）投标截止时间后送达的电子投标文件或备用光盘，将予以拒收。</w:t>
            </w:r>
          </w:p>
          <w:p w14:paraId="7713AA19">
            <w:pPr>
              <w:rPr>
                <w:color w:val="auto"/>
              </w:rPr>
            </w:pPr>
            <w:r>
              <w:rPr>
                <w:rFonts w:hint="eastAsia"/>
                <w:color w:val="auto"/>
              </w:rPr>
              <w:t>（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A2A9894">
            <w:pPr>
              <w:rPr>
                <w:color w:val="auto"/>
              </w:rPr>
            </w:pPr>
            <w:r>
              <w:rPr>
                <w:rFonts w:hint="eastAsia"/>
                <w:color w:val="auto"/>
              </w:rPr>
              <w:t>（3）投标文件不符合招标文件《资格审查表》、《技术标有效性审查表》《经济标有效性审查表》规定的任何一种情形的。</w:t>
            </w:r>
          </w:p>
          <w:p w14:paraId="1D97E464">
            <w:pPr>
              <w:rPr>
                <w:color w:val="auto"/>
              </w:rPr>
            </w:pPr>
            <w:r>
              <w:rPr>
                <w:rFonts w:hint="eastAsia"/>
                <w:color w:val="auto"/>
              </w:rPr>
              <w:t>（4）投标人不按评标委员会要求进行澄清、说明或补正的。</w:t>
            </w:r>
          </w:p>
          <w:p w14:paraId="7F30978F">
            <w:pPr>
              <w:rPr>
                <w:color w:val="auto"/>
              </w:rPr>
            </w:pPr>
            <w:r>
              <w:rPr>
                <w:rFonts w:hint="eastAsia"/>
                <w:color w:val="auto"/>
              </w:rPr>
              <w:t>（5）投标人的报价明显低于其他投标报价，投标人不能合理说明或者不能提供相应证明材料的。</w:t>
            </w:r>
          </w:p>
          <w:p w14:paraId="14A66F18">
            <w:pPr>
              <w:rPr>
                <w:color w:val="auto"/>
              </w:rPr>
            </w:pPr>
            <w:r>
              <w:rPr>
                <w:rFonts w:hint="eastAsia"/>
                <w:color w:val="auto"/>
              </w:rPr>
              <w:t>（6）投标人不接受评标委员会修正后的价格的。</w:t>
            </w:r>
          </w:p>
          <w:p w14:paraId="559E7E91">
            <w:pPr>
              <w:rPr>
                <w:color w:val="auto"/>
              </w:rPr>
            </w:pPr>
            <w:r>
              <w:rPr>
                <w:rFonts w:hint="eastAsia"/>
                <w:color w:val="auto"/>
              </w:rPr>
              <w:t>（7）招标文件规定应当提交履约担保而中标人在规定的期限内未能提交的。</w:t>
            </w:r>
          </w:p>
          <w:p w14:paraId="5BDDB6DC">
            <w:pPr>
              <w:rPr>
                <w:color w:val="auto"/>
              </w:rPr>
            </w:pPr>
            <w:r>
              <w:rPr>
                <w:rFonts w:hint="eastAsia"/>
                <w:color w:val="auto"/>
              </w:rPr>
              <w:t>（8）经核查发现委派的项目负责人已在其他在建项目中任职、不符合任职数量规定的。</w:t>
            </w:r>
          </w:p>
          <w:p w14:paraId="1D9528EF">
            <w:pPr>
              <w:rPr>
                <w:color w:val="auto"/>
              </w:rPr>
            </w:pPr>
            <w:r>
              <w:rPr>
                <w:rFonts w:hint="eastAsia"/>
                <w:color w:val="auto"/>
              </w:rPr>
              <w:t>（8）在投标文件的评审和比较、中标候选人推荐以及授予合同的过程中，投标人向招标人和评标委员会施加不公正影响的任何行为的。</w:t>
            </w:r>
          </w:p>
          <w:p w14:paraId="2EDE9396">
            <w:pPr>
              <w:rPr>
                <w:color w:val="auto"/>
              </w:rPr>
            </w:pPr>
            <w:r>
              <w:rPr>
                <w:rFonts w:hint="eastAsia"/>
                <w:color w:val="auto"/>
              </w:rPr>
              <w:t>（9）投标人被认定在本招标的竞争中有腐败或欺诈行为。</w:t>
            </w:r>
          </w:p>
          <w:p w14:paraId="030E5765">
            <w:pPr>
              <w:rPr>
                <w:rFonts w:ascii="宋体" w:hAnsi="宋体" w:cs="宋体"/>
                <w:bCs/>
                <w:color w:val="auto"/>
                <w:szCs w:val="21"/>
                <w:u w:val="single"/>
              </w:rPr>
            </w:pPr>
            <w:r>
              <w:rPr>
                <w:rFonts w:hint="eastAsia"/>
                <w:color w:val="auto"/>
              </w:rPr>
              <w:t>（10）投标人在本项目中存在串通投标、弄虚作假骗取中标、行贿情形。</w:t>
            </w:r>
          </w:p>
        </w:tc>
      </w:tr>
    </w:tbl>
    <w:p w14:paraId="52C9BAB8">
      <w:pPr>
        <w:pStyle w:val="139"/>
        <w:spacing w:line="276" w:lineRule="auto"/>
        <w:ind w:left="0"/>
        <w:jc w:val="left"/>
        <w:outlineLvl w:val="1"/>
        <w:rPr>
          <w:rFonts w:ascii="宋体" w:hAnsi="宋体" w:cs="Courier New"/>
          <w:color w:val="auto"/>
          <w:sz w:val="21"/>
          <w:szCs w:val="21"/>
        </w:rPr>
      </w:pPr>
      <w:bookmarkStart w:id="3" w:name="_Toc105014621"/>
      <w:bookmarkStart w:id="4" w:name="_Toc21187"/>
      <w:bookmarkStart w:id="5" w:name="_Toc105005587"/>
      <w:bookmarkStart w:id="6" w:name="_Toc185324315"/>
      <w:r>
        <w:rPr>
          <w:rFonts w:hint="eastAsia" w:ascii="宋体" w:hAnsi="宋体" w:cs="Courier New"/>
          <w:color w:val="auto"/>
          <w:sz w:val="21"/>
          <w:szCs w:val="21"/>
        </w:rPr>
        <w:t>注：企业的诚信综合评价排名以开标当天广州市工程招标代理行业协会网站施工企业专栏上公布的企业</w:t>
      </w:r>
      <w:r>
        <w:rPr>
          <w:rFonts w:ascii="宋体" w:hAnsi="宋体" w:cs="Courier New"/>
          <w:color w:val="auto"/>
          <w:sz w:val="21"/>
          <w:szCs w:val="21"/>
        </w:rPr>
        <w:t>60日诚信分排名为准</w:t>
      </w:r>
      <w:r>
        <w:rPr>
          <w:rFonts w:hint="eastAsia" w:ascii="宋体" w:hAnsi="宋体" w:cs="Courier New"/>
          <w:color w:val="auto"/>
          <w:sz w:val="21"/>
          <w:szCs w:val="21"/>
        </w:rPr>
        <w:t>，以下同。</w:t>
      </w:r>
      <w:bookmarkEnd w:id="3"/>
      <w:bookmarkEnd w:id="4"/>
      <w:bookmarkEnd w:id="5"/>
      <w:bookmarkEnd w:id="6"/>
    </w:p>
    <w:p w14:paraId="33F19A6A">
      <w:pPr>
        <w:pStyle w:val="139"/>
        <w:spacing w:line="360" w:lineRule="auto"/>
        <w:outlineLvl w:val="1"/>
        <w:rPr>
          <w:rStyle w:val="122"/>
          <w:rFonts w:ascii="宋体" w:hAnsi="宋体"/>
          <w:b/>
          <w:color w:val="auto"/>
        </w:rPr>
      </w:pPr>
      <w:r>
        <w:rPr>
          <w:rStyle w:val="122"/>
          <w:rFonts w:ascii="宋体" w:hAnsi="宋体"/>
          <w:b/>
          <w:color w:val="auto"/>
        </w:rPr>
        <w:br w:type="page"/>
      </w:r>
      <w:bookmarkStart w:id="7" w:name="_Toc10643"/>
      <w:r>
        <w:rPr>
          <w:rStyle w:val="122"/>
          <w:rFonts w:ascii="宋体" w:hAnsi="宋体"/>
          <w:b/>
          <w:color w:val="auto"/>
        </w:rPr>
        <w:t>二、投标须知修改表</w:t>
      </w:r>
      <w:bookmarkEnd w:id="7"/>
    </w:p>
    <w:p w14:paraId="7BB5CB94">
      <w:pPr>
        <w:pStyle w:val="115"/>
        <w:spacing w:line="360" w:lineRule="auto"/>
        <w:rPr>
          <w:rStyle w:val="122"/>
          <w:rFonts w:ascii="宋体" w:hAnsi="宋体"/>
          <w:b/>
          <w:color w:val="auto"/>
          <w:sz w:val="21"/>
          <w:szCs w:val="21"/>
        </w:rPr>
      </w:pPr>
      <w:r>
        <w:rPr>
          <w:rStyle w:val="122"/>
          <w:rFonts w:ascii="宋体" w:hAnsi="宋体"/>
          <w:b/>
          <w:color w:val="auto"/>
          <w:sz w:val="21"/>
          <w:szCs w:val="21"/>
        </w:rPr>
        <w:t>声明：</w:t>
      </w:r>
      <w:r>
        <w:rPr>
          <w:rStyle w:val="122"/>
          <w:rFonts w:hint="eastAsia" w:ascii="宋体" w:hAnsi="宋体"/>
          <w:b/>
          <w:color w:val="auto"/>
          <w:sz w:val="21"/>
          <w:szCs w:val="21"/>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64347608">
      <w:pPr>
        <w:pBdr>
          <w:top w:val="single" w:color="auto" w:sz="4" w:space="0"/>
        </w:pBdr>
        <w:spacing w:line="360" w:lineRule="auto"/>
        <w:ind w:firstLine="422" w:firstLineChars="200"/>
        <w:rPr>
          <w:rStyle w:val="122"/>
          <w:rFonts w:ascii="宋体" w:hAnsi="宋体"/>
          <w:b/>
          <w:color w:val="auto"/>
          <w:szCs w:val="21"/>
        </w:rPr>
      </w:pPr>
      <w:r>
        <w:rPr>
          <w:rStyle w:val="122"/>
          <w:rFonts w:ascii="宋体" w:hAnsi="宋体"/>
          <w:b/>
          <w:color w:val="auto"/>
          <w:szCs w:val="21"/>
        </w:rPr>
        <w:t>条款号：8.1          修改类型：修改</w:t>
      </w:r>
    </w:p>
    <w:p w14:paraId="033E4CF4">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hint="eastAsia" w:ascii="宋体" w:hAnsi="宋体"/>
          <w:b/>
          <w:color w:val="auto"/>
          <w:szCs w:val="21"/>
        </w:rPr>
        <w:t>：</w:t>
      </w:r>
      <w:r>
        <w:rPr>
          <w:rStyle w:val="122"/>
          <w:rFonts w:ascii="宋体" w:hAnsi="宋体"/>
          <w:color w:val="auto"/>
          <w:szCs w:val="21"/>
        </w:rPr>
        <w:t>8.1投标人若对招标文件（包括招标图纸）中有疑问，可以书面形式通过</w:t>
      </w:r>
      <w:r>
        <w:rPr>
          <w:rStyle w:val="122"/>
          <w:rFonts w:ascii="宋体" w:hAnsi="宋体"/>
          <w:color w:val="auto"/>
          <w:szCs w:val="21"/>
          <w:u w:val="single"/>
        </w:rPr>
        <w:t xml:space="preserve">        </w:t>
      </w:r>
      <w:r>
        <w:rPr>
          <w:rStyle w:val="122"/>
          <w:rFonts w:ascii="宋体" w:hAnsi="宋体"/>
          <w:color w:val="auto"/>
          <w:szCs w:val="21"/>
        </w:rPr>
        <w:t>交易平台提交给招标人或招标代理人，提交形式见本须知前附表第16项。</w:t>
      </w:r>
    </w:p>
    <w:p w14:paraId="15291551">
      <w:pPr>
        <w:pBdr>
          <w:bottom w:val="single" w:color="000000" w:sz="6" w:space="1"/>
        </w:pBdr>
        <w:spacing w:line="360" w:lineRule="auto"/>
        <w:ind w:firstLine="422" w:firstLineChars="200"/>
        <w:rPr>
          <w:rStyle w:val="122"/>
          <w:rFonts w:ascii="宋体" w:hAnsi="宋体"/>
          <w:color w:val="auto"/>
          <w:szCs w:val="21"/>
        </w:rPr>
      </w:pPr>
      <w:r>
        <w:rPr>
          <w:rStyle w:val="122"/>
          <w:rFonts w:ascii="宋体" w:hAnsi="宋体"/>
          <w:b/>
          <w:color w:val="auto"/>
          <w:szCs w:val="21"/>
        </w:rPr>
        <w:t>现文：</w:t>
      </w:r>
      <w:r>
        <w:rPr>
          <w:rStyle w:val="122"/>
          <w:rFonts w:ascii="宋体" w:hAnsi="宋体"/>
          <w:color w:val="auto"/>
          <w:szCs w:val="21"/>
        </w:rPr>
        <w:t>8.1投标人若对招标文件</w:t>
      </w:r>
      <w:r>
        <w:rPr>
          <w:rStyle w:val="122"/>
          <w:rFonts w:hint="eastAsia" w:ascii="宋体" w:hAnsi="宋体"/>
          <w:color w:val="auto"/>
          <w:szCs w:val="21"/>
        </w:rPr>
        <w:t>招标文件（包括招标图纸）</w:t>
      </w:r>
      <w:r>
        <w:rPr>
          <w:rStyle w:val="122"/>
          <w:rFonts w:ascii="宋体" w:hAnsi="宋体"/>
          <w:color w:val="auto"/>
          <w:szCs w:val="21"/>
        </w:rPr>
        <w:t>中有疑问，可以书面形式通过</w:t>
      </w:r>
      <w:r>
        <w:rPr>
          <w:rStyle w:val="122"/>
          <w:rFonts w:ascii="宋体" w:hAnsi="宋体"/>
          <w:color w:val="auto"/>
          <w:szCs w:val="21"/>
          <w:u w:val="single"/>
        </w:rPr>
        <w:t>广州公共资源交易中心</w:t>
      </w:r>
      <w:r>
        <w:rPr>
          <w:rStyle w:val="122"/>
          <w:rFonts w:ascii="宋体" w:hAnsi="宋体"/>
          <w:color w:val="auto"/>
          <w:szCs w:val="21"/>
        </w:rPr>
        <w:t>交易平台提交给招标人或招标代理人，提交形式见本须知前附表第16项。</w:t>
      </w:r>
    </w:p>
    <w:p w14:paraId="236C435D">
      <w:pPr>
        <w:spacing w:line="360" w:lineRule="auto"/>
        <w:ind w:firstLine="422" w:firstLineChars="200"/>
        <w:rPr>
          <w:rStyle w:val="122"/>
          <w:rFonts w:ascii="宋体" w:hAnsi="宋体"/>
          <w:b/>
          <w:color w:val="auto"/>
          <w:szCs w:val="21"/>
        </w:rPr>
      </w:pPr>
      <w:r>
        <w:rPr>
          <w:rStyle w:val="122"/>
          <w:rFonts w:ascii="宋体" w:hAnsi="宋体"/>
          <w:b/>
          <w:color w:val="auto"/>
          <w:szCs w:val="21"/>
        </w:rPr>
        <w:t>条款号：8.2          修改类型：修改</w:t>
      </w:r>
    </w:p>
    <w:p w14:paraId="7F7EE9A7">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color w:val="auto"/>
          <w:szCs w:val="21"/>
        </w:rPr>
        <w:t>8.2招标答疑会会议纪要将在提交投标文件截止时间15日前在</w:t>
      </w:r>
      <w:r>
        <w:rPr>
          <w:rStyle w:val="122"/>
          <w:rFonts w:ascii="宋体" w:hAnsi="宋体"/>
          <w:color w:val="auto"/>
          <w:szCs w:val="21"/>
          <w:u w:val="single"/>
        </w:rPr>
        <w:t xml:space="preserve">   </w:t>
      </w:r>
      <w:r>
        <w:rPr>
          <w:rStyle w:val="122"/>
          <w:rFonts w:ascii="宋体" w:hAnsi="宋体"/>
          <w:color w:val="auto"/>
          <w:szCs w:val="21"/>
        </w:rPr>
        <w:t>交易平台 “项目答疑纪要”专区公开发布。答疑纪要一经在</w:t>
      </w:r>
      <w:r>
        <w:rPr>
          <w:rStyle w:val="122"/>
          <w:rFonts w:ascii="宋体" w:hAnsi="宋体"/>
          <w:color w:val="auto"/>
          <w:szCs w:val="21"/>
          <w:u w:val="single"/>
        </w:rPr>
        <w:t xml:space="preserve">   </w:t>
      </w:r>
      <w:r>
        <w:rPr>
          <w:rStyle w:val="122"/>
          <w:rFonts w:ascii="宋体" w:hAnsi="宋体"/>
          <w:color w:val="auto"/>
          <w:szCs w:val="21"/>
        </w:rPr>
        <w:t>交易平台发布，视作已发放给所有投标人。</w:t>
      </w:r>
    </w:p>
    <w:p w14:paraId="25596C9D">
      <w:pPr>
        <w:pBdr>
          <w:bottom w:val="single" w:color="000000" w:sz="6" w:space="1"/>
        </w:pBdr>
        <w:spacing w:line="360" w:lineRule="auto"/>
        <w:ind w:firstLine="422" w:firstLineChars="200"/>
        <w:rPr>
          <w:rStyle w:val="122"/>
          <w:rFonts w:ascii="宋体" w:hAnsi="宋体"/>
          <w:color w:val="auto"/>
          <w:szCs w:val="21"/>
        </w:rPr>
      </w:pPr>
      <w:r>
        <w:rPr>
          <w:rStyle w:val="122"/>
          <w:rFonts w:ascii="宋体" w:hAnsi="宋体"/>
          <w:b/>
          <w:color w:val="auto"/>
          <w:szCs w:val="21"/>
        </w:rPr>
        <w:t>现文：</w:t>
      </w:r>
      <w:r>
        <w:rPr>
          <w:rStyle w:val="122"/>
          <w:rFonts w:ascii="宋体" w:hAnsi="宋体"/>
          <w:color w:val="auto"/>
          <w:szCs w:val="21"/>
        </w:rPr>
        <w:t>8.2招标答疑会会议纪要将在提交投标文件截止时间15日前在</w:t>
      </w:r>
      <w:r>
        <w:rPr>
          <w:rStyle w:val="122"/>
          <w:rFonts w:hint="eastAsia" w:ascii="宋体" w:hAnsi="宋体"/>
          <w:color w:val="auto"/>
          <w:szCs w:val="21"/>
          <w:u w:val="single"/>
        </w:rPr>
        <w:t>广州公共资源交易中心</w:t>
      </w:r>
      <w:r>
        <w:rPr>
          <w:rStyle w:val="122"/>
          <w:rFonts w:ascii="宋体" w:hAnsi="宋体"/>
          <w:color w:val="auto"/>
          <w:szCs w:val="21"/>
        </w:rPr>
        <w:t>交易平台“项目答疑纪要”专区公开发布。答疑纪要一经在</w:t>
      </w:r>
      <w:r>
        <w:rPr>
          <w:rStyle w:val="122"/>
          <w:rFonts w:hint="eastAsia" w:ascii="宋体" w:hAnsi="宋体"/>
          <w:color w:val="auto"/>
          <w:szCs w:val="21"/>
          <w:u w:val="single"/>
        </w:rPr>
        <w:t>广州公共资源交易中心</w:t>
      </w:r>
      <w:r>
        <w:rPr>
          <w:rStyle w:val="122"/>
          <w:rFonts w:ascii="宋体" w:hAnsi="宋体"/>
          <w:color w:val="auto"/>
          <w:szCs w:val="21"/>
        </w:rPr>
        <w:t>交易平台发布，视作已发放给所有投标人。</w:t>
      </w:r>
    </w:p>
    <w:p w14:paraId="0A1967DA">
      <w:pPr>
        <w:pStyle w:val="22"/>
        <w:spacing w:line="460" w:lineRule="exact"/>
        <w:ind w:firstLine="422" w:firstLineChars="200"/>
        <w:rPr>
          <w:rFonts w:ascii="宋体" w:hAnsi="宋体" w:cs="宋体"/>
          <w:color w:val="auto"/>
          <w:sz w:val="21"/>
          <w:szCs w:val="21"/>
        </w:rPr>
      </w:pPr>
      <w:r>
        <w:rPr>
          <w:rFonts w:hint="eastAsia" w:ascii="宋体" w:hAnsi="宋体" w:cs="宋体"/>
          <w:b/>
          <w:color w:val="auto"/>
          <w:sz w:val="21"/>
          <w:szCs w:val="21"/>
        </w:rPr>
        <w:t>条款号：8.4</w:t>
      </w:r>
      <w:r>
        <w:rPr>
          <w:rFonts w:hint="eastAsia" w:ascii="宋体" w:hAnsi="宋体" w:cs="宋体"/>
          <w:color w:val="auto"/>
          <w:sz w:val="21"/>
          <w:szCs w:val="21"/>
        </w:rPr>
        <w:t xml:space="preserve">                  </w:t>
      </w:r>
      <w:r>
        <w:rPr>
          <w:rFonts w:hint="eastAsia" w:ascii="宋体" w:hAnsi="宋体" w:cs="宋体"/>
          <w:b/>
          <w:color w:val="auto"/>
          <w:sz w:val="21"/>
          <w:szCs w:val="21"/>
        </w:rPr>
        <w:t>修改类型：修改</w:t>
      </w:r>
    </w:p>
    <w:p w14:paraId="2B7B6325">
      <w:pPr>
        <w:pStyle w:val="22"/>
        <w:spacing w:line="460" w:lineRule="exact"/>
        <w:ind w:firstLine="413" w:firstLineChars="196"/>
        <w:rPr>
          <w:rFonts w:ascii="宋体" w:hAnsi="宋体" w:cs="宋体"/>
          <w:color w:val="auto"/>
          <w:sz w:val="21"/>
          <w:szCs w:val="21"/>
        </w:rPr>
      </w:pPr>
      <w:r>
        <w:rPr>
          <w:rFonts w:hint="eastAsia" w:ascii="宋体" w:hAnsi="宋体" w:cs="宋体"/>
          <w:b/>
          <w:color w:val="auto"/>
          <w:sz w:val="21"/>
          <w:szCs w:val="21"/>
        </w:rPr>
        <w:t>原文：</w:t>
      </w:r>
      <w:r>
        <w:rPr>
          <w:rFonts w:hint="eastAsia" w:ascii="宋体" w:hAnsi="宋体" w:cs="宋体"/>
          <w:color w:val="auto"/>
          <w:sz w:val="21"/>
          <w:szCs w:val="21"/>
        </w:rPr>
        <w:t>8.4若招标答疑会会议纪要与招标文件有矛盾，以答疑会议纪要最后发出的书面形式的文件为准。</w:t>
      </w:r>
    </w:p>
    <w:p w14:paraId="44D5B372">
      <w:pPr>
        <w:pBdr>
          <w:bottom w:val="single" w:color="auto" w:sz="6" w:space="1"/>
        </w:pBdr>
        <w:spacing w:line="460" w:lineRule="exact"/>
        <w:ind w:firstLine="413" w:firstLineChars="196"/>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8.4若招标答疑会会议纪要与招标文件有矛盾，以</w:t>
      </w:r>
      <w:r>
        <w:rPr>
          <w:rFonts w:hint="eastAsia" w:ascii="宋体" w:hAnsi="宋体" w:cs="宋体"/>
          <w:color w:val="auto"/>
          <w:szCs w:val="21"/>
          <w:u w:val="single"/>
        </w:rPr>
        <w:t>广州公共资源交易中心最后发布的答疑纪要为准</w:t>
      </w:r>
      <w:r>
        <w:rPr>
          <w:rFonts w:hint="eastAsia" w:ascii="宋体" w:hAnsi="宋体" w:cs="宋体"/>
          <w:color w:val="auto"/>
          <w:szCs w:val="21"/>
        </w:rPr>
        <w:t>。</w:t>
      </w:r>
    </w:p>
    <w:p w14:paraId="62C180ED">
      <w:pPr>
        <w:spacing w:line="360" w:lineRule="auto"/>
        <w:ind w:firstLine="422" w:firstLineChars="200"/>
        <w:rPr>
          <w:rStyle w:val="122"/>
          <w:rFonts w:ascii="宋体" w:hAnsi="宋体"/>
          <w:b/>
          <w:color w:val="auto"/>
          <w:szCs w:val="21"/>
        </w:rPr>
      </w:pPr>
      <w:r>
        <w:rPr>
          <w:rStyle w:val="122"/>
          <w:rFonts w:ascii="宋体" w:hAnsi="宋体"/>
          <w:b/>
          <w:color w:val="auto"/>
          <w:szCs w:val="21"/>
        </w:rPr>
        <w:t>条款号：9.2          修改类型：修改</w:t>
      </w:r>
    </w:p>
    <w:p w14:paraId="62FA115A">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color w:val="auto"/>
          <w:szCs w:val="21"/>
        </w:rPr>
        <w:t>9.2招标文件的澄清或修改将在</w:t>
      </w:r>
      <w:r>
        <w:rPr>
          <w:rStyle w:val="122"/>
          <w:rFonts w:ascii="宋体" w:hAnsi="宋体"/>
          <w:color w:val="auto"/>
          <w:szCs w:val="21"/>
          <w:u w:val="single"/>
        </w:rPr>
        <w:t xml:space="preserve">        </w:t>
      </w:r>
      <w:r>
        <w:rPr>
          <w:rStyle w:val="122"/>
          <w:rFonts w:ascii="宋体" w:hAnsi="宋体"/>
          <w:color w:val="auto"/>
          <w:szCs w:val="21"/>
        </w:rPr>
        <w:t>交易平台“项目答疑纪要”专区公开发布。答疑纪要一经在</w:t>
      </w:r>
      <w:r>
        <w:rPr>
          <w:rStyle w:val="122"/>
          <w:rFonts w:ascii="宋体" w:hAnsi="宋体"/>
          <w:color w:val="auto"/>
          <w:szCs w:val="21"/>
          <w:u w:val="single"/>
        </w:rPr>
        <w:t xml:space="preserve">        </w:t>
      </w:r>
      <w:r>
        <w:rPr>
          <w:rStyle w:val="122"/>
          <w:rFonts w:ascii="宋体" w:hAnsi="宋体"/>
          <w:color w:val="auto"/>
          <w:szCs w:val="21"/>
        </w:rPr>
        <w:t>交易平台发布，视作已发放给所有投标人，以</w:t>
      </w:r>
      <w:r>
        <w:rPr>
          <w:rStyle w:val="122"/>
          <w:rFonts w:ascii="宋体" w:hAnsi="宋体"/>
          <w:color w:val="auto"/>
          <w:szCs w:val="21"/>
          <w:u w:val="single"/>
        </w:rPr>
        <w:t xml:space="preserve">        </w:t>
      </w:r>
      <w:r>
        <w:rPr>
          <w:rStyle w:val="122"/>
          <w:rFonts w:ascii="宋体" w:hAnsi="宋体"/>
          <w:color w:val="auto"/>
          <w:szCs w:val="21"/>
        </w:rPr>
        <w:t>交易平台上网发布时间作为送达时间。</w:t>
      </w:r>
    </w:p>
    <w:p w14:paraId="12077F30">
      <w:pPr>
        <w:pBdr>
          <w:bottom w:val="single" w:color="000000" w:sz="6" w:space="1"/>
        </w:pBdr>
        <w:spacing w:line="360" w:lineRule="auto"/>
        <w:ind w:firstLine="422" w:firstLineChars="200"/>
        <w:rPr>
          <w:rStyle w:val="122"/>
          <w:rFonts w:ascii="宋体" w:hAnsi="宋体"/>
          <w:color w:val="auto"/>
          <w:szCs w:val="21"/>
        </w:rPr>
      </w:pPr>
      <w:r>
        <w:rPr>
          <w:rStyle w:val="122"/>
          <w:rFonts w:ascii="宋体" w:hAnsi="宋体"/>
          <w:b/>
          <w:color w:val="auto"/>
          <w:szCs w:val="21"/>
        </w:rPr>
        <w:t>现文：</w:t>
      </w:r>
      <w:r>
        <w:rPr>
          <w:rStyle w:val="122"/>
          <w:rFonts w:ascii="宋体" w:hAnsi="宋体"/>
          <w:color w:val="auto"/>
          <w:szCs w:val="21"/>
        </w:rPr>
        <w:t>9.2招标文件的澄清或修改将在</w:t>
      </w:r>
      <w:r>
        <w:rPr>
          <w:rStyle w:val="122"/>
          <w:rFonts w:hint="eastAsia" w:ascii="宋体" w:hAnsi="宋体"/>
          <w:color w:val="auto"/>
          <w:szCs w:val="21"/>
          <w:u w:val="single"/>
        </w:rPr>
        <w:t>广州公共资源交易中心</w:t>
      </w:r>
      <w:r>
        <w:rPr>
          <w:rStyle w:val="122"/>
          <w:rFonts w:ascii="宋体" w:hAnsi="宋体"/>
          <w:color w:val="auto"/>
          <w:szCs w:val="21"/>
        </w:rPr>
        <w:t>交易平台“项目答疑纪要”专区公开发布。答疑纪要一经在</w:t>
      </w:r>
      <w:r>
        <w:rPr>
          <w:rStyle w:val="122"/>
          <w:rFonts w:hint="eastAsia" w:ascii="宋体" w:hAnsi="宋体"/>
          <w:color w:val="auto"/>
          <w:szCs w:val="21"/>
          <w:u w:val="single"/>
        </w:rPr>
        <w:t>广州公共资源交易中心</w:t>
      </w:r>
      <w:r>
        <w:rPr>
          <w:rStyle w:val="122"/>
          <w:rFonts w:ascii="宋体" w:hAnsi="宋体"/>
          <w:color w:val="auto"/>
          <w:szCs w:val="21"/>
        </w:rPr>
        <w:t>交易平台发布，视作已发放给所有投标人，以</w:t>
      </w:r>
      <w:r>
        <w:rPr>
          <w:rStyle w:val="122"/>
          <w:rFonts w:hint="eastAsia" w:ascii="宋体" w:hAnsi="宋体"/>
          <w:color w:val="auto"/>
          <w:szCs w:val="21"/>
          <w:u w:val="single"/>
        </w:rPr>
        <w:t>广州公共资源交易中心</w:t>
      </w:r>
      <w:r>
        <w:rPr>
          <w:rStyle w:val="122"/>
          <w:rFonts w:ascii="宋体" w:hAnsi="宋体"/>
          <w:color w:val="auto"/>
          <w:szCs w:val="21"/>
        </w:rPr>
        <w:t>交易平台上网发布时间作为送达时间。</w:t>
      </w:r>
    </w:p>
    <w:p w14:paraId="10DA3394">
      <w:pPr>
        <w:spacing w:line="360" w:lineRule="auto"/>
        <w:ind w:firstLine="422" w:firstLineChars="200"/>
        <w:rPr>
          <w:rStyle w:val="122"/>
          <w:rFonts w:ascii="宋体" w:hAnsi="宋体"/>
          <w:b/>
          <w:color w:val="auto"/>
          <w:szCs w:val="21"/>
        </w:rPr>
      </w:pPr>
      <w:r>
        <w:rPr>
          <w:rStyle w:val="122"/>
          <w:rFonts w:ascii="宋体" w:hAnsi="宋体"/>
          <w:b/>
          <w:color w:val="auto"/>
          <w:szCs w:val="21"/>
        </w:rPr>
        <w:t>条款号：9.4          修改类型：修改</w:t>
      </w:r>
    </w:p>
    <w:p w14:paraId="364DD4BA">
      <w:pPr>
        <w:spacing w:line="360" w:lineRule="auto"/>
        <w:ind w:firstLine="422" w:firstLineChars="200"/>
        <w:rPr>
          <w:rStyle w:val="122"/>
          <w:rFonts w:ascii="宋体" w:hAnsi="宋体"/>
          <w:color w:val="auto"/>
          <w:szCs w:val="21"/>
        </w:rPr>
      </w:pPr>
      <w:r>
        <w:rPr>
          <w:rStyle w:val="122"/>
          <w:rFonts w:ascii="宋体" w:hAnsi="宋体"/>
          <w:b/>
          <w:color w:val="auto"/>
          <w:szCs w:val="21"/>
        </w:rPr>
        <w:t>原文：</w:t>
      </w:r>
      <w:r>
        <w:rPr>
          <w:rStyle w:val="122"/>
          <w:rFonts w:ascii="宋体" w:hAnsi="宋体"/>
          <w:color w:val="auto"/>
          <w:szCs w:val="21"/>
        </w:rPr>
        <w:t>9.4招标文件的澄清或修改均以书面形式明确的内容为准。当招标文件的澄清、修改、补充等在同一内容的表述不一致时，以最后发出的书面形式的文件为准。</w:t>
      </w:r>
    </w:p>
    <w:p w14:paraId="032A8E35">
      <w:pPr>
        <w:pBdr>
          <w:bottom w:val="single" w:color="000000" w:sz="6" w:space="1"/>
        </w:pBdr>
        <w:spacing w:line="360" w:lineRule="auto"/>
        <w:ind w:firstLine="422" w:firstLineChars="200"/>
        <w:rPr>
          <w:rStyle w:val="122"/>
          <w:rFonts w:ascii="宋体" w:hAnsi="宋体"/>
          <w:color w:val="auto"/>
          <w:szCs w:val="21"/>
        </w:rPr>
      </w:pPr>
      <w:r>
        <w:rPr>
          <w:rStyle w:val="122"/>
          <w:rFonts w:ascii="宋体" w:hAnsi="宋体"/>
          <w:b/>
          <w:bCs/>
          <w:color w:val="auto"/>
          <w:szCs w:val="21"/>
        </w:rPr>
        <w:t>现文：</w:t>
      </w:r>
      <w:r>
        <w:rPr>
          <w:rStyle w:val="122"/>
          <w:rFonts w:ascii="宋体" w:hAnsi="宋体"/>
          <w:color w:val="auto"/>
          <w:szCs w:val="21"/>
        </w:rPr>
        <w:t>9.4</w:t>
      </w:r>
      <w:r>
        <w:rPr>
          <w:rStyle w:val="122"/>
          <w:rFonts w:hint="eastAsia" w:ascii="宋体" w:hAnsi="宋体"/>
          <w:color w:val="auto"/>
          <w:szCs w:val="21"/>
        </w:rPr>
        <w:t>招标文件的澄清或修改</w:t>
      </w:r>
      <w:r>
        <w:rPr>
          <w:rStyle w:val="122"/>
          <w:rFonts w:hint="eastAsia" w:ascii="宋体" w:hAnsi="宋体"/>
          <w:color w:val="auto"/>
          <w:szCs w:val="21"/>
          <w:u w:val="single"/>
        </w:rPr>
        <w:t>均以广州公共资源交易中心</w:t>
      </w:r>
      <w:r>
        <w:rPr>
          <w:rStyle w:val="122"/>
          <w:rFonts w:ascii="宋体" w:hAnsi="宋体"/>
          <w:color w:val="auto"/>
          <w:szCs w:val="21"/>
          <w:u w:val="single"/>
        </w:rPr>
        <w:t>交易平台“项目答疑纪要”专区公开发布</w:t>
      </w:r>
      <w:r>
        <w:rPr>
          <w:rStyle w:val="122"/>
          <w:rFonts w:hint="eastAsia" w:ascii="宋体" w:hAnsi="宋体"/>
          <w:color w:val="auto"/>
          <w:szCs w:val="21"/>
          <w:u w:val="single"/>
        </w:rPr>
        <w:t>的内容为准</w:t>
      </w:r>
      <w:r>
        <w:rPr>
          <w:rStyle w:val="122"/>
          <w:rFonts w:ascii="宋体" w:hAnsi="宋体"/>
          <w:color w:val="auto"/>
          <w:szCs w:val="21"/>
          <w:u w:val="single"/>
        </w:rPr>
        <w:t>。</w:t>
      </w:r>
      <w:r>
        <w:rPr>
          <w:rStyle w:val="122"/>
          <w:rFonts w:ascii="宋体" w:hAnsi="宋体"/>
          <w:color w:val="auto"/>
          <w:szCs w:val="21"/>
        </w:rPr>
        <w:t>当招标文件的澄清、修改、补充等在同一内容的表述不一致时，以最后发出的文件为准。</w:t>
      </w:r>
    </w:p>
    <w:p w14:paraId="067D73FC">
      <w:pPr>
        <w:spacing w:line="360" w:lineRule="auto"/>
        <w:ind w:firstLine="422" w:firstLineChars="200"/>
        <w:rPr>
          <w:rStyle w:val="122"/>
          <w:rFonts w:ascii="宋体" w:hAnsi="宋体"/>
          <w:b/>
          <w:color w:val="auto"/>
          <w:szCs w:val="21"/>
        </w:rPr>
      </w:pPr>
      <w:r>
        <w:rPr>
          <w:rStyle w:val="122"/>
          <w:rFonts w:ascii="宋体" w:hAnsi="宋体"/>
          <w:b/>
          <w:color w:val="auto"/>
          <w:szCs w:val="21"/>
        </w:rPr>
        <w:t>条款号：11.2          修改类型：修改</w:t>
      </w:r>
    </w:p>
    <w:p w14:paraId="2B6F3F72">
      <w:pPr>
        <w:spacing w:line="360" w:lineRule="auto"/>
        <w:ind w:firstLine="422" w:firstLineChars="200"/>
        <w:rPr>
          <w:rStyle w:val="122"/>
          <w:rFonts w:ascii="宋体" w:hAnsi="宋体"/>
          <w:bCs/>
          <w:color w:val="auto"/>
          <w:szCs w:val="21"/>
        </w:rPr>
      </w:pPr>
      <w:r>
        <w:rPr>
          <w:rStyle w:val="122"/>
          <w:rFonts w:ascii="宋体" w:hAnsi="宋体"/>
          <w:b/>
          <w:color w:val="auto"/>
          <w:szCs w:val="21"/>
        </w:rPr>
        <w:t>原文：</w:t>
      </w:r>
      <w:r>
        <w:rPr>
          <w:rStyle w:val="122"/>
          <w:rFonts w:ascii="宋体" w:hAnsi="宋体"/>
          <w:bCs/>
          <w:color w:val="auto"/>
          <w:szCs w:val="21"/>
        </w:rPr>
        <w:t>11.2投标文件技术标部分主要包括下列内容</w:t>
      </w:r>
      <w:r>
        <w:rPr>
          <w:rStyle w:val="122"/>
          <w:rFonts w:hint="eastAsia" w:ascii="宋体" w:hAnsi="宋体"/>
          <w:bCs/>
          <w:color w:val="auto"/>
          <w:szCs w:val="21"/>
        </w:rPr>
        <w:t>：</w:t>
      </w:r>
    </w:p>
    <w:p w14:paraId="26ED0CB1">
      <w:pPr>
        <w:spacing w:line="360" w:lineRule="auto"/>
        <w:ind w:firstLine="420" w:firstLineChars="200"/>
        <w:rPr>
          <w:rStyle w:val="122"/>
          <w:rFonts w:ascii="宋体" w:hAnsi="宋体"/>
          <w:bCs/>
          <w:color w:val="auto"/>
          <w:szCs w:val="21"/>
        </w:rPr>
      </w:pPr>
      <w:r>
        <w:rPr>
          <w:rStyle w:val="122"/>
          <w:rFonts w:ascii="宋体" w:hAnsi="宋体"/>
          <w:bCs/>
          <w:color w:val="auto"/>
          <w:szCs w:val="21"/>
        </w:rPr>
        <w:t>11.2.1 技术投标文件</w:t>
      </w:r>
      <w:r>
        <w:rPr>
          <w:rStyle w:val="122"/>
          <w:rFonts w:ascii="宋体" w:hAnsi="宋体"/>
          <w:color w:val="auto"/>
          <w:szCs w:val="21"/>
        </w:rPr>
        <w:t>(按招标文件的要求填写)</w:t>
      </w:r>
      <w:r>
        <w:rPr>
          <w:rStyle w:val="122"/>
          <w:rFonts w:ascii="宋体" w:hAnsi="宋体"/>
          <w:bCs/>
          <w:color w:val="auto"/>
          <w:szCs w:val="21"/>
        </w:rPr>
        <w:t>；</w:t>
      </w:r>
    </w:p>
    <w:p w14:paraId="552BB0AB">
      <w:pPr>
        <w:spacing w:line="360" w:lineRule="auto"/>
        <w:ind w:firstLine="420" w:firstLineChars="200"/>
        <w:rPr>
          <w:rStyle w:val="122"/>
          <w:rFonts w:ascii="宋体" w:hAnsi="宋体"/>
          <w:bCs/>
          <w:color w:val="auto"/>
          <w:szCs w:val="21"/>
        </w:rPr>
      </w:pPr>
      <w:r>
        <w:rPr>
          <w:rStyle w:val="122"/>
          <w:rFonts w:ascii="宋体" w:hAnsi="宋体"/>
          <w:bCs/>
          <w:color w:val="auto"/>
          <w:szCs w:val="21"/>
        </w:rPr>
        <w:t>11.2.2 资格审查文件：</w:t>
      </w:r>
    </w:p>
    <w:p w14:paraId="61796C31">
      <w:pPr>
        <w:spacing w:line="360" w:lineRule="auto"/>
        <w:ind w:firstLine="420" w:firstLineChars="200"/>
        <w:rPr>
          <w:rFonts w:ascii="宋体" w:hAnsi="宋体"/>
          <w:bCs/>
          <w:color w:val="auto"/>
          <w:szCs w:val="21"/>
        </w:rPr>
      </w:pPr>
      <w:r>
        <w:rPr>
          <w:rFonts w:hint="eastAsia" w:ascii="宋体" w:hAnsi="宋体"/>
          <w:bCs/>
          <w:color w:val="auto"/>
          <w:szCs w:val="21"/>
        </w:rPr>
        <w:t>（1）投标人声明；</w:t>
      </w:r>
    </w:p>
    <w:p w14:paraId="3F26506B">
      <w:pPr>
        <w:spacing w:line="360" w:lineRule="auto"/>
        <w:ind w:firstLine="420" w:firstLineChars="200"/>
        <w:rPr>
          <w:rFonts w:ascii="宋体" w:hAnsi="宋体"/>
          <w:bCs/>
          <w:color w:val="auto"/>
          <w:szCs w:val="21"/>
        </w:rPr>
      </w:pPr>
      <w:r>
        <w:rPr>
          <w:rFonts w:hint="eastAsia" w:ascii="宋体" w:hAnsi="宋体"/>
          <w:bCs/>
          <w:color w:val="auto"/>
          <w:szCs w:val="21"/>
        </w:rPr>
        <w:t>（2）法定代表人证明书、法定代表人签字或盖章的本投标文件授权委托证明书；</w:t>
      </w:r>
    </w:p>
    <w:p w14:paraId="53939955">
      <w:pPr>
        <w:spacing w:line="360" w:lineRule="auto"/>
        <w:ind w:firstLine="420" w:firstLineChars="200"/>
        <w:rPr>
          <w:rFonts w:ascii="宋体" w:hAnsi="宋体"/>
          <w:bCs/>
          <w:color w:val="auto"/>
          <w:szCs w:val="21"/>
        </w:rPr>
      </w:pPr>
      <w:r>
        <w:rPr>
          <w:rFonts w:hint="eastAsia" w:ascii="宋体" w:hAnsi="宋体"/>
          <w:bCs/>
          <w:color w:val="auto"/>
          <w:szCs w:val="21"/>
        </w:rPr>
        <w:t>（3）企业营业执照扫描件或电子证照；</w:t>
      </w:r>
    </w:p>
    <w:p w14:paraId="17B3015D">
      <w:pPr>
        <w:spacing w:line="360" w:lineRule="auto"/>
        <w:ind w:firstLine="420" w:firstLineChars="200"/>
        <w:rPr>
          <w:rFonts w:ascii="宋体" w:hAnsi="宋体"/>
          <w:bCs/>
          <w:color w:val="auto"/>
          <w:szCs w:val="21"/>
        </w:rPr>
      </w:pPr>
      <w:r>
        <w:rPr>
          <w:rFonts w:hint="eastAsia" w:ascii="宋体" w:hAnsi="宋体"/>
          <w:bCs/>
          <w:color w:val="auto"/>
          <w:szCs w:val="21"/>
        </w:rPr>
        <w:t>（4）企业资质证书扫描件或电子证照；</w:t>
      </w:r>
    </w:p>
    <w:p w14:paraId="768264E2">
      <w:pPr>
        <w:spacing w:line="360" w:lineRule="auto"/>
        <w:ind w:firstLine="420" w:firstLineChars="200"/>
        <w:rPr>
          <w:rFonts w:ascii="宋体" w:hAnsi="宋体"/>
          <w:bCs/>
          <w:color w:val="auto"/>
          <w:szCs w:val="21"/>
        </w:rPr>
      </w:pPr>
      <w:r>
        <w:rPr>
          <w:rFonts w:hint="eastAsia" w:ascii="宋体" w:hAnsi="宋体"/>
          <w:bCs/>
          <w:color w:val="auto"/>
          <w:szCs w:val="21"/>
        </w:rPr>
        <w:t>（5）建筑施工企业安全生产许可证扫描件或电子证照；</w:t>
      </w:r>
    </w:p>
    <w:p w14:paraId="31344C76">
      <w:pPr>
        <w:spacing w:line="360" w:lineRule="auto"/>
        <w:ind w:firstLine="420" w:firstLineChars="200"/>
        <w:rPr>
          <w:rFonts w:ascii="宋体" w:hAnsi="宋体"/>
          <w:bCs/>
          <w:color w:val="auto"/>
          <w:szCs w:val="21"/>
        </w:rPr>
      </w:pPr>
      <w:r>
        <w:rPr>
          <w:rFonts w:hint="eastAsia" w:ascii="宋体" w:hAnsi="宋体"/>
          <w:bCs/>
          <w:color w:val="auto"/>
          <w:szCs w:val="21"/>
        </w:rPr>
        <w:t>（6）项目负责人（按网上投标登记时选择拟投入本项目的项目负责人）；</w:t>
      </w:r>
    </w:p>
    <w:p w14:paraId="7E7B9D6E">
      <w:pPr>
        <w:spacing w:line="360" w:lineRule="auto"/>
        <w:ind w:firstLine="420" w:firstLineChars="200"/>
        <w:rPr>
          <w:rFonts w:ascii="宋体" w:hAnsi="宋体"/>
          <w:bCs/>
          <w:color w:val="auto"/>
          <w:szCs w:val="21"/>
        </w:rPr>
      </w:pPr>
      <w:r>
        <w:rPr>
          <w:rFonts w:hint="eastAsia" w:ascii="宋体" w:hAnsi="宋体"/>
          <w:bCs/>
          <w:color w:val="auto"/>
          <w:szCs w:val="21"/>
        </w:rPr>
        <w:t>（7）专职安全员（按网上投标登记时选择拟投入本项目的专职安全员）；</w:t>
      </w:r>
    </w:p>
    <w:p w14:paraId="207195EE">
      <w:pPr>
        <w:spacing w:line="360" w:lineRule="auto"/>
        <w:ind w:firstLine="420" w:firstLineChars="200"/>
        <w:rPr>
          <w:rFonts w:ascii="宋体" w:hAnsi="宋体"/>
          <w:bCs/>
          <w:color w:val="auto"/>
          <w:szCs w:val="21"/>
        </w:rPr>
      </w:pPr>
      <w:r>
        <w:rPr>
          <w:rFonts w:hint="eastAsia" w:ascii="宋体" w:hAnsi="宋体"/>
          <w:bCs/>
          <w:color w:val="auto"/>
          <w:szCs w:val="21"/>
        </w:rPr>
        <w:t>（8）拟委托技术负责人的相关证书、资料（具体要求由招标人明确）；</w:t>
      </w:r>
    </w:p>
    <w:p w14:paraId="5335CEFF">
      <w:pPr>
        <w:spacing w:line="360" w:lineRule="auto"/>
        <w:ind w:firstLine="420" w:firstLineChars="200"/>
        <w:rPr>
          <w:rFonts w:ascii="宋体" w:hAnsi="宋体"/>
          <w:bCs/>
          <w:color w:val="auto"/>
          <w:szCs w:val="21"/>
        </w:rPr>
      </w:pPr>
      <w:r>
        <w:rPr>
          <w:rFonts w:hint="eastAsia" w:ascii="宋体" w:hAnsi="宋体"/>
          <w:bCs/>
          <w:color w:val="auto"/>
          <w:szCs w:val="21"/>
        </w:rPr>
        <w:t xml:space="preserve">（9）拟委派项目负责人的有效期内的建造师注册证书扫描件或电子证书； </w:t>
      </w:r>
    </w:p>
    <w:p w14:paraId="02FAB052">
      <w:pPr>
        <w:spacing w:line="360" w:lineRule="auto"/>
        <w:ind w:firstLine="420" w:firstLineChars="200"/>
        <w:rPr>
          <w:rFonts w:ascii="宋体" w:hAnsi="宋体"/>
          <w:bCs/>
          <w:color w:val="auto"/>
          <w:szCs w:val="21"/>
        </w:rPr>
      </w:pPr>
      <w:r>
        <w:rPr>
          <w:rFonts w:hint="eastAsia" w:ascii="宋体" w:hAnsi="宋体"/>
          <w:bCs/>
          <w:color w:val="auto"/>
          <w:szCs w:val="21"/>
        </w:rPr>
        <w:t>（10）项目负责人在有效期内的安全生产考核合格证书（B类）或建筑施工企业项目负责人安全生产考核合格证书扫描件或电子证书；</w:t>
      </w:r>
    </w:p>
    <w:p w14:paraId="50D5BAFB">
      <w:pPr>
        <w:spacing w:line="360" w:lineRule="auto"/>
        <w:ind w:firstLine="420" w:firstLineChars="200"/>
        <w:rPr>
          <w:rFonts w:ascii="宋体" w:hAnsi="宋体"/>
          <w:bCs/>
          <w:color w:val="auto"/>
          <w:szCs w:val="21"/>
        </w:rPr>
      </w:pPr>
      <w:r>
        <w:rPr>
          <w:rFonts w:hint="eastAsia" w:ascii="宋体" w:hAnsi="宋体"/>
          <w:bCs/>
          <w:color w:val="auto"/>
          <w:szCs w:val="21"/>
        </w:rPr>
        <w:t>（11）专职安全员须具有在有效期内的安全生产考核合格证书（C类）或建筑施工企业专职安全生产管理人员安全生产考核合格证书扫描件或电子证书；</w:t>
      </w:r>
    </w:p>
    <w:p w14:paraId="08A93548">
      <w:pPr>
        <w:spacing w:line="360" w:lineRule="auto"/>
        <w:ind w:firstLine="420" w:firstLineChars="200"/>
        <w:rPr>
          <w:rFonts w:ascii="宋体" w:hAnsi="宋体"/>
          <w:bCs/>
          <w:color w:val="auto"/>
          <w:szCs w:val="21"/>
        </w:rPr>
      </w:pPr>
      <w:r>
        <w:rPr>
          <w:rFonts w:hint="eastAsia" w:ascii="宋体" w:hAnsi="宋体"/>
          <w:bCs/>
          <w:color w:val="auto"/>
          <w:szCs w:val="21"/>
        </w:rPr>
        <w:t>（12）用于资格审查的业绩（设置业绩要求时选择此项，投标人</w:t>
      </w:r>
      <w:r>
        <w:rPr>
          <w:rFonts w:hint="eastAsia" w:ascii="宋体" w:hAnsi="宋体"/>
          <w:color w:val="auto"/>
          <w:szCs w:val="21"/>
        </w:rPr>
        <w:t>须提供类似工程业绩的项目名称及项目编号，具体格式由招标人自定</w:t>
      </w:r>
      <w:r>
        <w:rPr>
          <w:rFonts w:hint="eastAsia" w:ascii="宋体" w:hAnsi="宋体"/>
          <w:bCs/>
          <w:color w:val="auto"/>
          <w:szCs w:val="21"/>
        </w:rPr>
        <w:t>）；</w:t>
      </w:r>
    </w:p>
    <w:p w14:paraId="4533AF6D">
      <w:pPr>
        <w:spacing w:line="360" w:lineRule="auto"/>
        <w:ind w:firstLine="420" w:firstLineChars="200"/>
        <w:rPr>
          <w:rFonts w:ascii="宋体" w:hAnsi="宋体"/>
          <w:bCs/>
          <w:color w:val="auto"/>
          <w:szCs w:val="21"/>
        </w:rPr>
      </w:pPr>
      <w:r>
        <w:rPr>
          <w:rFonts w:hint="eastAsia" w:ascii="宋体" w:hAnsi="宋体"/>
          <w:bCs/>
          <w:color w:val="auto"/>
          <w:szCs w:val="21"/>
        </w:rPr>
        <w:t>（13）资格审查前，投标人须在广州市住房和城乡建设局建立企业信用档案，拟担任本工程项目负责人、专职安全员须是本企业信用档案中的在册人员；</w:t>
      </w:r>
    </w:p>
    <w:p w14:paraId="351D3280">
      <w:pPr>
        <w:spacing w:line="360" w:lineRule="auto"/>
        <w:ind w:firstLine="420" w:firstLineChars="200"/>
        <w:rPr>
          <w:rFonts w:ascii="宋体" w:hAnsi="宋体"/>
          <w:bCs/>
          <w:color w:val="auto"/>
          <w:szCs w:val="21"/>
        </w:rPr>
      </w:pPr>
      <w:r>
        <w:rPr>
          <w:rFonts w:hint="eastAsia" w:ascii="宋体" w:hAnsi="宋体"/>
          <w:bCs/>
          <w:color w:val="auto"/>
          <w:szCs w:val="21"/>
        </w:rPr>
        <w:t>（14）列明主办单位的联合体工作协议（采用联合体投标时需递交，投标人拟任本工程项目负责人应为联合体主办方信用档案中的在册人员，</w:t>
      </w:r>
      <w:r>
        <w:rPr>
          <w:rFonts w:hint="eastAsia" w:ascii="宋体" w:hAnsi="宋体"/>
          <w:color w:val="auto"/>
          <w:szCs w:val="21"/>
        </w:rPr>
        <w:t>联合体工作协议应明确约定各方拟承担的工作和责任</w:t>
      </w:r>
      <w:r>
        <w:rPr>
          <w:rFonts w:hint="eastAsia" w:ascii="宋体" w:hAnsi="宋体"/>
          <w:bCs/>
          <w:color w:val="auto"/>
          <w:szCs w:val="21"/>
        </w:rPr>
        <w:t xml:space="preserve">）； </w:t>
      </w:r>
    </w:p>
    <w:p w14:paraId="77F840F9">
      <w:pPr>
        <w:spacing w:line="360" w:lineRule="auto"/>
        <w:ind w:firstLine="420" w:firstLineChars="200"/>
        <w:rPr>
          <w:rFonts w:ascii="宋体" w:hAnsi="宋体"/>
          <w:bCs/>
          <w:color w:val="auto"/>
          <w:szCs w:val="21"/>
        </w:rPr>
      </w:pPr>
      <w:r>
        <w:rPr>
          <w:rFonts w:hint="eastAsia" w:ascii="宋体" w:hAnsi="宋体"/>
          <w:bCs/>
          <w:color w:val="auto"/>
          <w:szCs w:val="21"/>
        </w:rPr>
        <w:t>注：1.相关电子证书按规定需打印后手写本人签名的，应按照规定手写本人签名后再扫描提交。</w:t>
      </w:r>
    </w:p>
    <w:p w14:paraId="1F51C63E">
      <w:pPr>
        <w:spacing w:line="360" w:lineRule="auto"/>
        <w:ind w:firstLine="420" w:firstLineChars="200"/>
        <w:rPr>
          <w:rStyle w:val="122"/>
          <w:rFonts w:ascii="宋体" w:hAnsi="宋体"/>
          <w:bCs/>
          <w:color w:val="auto"/>
          <w:szCs w:val="21"/>
        </w:rPr>
      </w:pPr>
      <w:r>
        <w:rPr>
          <w:rFonts w:hint="eastAsia" w:ascii="宋体" w:hAnsi="宋体"/>
          <w:bCs/>
          <w:color w:val="auto"/>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9621D58">
      <w:pPr>
        <w:spacing w:line="360" w:lineRule="auto"/>
        <w:ind w:firstLine="420" w:firstLineChars="200"/>
        <w:rPr>
          <w:rStyle w:val="122"/>
          <w:rFonts w:ascii="宋体" w:hAnsi="宋体"/>
          <w:bCs/>
          <w:color w:val="auto"/>
          <w:szCs w:val="21"/>
        </w:rPr>
      </w:pPr>
      <w:r>
        <w:rPr>
          <w:rStyle w:val="122"/>
          <w:rFonts w:ascii="宋体" w:hAnsi="宋体"/>
          <w:color w:val="auto"/>
          <w:szCs w:val="21"/>
        </w:rPr>
        <w:t>11.2.3项目管理机构配备。</w:t>
      </w:r>
    </w:p>
    <w:p w14:paraId="056994B5">
      <w:pPr>
        <w:spacing w:line="360" w:lineRule="auto"/>
        <w:ind w:firstLine="420" w:firstLineChars="200"/>
        <w:rPr>
          <w:rFonts w:ascii="宋体" w:hAnsi="宋体"/>
          <w:bCs/>
          <w:color w:val="auto"/>
          <w:szCs w:val="21"/>
        </w:rPr>
      </w:pPr>
      <w:r>
        <w:rPr>
          <w:rFonts w:hint="eastAsia" w:ascii="宋体" w:hAnsi="宋体"/>
          <w:color w:val="auto"/>
          <w:szCs w:val="21"/>
        </w:rPr>
        <w:t>（1）投标人应列出该项目工程的施工组织机构构成和画出机构框架图及其负责人；</w:t>
      </w:r>
    </w:p>
    <w:p w14:paraId="71357FA2">
      <w:pPr>
        <w:spacing w:line="360" w:lineRule="auto"/>
        <w:ind w:firstLine="420" w:firstLineChars="200"/>
        <w:rPr>
          <w:rFonts w:ascii="宋体" w:hAnsi="宋体"/>
          <w:bCs/>
          <w:color w:val="auto"/>
          <w:szCs w:val="21"/>
        </w:rPr>
      </w:pPr>
      <w:r>
        <w:rPr>
          <w:rFonts w:hint="eastAsia" w:ascii="宋体" w:hAnsi="宋体"/>
          <w:color w:val="auto"/>
          <w:szCs w:val="21"/>
        </w:rPr>
        <w:t>（2）投标人应详细列出该施工组织机构中主要成员的名单、简历资料、职务职称和在本项目中拟担任的职务等资料，并附上有关证明材料扫描件；</w:t>
      </w:r>
    </w:p>
    <w:p w14:paraId="2259284E">
      <w:pPr>
        <w:spacing w:line="360" w:lineRule="auto"/>
        <w:ind w:firstLine="420" w:firstLineChars="200"/>
        <w:rPr>
          <w:rStyle w:val="122"/>
          <w:rFonts w:ascii="宋体" w:hAnsi="宋体"/>
          <w:bCs/>
          <w:color w:val="auto"/>
          <w:szCs w:val="21"/>
        </w:rPr>
      </w:pPr>
      <w:r>
        <w:rPr>
          <w:rFonts w:hint="eastAsia" w:ascii="宋体" w:hAnsi="宋体"/>
          <w:color w:val="auto"/>
          <w:szCs w:val="21"/>
        </w:rPr>
        <w:t>（3）其他辅助说明资料。</w:t>
      </w:r>
    </w:p>
    <w:p w14:paraId="680ECC9F">
      <w:pPr>
        <w:spacing w:line="360" w:lineRule="auto"/>
        <w:ind w:firstLine="420" w:firstLineChars="200"/>
        <w:rPr>
          <w:rStyle w:val="122"/>
          <w:rFonts w:ascii="宋体" w:hAnsi="宋体"/>
          <w:bCs/>
          <w:color w:val="auto"/>
          <w:szCs w:val="21"/>
        </w:rPr>
      </w:pPr>
      <w:r>
        <w:rPr>
          <w:rStyle w:val="122"/>
          <w:rFonts w:ascii="宋体" w:hAnsi="宋体"/>
          <w:color w:val="auto"/>
          <w:szCs w:val="21"/>
        </w:rPr>
        <w:t>11.2.4投标人在广州市可使用适合本工程的机械设备（附：机械设备为自有或租赁的说明；及承诺机械设备如属于租赁的，其租赁是不属于重复租赁）。</w:t>
      </w:r>
    </w:p>
    <w:p w14:paraId="79B4529F">
      <w:pPr>
        <w:spacing w:line="360" w:lineRule="auto"/>
        <w:ind w:firstLine="420" w:firstLineChars="200"/>
        <w:rPr>
          <w:rStyle w:val="122"/>
          <w:rFonts w:ascii="宋体" w:hAnsi="宋体"/>
          <w:bCs/>
          <w:color w:val="auto"/>
          <w:szCs w:val="21"/>
        </w:rPr>
      </w:pPr>
      <w:r>
        <w:rPr>
          <w:rStyle w:val="122"/>
          <w:rFonts w:ascii="宋体" w:hAnsi="宋体"/>
          <w:color w:val="auto"/>
          <w:szCs w:val="21"/>
        </w:rPr>
        <w:t>11.2.5施工组织设计或施工方案。</w:t>
      </w:r>
      <w:r>
        <w:rPr>
          <w:rStyle w:val="122"/>
          <w:rFonts w:hint="eastAsia" w:ascii="宋体" w:hAnsi="宋体"/>
          <w:color w:val="auto"/>
          <w:szCs w:val="21"/>
        </w:rPr>
        <w:t>（投标人在编制施工组织设计或施工方案时应按照招标人提出的施工现场建筑垃圾源头减量的具体要求以及建筑垃圾综合利用产品的使用要求提供相应措施。）</w:t>
      </w:r>
    </w:p>
    <w:p w14:paraId="4BFBCAF9">
      <w:pPr>
        <w:spacing w:line="360" w:lineRule="auto"/>
        <w:ind w:firstLine="420" w:firstLineChars="200"/>
        <w:rPr>
          <w:rStyle w:val="122"/>
          <w:rFonts w:ascii="宋体" w:hAnsi="宋体"/>
          <w:bCs/>
          <w:color w:val="auto"/>
          <w:szCs w:val="21"/>
        </w:rPr>
      </w:pPr>
      <w:r>
        <w:rPr>
          <w:rStyle w:val="122"/>
          <w:rFonts w:ascii="宋体" w:hAnsi="宋体"/>
          <w:color w:val="auto"/>
          <w:szCs w:val="21"/>
        </w:rPr>
        <w:t>11.2.6按照</w:t>
      </w:r>
      <w:r>
        <w:rPr>
          <w:rStyle w:val="122"/>
          <w:rFonts w:ascii="宋体" w:hAnsi="宋体"/>
          <w:bCs/>
          <w:color w:val="auto"/>
          <w:szCs w:val="21"/>
        </w:rPr>
        <w:t>招标文件要求</w:t>
      </w:r>
      <w:r>
        <w:rPr>
          <w:rStyle w:val="122"/>
          <w:rFonts w:ascii="宋体" w:hAnsi="宋体"/>
          <w:color w:val="auto"/>
          <w:szCs w:val="21"/>
        </w:rPr>
        <w:t>填写的《参与编制技术标投标文件人员名单》。</w:t>
      </w:r>
    </w:p>
    <w:p w14:paraId="56DC0EB1">
      <w:pPr>
        <w:spacing w:line="360" w:lineRule="auto"/>
        <w:ind w:firstLine="422" w:firstLineChars="200"/>
        <w:rPr>
          <w:rStyle w:val="122"/>
          <w:rFonts w:ascii="宋体" w:hAnsi="宋体"/>
          <w:bCs/>
          <w:color w:val="auto"/>
          <w:szCs w:val="21"/>
        </w:rPr>
      </w:pPr>
      <w:r>
        <w:rPr>
          <w:rStyle w:val="122"/>
          <w:rFonts w:ascii="宋体" w:hAnsi="宋体"/>
          <w:b/>
          <w:color w:val="auto"/>
          <w:szCs w:val="21"/>
        </w:rPr>
        <w:t>现文：</w:t>
      </w:r>
      <w:r>
        <w:rPr>
          <w:rStyle w:val="122"/>
          <w:rFonts w:ascii="宋体" w:hAnsi="宋体"/>
          <w:bCs/>
          <w:color w:val="auto"/>
          <w:szCs w:val="21"/>
        </w:rPr>
        <w:t>11.2投标文件技术标部分主要包括下列内容:</w:t>
      </w:r>
    </w:p>
    <w:p w14:paraId="70013687">
      <w:pPr>
        <w:spacing w:line="360" w:lineRule="auto"/>
        <w:ind w:firstLine="420" w:firstLineChars="200"/>
        <w:rPr>
          <w:rStyle w:val="122"/>
          <w:rFonts w:ascii="宋体" w:hAnsi="宋体"/>
          <w:bCs/>
          <w:color w:val="auto"/>
          <w:szCs w:val="21"/>
        </w:rPr>
      </w:pPr>
      <w:r>
        <w:rPr>
          <w:rStyle w:val="122"/>
          <w:rFonts w:ascii="宋体" w:hAnsi="宋体"/>
          <w:bCs/>
          <w:color w:val="auto"/>
          <w:szCs w:val="21"/>
        </w:rPr>
        <w:t>11.2.1 技术投标文件</w:t>
      </w:r>
      <w:r>
        <w:rPr>
          <w:rStyle w:val="122"/>
          <w:rFonts w:ascii="宋体" w:hAnsi="宋体"/>
          <w:color w:val="auto"/>
          <w:szCs w:val="21"/>
        </w:rPr>
        <w:t>(按招标文件的要求填写)</w:t>
      </w:r>
      <w:r>
        <w:rPr>
          <w:rStyle w:val="122"/>
          <w:rFonts w:ascii="宋体" w:hAnsi="宋体"/>
          <w:bCs/>
          <w:color w:val="auto"/>
          <w:szCs w:val="21"/>
        </w:rPr>
        <w:t>；</w:t>
      </w:r>
    </w:p>
    <w:p w14:paraId="744B8E13">
      <w:pPr>
        <w:spacing w:line="360" w:lineRule="auto"/>
        <w:ind w:firstLine="420" w:firstLineChars="200"/>
        <w:rPr>
          <w:rStyle w:val="122"/>
          <w:rFonts w:ascii="宋体" w:hAnsi="宋体"/>
          <w:bCs/>
          <w:color w:val="auto"/>
          <w:szCs w:val="21"/>
          <w:u w:val="single"/>
        </w:rPr>
      </w:pPr>
      <w:r>
        <w:rPr>
          <w:rStyle w:val="122"/>
          <w:rFonts w:ascii="宋体" w:hAnsi="宋体"/>
          <w:bCs/>
          <w:color w:val="auto"/>
          <w:szCs w:val="21"/>
          <w:u w:val="single"/>
        </w:rPr>
        <w:t>（1）广州建设工程施工招标投标书</w:t>
      </w:r>
      <w:r>
        <w:rPr>
          <w:rStyle w:val="122"/>
          <w:rFonts w:hint="eastAsia" w:ascii="宋体" w:hAnsi="宋体"/>
          <w:color w:val="auto"/>
          <w:u w:val="single"/>
        </w:rPr>
        <w:t>（按招标文件第四章技术标投标文件格式）</w:t>
      </w:r>
      <w:r>
        <w:rPr>
          <w:rStyle w:val="122"/>
          <w:rFonts w:ascii="宋体" w:hAnsi="宋体"/>
          <w:bCs/>
          <w:color w:val="auto"/>
          <w:szCs w:val="21"/>
          <w:u w:val="single"/>
        </w:rPr>
        <w:t>；</w:t>
      </w:r>
    </w:p>
    <w:p w14:paraId="0E29908F">
      <w:pPr>
        <w:spacing w:line="360" w:lineRule="auto"/>
        <w:ind w:firstLine="420" w:firstLineChars="200"/>
        <w:rPr>
          <w:rStyle w:val="122"/>
          <w:rFonts w:ascii="宋体" w:hAnsi="宋体"/>
          <w:bCs/>
          <w:color w:val="auto"/>
          <w:szCs w:val="21"/>
        </w:rPr>
      </w:pPr>
      <w:r>
        <w:rPr>
          <w:rStyle w:val="122"/>
          <w:rFonts w:ascii="宋体" w:hAnsi="宋体"/>
          <w:bCs/>
          <w:color w:val="auto"/>
          <w:szCs w:val="21"/>
        </w:rPr>
        <w:t>11.2.2 资格审查文件：</w:t>
      </w:r>
    </w:p>
    <w:p w14:paraId="3B4962AF">
      <w:pPr>
        <w:spacing w:line="360" w:lineRule="auto"/>
        <w:ind w:firstLine="420" w:firstLineChars="200"/>
        <w:rPr>
          <w:rStyle w:val="122"/>
          <w:rFonts w:ascii="宋体" w:hAnsi="宋体"/>
          <w:color w:val="auto"/>
        </w:rPr>
      </w:pPr>
      <w:r>
        <w:rPr>
          <w:rStyle w:val="122"/>
          <w:rFonts w:ascii="宋体" w:hAnsi="宋体"/>
          <w:bCs/>
          <w:color w:val="auto"/>
          <w:szCs w:val="21"/>
        </w:rPr>
        <w:t>（1）投标人声</w:t>
      </w:r>
      <w:r>
        <w:rPr>
          <w:rStyle w:val="122"/>
          <w:rFonts w:ascii="宋体" w:hAnsi="宋体"/>
          <w:color w:val="auto"/>
        </w:rPr>
        <w:t>明</w:t>
      </w:r>
      <w:r>
        <w:rPr>
          <w:rStyle w:val="122"/>
          <w:rFonts w:hint="eastAsia" w:ascii="宋体" w:hAnsi="宋体"/>
          <w:color w:val="auto"/>
          <w:u w:val="single"/>
        </w:rPr>
        <w:t>（按招标公告附件一的格式及内容提交）</w:t>
      </w:r>
      <w:r>
        <w:rPr>
          <w:rStyle w:val="122"/>
          <w:rFonts w:ascii="宋体" w:hAnsi="宋体"/>
          <w:color w:val="auto"/>
          <w:u w:val="single"/>
        </w:rPr>
        <w:t>；</w:t>
      </w:r>
      <w:r>
        <w:rPr>
          <w:rStyle w:val="122"/>
          <w:rFonts w:ascii="宋体" w:hAnsi="宋体"/>
          <w:color w:val="auto"/>
        </w:rPr>
        <w:t xml:space="preserve"> </w:t>
      </w:r>
    </w:p>
    <w:p w14:paraId="555F18E2">
      <w:pPr>
        <w:spacing w:line="360" w:lineRule="auto"/>
        <w:ind w:firstLine="420" w:firstLineChars="200"/>
        <w:rPr>
          <w:rStyle w:val="122"/>
          <w:rFonts w:ascii="宋体" w:hAnsi="宋体"/>
          <w:color w:val="auto"/>
        </w:rPr>
      </w:pPr>
      <w:r>
        <w:rPr>
          <w:rStyle w:val="122"/>
          <w:rFonts w:ascii="宋体" w:hAnsi="宋体"/>
          <w:color w:val="auto"/>
        </w:rPr>
        <w:t>（2）法定代表人证明书、法定代表人签字或盖章的本投标文件授权委托证明书；</w:t>
      </w:r>
    </w:p>
    <w:p w14:paraId="06C08F1B">
      <w:pPr>
        <w:spacing w:line="360" w:lineRule="auto"/>
        <w:ind w:firstLine="420" w:firstLineChars="200"/>
        <w:rPr>
          <w:rFonts w:ascii="宋体" w:hAnsi="宋体"/>
          <w:color w:val="auto"/>
        </w:rPr>
      </w:pPr>
      <w:r>
        <w:rPr>
          <w:rFonts w:hint="eastAsia" w:ascii="宋体" w:hAnsi="宋体"/>
          <w:color w:val="auto"/>
        </w:rPr>
        <w:t>（3）企业营业执照扫描件或电子证照；</w:t>
      </w:r>
    </w:p>
    <w:p w14:paraId="39B40E62">
      <w:pPr>
        <w:spacing w:line="360" w:lineRule="auto"/>
        <w:ind w:firstLine="420" w:firstLineChars="200"/>
        <w:rPr>
          <w:rFonts w:ascii="宋体" w:hAnsi="宋体"/>
          <w:color w:val="auto"/>
        </w:rPr>
      </w:pPr>
      <w:r>
        <w:rPr>
          <w:rFonts w:hint="eastAsia" w:ascii="宋体" w:hAnsi="宋体"/>
          <w:color w:val="auto"/>
        </w:rPr>
        <w:t>（4）企业资质证书扫描件或电子证照；</w:t>
      </w:r>
    </w:p>
    <w:p w14:paraId="25E76ECC">
      <w:pPr>
        <w:spacing w:line="360" w:lineRule="auto"/>
        <w:ind w:firstLine="420" w:firstLineChars="200"/>
        <w:rPr>
          <w:rFonts w:ascii="宋体" w:hAnsi="宋体"/>
          <w:color w:val="auto"/>
        </w:rPr>
      </w:pPr>
      <w:r>
        <w:rPr>
          <w:rFonts w:hint="eastAsia" w:ascii="宋体" w:hAnsi="宋体"/>
          <w:color w:val="auto"/>
        </w:rPr>
        <w:t>（5）建筑施工企业安全生产许可证扫描件或电子证照；</w:t>
      </w:r>
    </w:p>
    <w:p w14:paraId="4AF0963C">
      <w:pPr>
        <w:spacing w:line="360" w:lineRule="auto"/>
        <w:ind w:firstLine="420" w:firstLineChars="200"/>
        <w:rPr>
          <w:rFonts w:ascii="宋体" w:hAnsi="宋体"/>
          <w:color w:val="auto"/>
        </w:rPr>
      </w:pPr>
      <w:r>
        <w:rPr>
          <w:rFonts w:hint="eastAsia" w:ascii="宋体" w:hAnsi="宋体"/>
          <w:color w:val="auto"/>
        </w:rPr>
        <w:t>（6）项目负责人（按网上投标登记时选择拟投标的项目负责人；</w:t>
      </w:r>
    </w:p>
    <w:p w14:paraId="15D6A2B4">
      <w:pPr>
        <w:spacing w:line="360" w:lineRule="auto"/>
        <w:ind w:firstLine="420" w:firstLineChars="200"/>
        <w:rPr>
          <w:rFonts w:ascii="宋体" w:hAnsi="宋体"/>
          <w:color w:val="auto"/>
        </w:rPr>
      </w:pPr>
      <w:r>
        <w:rPr>
          <w:rFonts w:hint="eastAsia" w:ascii="宋体" w:hAnsi="宋体"/>
          <w:color w:val="auto"/>
        </w:rPr>
        <w:t>（7）专职安全员（按网上投标登记时选择拟投标的专职安全员；</w:t>
      </w:r>
    </w:p>
    <w:p w14:paraId="2C4C6F42">
      <w:pPr>
        <w:spacing w:line="360" w:lineRule="auto"/>
        <w:ind w:firstLine="420" w:firstLineChars="200"/>
        <w:rPr>
          <w:rFonts w:ascii="宋体" w:hAnsi="宋体"/>
          <w:color w:val="auto"/>
        </w:rPr>
      </w:pPr>
      <w:r>
        <w:rPr>
          <w:rFonts w:hint="eastAsia" w:ascii="宋体" w:hAnsi="宋体"/>
          <w:color w:val="auto"/>
        </w:rPr>
        <w:t>（8）</w:t>
      </w:r>
      <w:r>
        <w:rPr>
          <w:rFonts w:hint="eastAsia" w:ascii="宋体" w:hAnsi="宋体"/>
          <w:color w:val="auto"/>
          <w:u w:val="single"/>
        </w:rPr>
        <w:t>拟委派技术负责人的职称证书扫描件（具体要求由招标人明确）；</w:t>
      </w:r>
    </w:p>
    <w:p w14:paraId="2E4D92BF">
      <w:pPr>
        <w:spacing w:line="360" w:lineRule="auto"/>
        <w:ind w:firstLine="420" w:firstLineChars="200"/>
        <w:rPr>
          <w:rFonts w:ascii="宋体" w:hAnsi="宋体"/>
          <w:color w:val="auto"/>
        </w:rPr>
      </w:pPr>
      <w:r>
        <w:rPr>
          <w:rFonts w:hint="eastAsia" w:ascii="宋体" w:hAnsi="宋体"/>
          <w:bCs/>
          <w:color w:val="auto"/>
          <w:szCs w:val="21"/>
        </w:rPr>
        <w:t>（9）拟委派项目负责人的有效期内的建造师注册证书扫描件或电子证书；</w:t>
      </w:r>
    </w:p>
    <w:p w14:paraId="14F0BDB6">
      <w:pPr>
        <w:spacing w:line="360" w:lineRule="auto"/>
        <w:ind w:firstLine="420" w:firstLineChars="200"/>
        <w:rPr>
          <w:rFonts w:ascii="宋体" w:hAnsi="宋体"/>
          <w:bCs/>
          <w:color w:val="auto"/>
        </w:rPr>
      </w:pPr>
      <w:r>
        <w:rPr>
          <w:rFonts w:hint="eastAsia" w:ascii="宋体" w:hAnsi="宋体"/>
          <w:bCs/>
          <w:color w:val="auto"/>
        </w:rPr>
        <w:t>（10）项目负责人在有效期内的安全生产考核合格证书（B类）或建筑施工企业项目负责人安全生产考核合格证书扫描件或电子证书；</w:t>
      </w:r>
    </w:p>
    <w:p w14:paraId="7326E982">
      <w:pPr>
        <w:spacing w:line="360" w:lineRule="auto"/>
        <w:ind w:firstLine="420" w:firstLineChars="200"/>
        <w:rPr>
          <w:rFonts w:ascii="宋体" w:hAnsi="宋体"/>
          <w:bCs/>
          <w:color w:val="auto"/>
        </w:rPr>
      </w:pPr>
      <w:r>
        <w:rPr>
          <w:rFonts w:hint="eastAsia" w:ascii="宋体" w:hAnsi="宋体"/>
          <w:bCs/>
          <w:color w:val="auto"/>
        </w:rPr>
        <w:t>（11）专职安全员须具有在有效期内的安全生产考核合格证书（C类）或建筑施工企业专职安全生产管理人员安全生产考核合格证书（C3类）扫描件或电子证书；</w:t>
      </w:r>
    </w:p>
    <w:p w14:paraId="0BBDB8BE">
      <w:pPr>
        <w:spacing w:line="360" w:lineRule="auto"/>
        <w:ind w:firstLine="420" w:firstLineChars="200"/>
        <w:rPr>
          <w:rFonts w:ascii="宋体" w:hAnsi="宋体"/>
          <w:color w:val="auto"/>
        </w:rPr>
      </w:pPr>
      <w:r>
        <w:rPr>
          <w:rFonts w:hint="eastAsia" w:ascii="宋体" w:hAnsi="宋体"/>
          <w:color w:val="auto"/>
        </w:rPr>
        <w:t>（12）</w:t>
      </w:r>
      <w:r>
        <w:rPr>
          <w:rFonts w:hint="eastAsia" w:ascii="宋体" w:hAnsi="宋体"/>
          <w:bCs/>
          <w:color w:val="auto"/>
        </w:rPr>
        <w:t>资格审查前，投标人须在广州市住房和城乡建设局建立企业信用档案，拟担任本工程项目负责人、专职安全员须是本企业信用档案中的在册人员</w:t>
      </w:r>
      <w:r>
        <w:rPr>
          <w:rFonts w:hint="eastAsia" w:ascii="宋体" w:hAnsi="宋体"/>
          <w:color w:val="auto"/>
        </w:rPr>
        <w:t>。</w:t>
      </w:r>
    </w:p>
    <w:p w14:paraId="195302D8">
      <w:pPr>
        <w:spacing w:line="360" w:lineRule="auto"/>
        <w:ind w:firstLine="420" w:firstLineChars="200"/>
        <w:rPr>
          <w:rFonts w:ascii="宋体" w:hAnsi="宋体"/>
          <w:color w:val="auto"/>
          <w:u w:val="single"/>
        </w:rPr>
      </w:pPr>
      <w:r>
        <w:rPr>
          <w:rFonts w:hint="eastAsia" w:ascii="宋体" w:hAnsi="宋体"/>
          <w:color w:val="auto"/>
        </w:rPr>
        <w:t>（1</w:t>
      </w:r>
      <w:r>
        <w:rPr>
          <w:rFonts w:ascii="宋体" w:hAnsi="宋体"/>
          <w:color w:val="auto"/>
        </w:rPr>
        <w:t>3</w:t>
      </w:r>
      <w:r>
        <w:rPr>
          <w:rFonts w:hint="eastAsia" w:ascii="宋体" w:hAnsi="宋体"/>
          <w:color w:val="auto"/>
        </w:rPr>
        <w:t>）</w:t>
      </w:r>
      <w:r>
        <w:rPr>
          <w:rFonts w:hint="eastAsia" w:ascii="宋体" w:hAnsi="宋体"/>
          <w:color w:val="auto"/>
          <w:u w:val="single"/>
        </w:rPr>
        <w:t>投标人认为应提交的其他资料。</w:t>
      </w:r>
    </w:p>
    <w:p w14:paraId="01EC3D2F">
      <w:pPr>
        <w:spacing w:line="360" w:lineRule="auto"/>
        <w:ind w:firstLine="420" w:firstLineChars="200"/>
        <w:rPr>
          <w:rFonts w:ascii="宋体" w:hAnsi="宋体"/>
          <w:color w:val="auto"/>
        </w:rPr>
      </w:pPr>
      <w:r>
        <w:rPr>
          <w:rFonts w:hint="eastAsia" w:ascii="宋体" w:hAnsi="宋体"/>
          <w:color w:val="auto"/>
        </w:rPr>
        <w:t>注：1.相关电子证书按规定需打印后手写本人签名的，应按照规定手写本人签名后再扫描提交。</w:t>
      </w:r>
    </w:p>
    <w:p w14:paraId="5D26FF9D">
      <w:pPr>
        <w:spacing w:line="360" w:lineRule="auto"/>
        <w:ind w:firstLine="420" w:firstLineChars="200"/>
        <w:rPr>
          <w:rFonts w:ascii="宋体" w:hAnsi="宋体"/>
          <w:bCs/>
          <w:color w:val="auto"/>
          <w:szCs w:val="21"/>
          <w:u w:val="single"/>
        </w:rPr>
      </w:pPr>
      <w:r>
        <w:rPr>
          <w:rFonts w:hint="eastAsia" w:ascii="宋体" w:hAnsi="宋体"/>
          <w:bCs/>
          <w:color w:val="auto"/>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A996399">
      <w:pPr>
        <w:spacing w:line="360" w:lineRule="auto"/>
        <w:ind w:firstLine="420" w:firstLineChars="200"/>
        <w:rPr>
          <w:rStyle w:val="122"/>
          <w:rFonts w:ascii="宋体" w:hAnsi="宋体"/>
          <w:color w:val="auto"/>
          <w:szCs w:val="21"/>
          <w:u w:val="single"/>
        </w:rPr>
      </w:pPr>
      <w:r>
        <w:rPr>
          <w:rStyle w:val="122"/>
          <w:rFonts w:ascii="宋体" w:hAnsi="宋体"/>
          <w:color w:val="auto"/>
          <w:szCs w:val="21"/>
          <w:u w:val="single"/>
        </w:rPr>
        <w:t>11.2.3</w:t>
      </w:r>
      <w:r>
        <w:rPr>
          <w:rStyle w:val="122"/>
          <w:rFonts w:hint="eastAsia" w:ascii="宋体" w:hAnsi="宋体"/>
          <w:color w:val="auto"/>
          <w:szCs w:val="21"/>
          <w:u w:val="single"/>
        </w:rPr>
        <w:t>按照招标文件要求填写的《参与编制技术标投标文件人员名单》（格式按招标文件第四章技术标投标文件格式）；</w:t>
      </w:r>
    </w:p>
    <w:p w14:paraId="353501D5">
      <w:pPr>
        <w:spacing w:line="360" w:lineRule="auto"/>
        <w:ind w:firstLine="420" w:firstLineChars="200"/>
        <w:rPr>
          <w:rStyle w:val="122"/>
          <w:rFonts w:ascii="宋体" w:hAnsi="宋体"/>
          <w:color w:val="auto"/>
          <w:szCs w:val="21"/>
          <w:u w:val="single"/>
        </w:rPr>
      </w:pPr>
      <w:r>
        <w:rPr>
          <w:rStyle w:val="122"/>
          <w:rFonts w:hint="eastAsia" w:ascii="宋体" w:hAnsi="宋体"/>
          <w:color w:val="auto"/>
          <w:szCs w:val="21"/>
          <w:u w:val="single"/>
        </w:rPr>
        <w:t>11.2.</w:t>
      </w:r>
      <w:r>
        <w:rPr>
          <w:rStyle w:val="122"/>
          <w:rFonts w:ascii="宋体" w:hAnsi="宋体"/>
          <w:color w:val="auto"/>
          <w:szCs w:val="21"/>
          <w:u w:val="single"/>
        </w:rPr>
        <w:t>4</w:t>
      </w:r>
      <w:r>
        <w:rPr>
          <w:rStyle w:val="122"/>
          <w:rFonts w:hint="eastAsia" w:ascii="宋体" w:hAnsi="宋体"/>
          <w:color w:val="auto"/>
          <w:szCs w:val="21"/>
          <w:u w:val="single"/>
        </w:rPr>
        <w:t>项目管理机构配备。</w:t>
      </w:r>
    </w:p>
    <w:p w14:paraId="6883D803">
      <w:pPr>
        <w:spacing w:line="360" w:lineRule="auto"/>
        <w:ind w:firstLine="420" w:firstLineChars="200"/>
        <w:rPr>
          <w:rStyle w:val="122"/>
          <w:rFonts w:ascii="宋体" w:hAnsi="宋体"/>
          <w:color w:val="auto"/>
          <w:szCs w:val="21"/>
          <w:u w:val="single"/>
        </w:rPr>
      </w:pPr>
      <w:r>
        <w:rPr>
          <w:rStyle w:val="122"/>
          <w:rFonts w:hint="eastAsia" w:ascii="宋体" w:hAnsi="宋体"/>
          <w:color w:val="auto"/>
          <w:szCs w:val="21"/>
          <w:u w:val="single"/>
        </w:rPr>
        <w:t>（1）投标人应列出该项目工程的施工组织机构构成和画出机构框架图及其负责人；</w:t>
      </w:r>
    </w:p>
    <w:p w14:paraId="314BFDBC">
      <w:pPr>
        <w:spacing w:line="360" w:lineRule="auto"/>
        <w:ind w:firstLine="420" w:firstLineChars="200"/>
        <w:rPr>
          <w:rStyle w:val="122"/>
          <w:rFonts w:ascii="宋体" w:hAnsi="宋体"/>
          <w:color w:val="auto"/>
          <w:szCs w:val="21"/>
          <w:u w:val="single"/>
        </w:rPr>
      </w:pPr>
      <w:r>
        <w:rPr>
          <w:rStyle w:val="122"/>
          <w:rFonts w:hint="eastAsia" w:ascii="宋体" w:hAnsi="宋体"/>
          <w:color w:val="auto"/>
          <w:szCs w:val="21"/>
          <w:u w:val="single"/>
        </w:rPr>
        <w:t>（2）投标人应详细列出该施工组织机构中主要成员的名单、职务职称和在本项目中拟担任的职务等资料，并附上有关证明材料扫描件及其他辅助说明资料；</w:t>
      </w:r>
    </w:p>
    <w:p w14:paraId="102C4ED1">
      <w:pPr>
        <w:spacing w:line="360" w:lineRule="auto"/>
        <w:ind w:firstLine="420" w:firstLineChars="200"/>
        <w:rPr>
          <w:rFonts w:ascii="宋体" w:hAnsi="宋体"/>
          <w:color w:val="auto"/>
          <w:u w:val="single"/>
        </w:rPr>
      </w:pPr>
      <w:r>
        <w:rPr>
          <w:rStyle w:val="122"/>
          <w:rFonts w:ascii="宋体" w:hAnsi="宋体"/>
          <w:color w:val="auto"/>
          <w:szCs w:val="21"/>
          <w:u w:val="single"/>
        </w:rPr>
        <w:t>11.2.5</w:t>
      </w:r>
      <w:r>
        <w:rPr>
          <w:rFonts w:hint="eastAsia" w:ascii="宋体" w:hAnsi="宋体"/>
          <w:color w:val="auto"/>
          <w:u w:val="single"/>
        </w:rPr>
        <w:t>按照招标文件《技术标详细审查评分标准》提供的证明材料（如有）；</w:t>
      </w:r>
    </w:p>
    <w:p w14:paraId="65C75446">
      <w:pPr>
        <w:spacing w:line="360" w:lineRule="auto"/>
        <w:ind w:firstLine="420" w:firstLineChars="200"/>
        <w:rPr>
          <w:rFonts w:ascii="宋体" w:hAnsi="宋体"/>
          <w:color w:val="auto"/>
          <w:szCs w:val="21"/>
          <w:u w:val="single"/>
        </w:rPr>
      </w:pPr>
      <w:r>
        <w:rPr>
          <w:rFonts w:hint="eastAsia" w:ascii="宋体" w:hAnsi="宋体"/>
          <w:color w:val="auto"/>
          <w:u w:val="single"/>
        </w:rPr>
        <w:t>11.2.6《危险性较大的分部分项工程清单及超过一定规模的危险性较大的分部分项工程清单》。</w:t>
      </w:r>
    </w:p>
    <w:p w14:paraId="0A64B976">
      <w:pPr>
        <w:pBdr>
          <w:bottom w:val="single" w:color="000000" w:sz="6" w:space="1"/>
        </w:pBdr>
        <w:spacing w:line="360" w:lineRule="auto"/>
        <w:ind w:firstLine="420" w:firstLineChars="200"/>
        <w:rPr>
          <w:rFonts w:ascii="宋体" w:hAnsi="宋体"/>
          <w:color w:val="auto"/>
        </w:rPr>
      </w:pPr>
      <w:r>
        <w:rPr>
          <w:rStyle w:val="122"/>
          <w:rFonts w:hint="eastAsia" w:ascii="宋体" w:hAnsi="宋体"/>
          <w:color w:val="auto"/>
          <w:szCs w:val="21"/>
          <w:u w:val="single"/>
        </w:rPr>
        <w:t>11.2.7其他投</w:t>
      </w:r>
      <w:r>
        <w:rPr>
          <w:rFonts w:hint="eastAsia" w:ascii="宋体" w:hAnsi="宋体"/>
          <w:color w:val="auto"/>
          <w:u w:val="single"/>
        </w:rPr>
        <w:t>标人认为应该提供的资料。</w:t>
      </w:r>
    </w:p>
    <w:p w14:paraId="77E9E576">
      <w:pPr>
        <w:spacing w:line="360" w:lineRule="auto"/>
        <w:ind w:firstLine="422" w:firstLineChars="200"/>
        <w:rPr>
          <w:rFonts w:ascii="宋体" w:hAnsi="宋体"/>
          <w:b/>
          <w:color w:val="auto"/>
          <w:szCs w:val="21"/>
        </w:rPr>
      </w:pPr>
      <w:r>
        <w:rPr>
          <w:rFonts w:hint="eastAsia" w:ascii="宋体" w:hAnsi="宋体"/>
          <w:b/>
          <w:color w:val="auto"/>
          <w:szCs w:val="21"/>
        </w:rPr>
        <w:t>条款号：11.3.3</w:t>
      </w:r>
      <w:r>
        <w:rPr>
          <w:rFonts w:ascii="宋体" w:hAnsi="宋体"/>
          <w:b/>
          <w:color w:val="auto"/>
          <w:szCs w:val="21"/>
        </w:rPr>
        <w:t xml:space="preserve">          </w:t>
      </w:r>
      <w:r>
        <w:rPr>
          <w:rFonts w:hint="eastAsia" w:ascii="宋体" w:hAnsi="宋体"/>
          <w:b/>
          <w:color w:val="auto"/>
          <w:szCs w:val="21"/>
        </w:rPr>
        <w:t>修改类型：修改</w:t>
      </w:r>
    </w:p>
    <w:p w14:paraId="394D8843">
      <w:pPr>
        <w:pBdr>
          <w:bottom w:val="single" w:color="auto" w:sz="6" w:space="1"/>
        </w:pBdr>
        <w:tabs>
          <w:tab w:val="left" w:pos="6329"/>
        </w:tabs>
        <w:spacing w:line="360" w:lineRule="auto"/>
        <w:ind w:firstLine="422" w:firstLineChars="200"/>
        <w:rPr>
          <w:rFonts w:ascii="宋体" w:hAnsi="宋体"/>
          <w:bCs/>
          <w:color w:val="auto"/>
          <w:szCs w:val="21"/>
        </w:rPr>
      </w:pPr>
      <w:r>
        <w:rPr>
          <w:rFonts w:hint="eastAsia" w:ascii="宋体" w:hAnsi="宋体"/>
          <w:b/>
          <w:color w:val="auto"/>
          <w:szCs w:val="21"/>
        </w:rPr>
        <w:t>原文：</w:t>
      </w:r>
      <w:r>
        <w:rPr>
          <w:rFonts w:hint="eastAsia" w:ascii="宋体" w:hAnsi="宋体"/>
          <w:bCs/>
          <w:color w:val="auto"/>
          <w:szCs w:val="21"/>
        </w:rPr>
        <w:t>11.3.3按照招标文件要求填写的《参与编制经济标投标文件人员名单》。</w:t>
      </w:r>
    </w:p>
    <w:p w14:paraId="0F94C81A">
      <w:pPr>
        <w:pBdr>
          <w:bottom w:val="single" w:color="auto" w:sz="6" w:space="1"/>
        </w:pBdr>
        <w:tabs>
          <w:tab w:val="left" w:pos="6329"/>
        </w:tabs>
        <w:spacing w:line="360" w:lineRule="auto"/>
        <w:ind w:firstLine="422" w:firstLineChars="200"/>
        <w:rPr>
          <w:rFonts w:ascii="宋体" w:hAnsi="宋体"/>
          <w:bCs/>
          <w:color w:val="auto"/>
          <w:szCs w:val="21"/>
        </w:rPr>
      </w:pPr>
      <w:r>
        <w:rPr>
          <w:rFonts w:hint="eastAsia" w:ascii="宋体" w:hAnsi="宋体"/>
          <w:b/>
          <w:color w:val="auto"/>
          <w:szCs w:val="21"/>
        </w:rPr>
        <w:t>现文：</w:t>
      </w:r>
      <w:r>
        <w:rPr>
          <w:rFonts w:hint="eastAsia" w:ascii="宋体" w:hAnsi="宋体"/>
          <w:bCs/>
          <w:color w:val="auto"/>
          <w:szCs w:val="21"/>
        </w:rPr>
        <w:t>11.3.3按照招标文件要求填写的《参与编制经济标投标文件人员名单》、《对投标文件编制的承诺》（按招标文件第四章经济标投标文件格式）。</w:t>
      </w:r>
    </w:p>
    <w:p w14:paraId="71721029">
      <w:pPr>
        <w:spacing w:line="360" w:lineRule="auto"/>
        <w:ind w:firstLine="422" w:firstLineChars="200"/>
        <w:rPr>
          <w:rFonts w:ascii="宋体" w:hAnsi="宋体"/>
          <w:b/>
          <w:color w:val="auto"/>
          <w:szCs w:val="21"/>
        </w:rPr>
      </w:pPr>
      <w:r>
        <w:rPr>
          <w:rFonts w:hint="eastAsia" w:ascii="宋体" w:hAnsi="宋体"/>
          <w:b/>
          <w:color w:val="auto"/>
          <w:szCs w:val="21"/>
        </w:rPr>
        <w:t>条款号：1</w:t>
      </w:r>
      <w:r>
        <w:rPr>
          <w:rFonts w:ascii="宋体" w:hAnsi="宋体"/>
          <w:b/>
          <w:color w:val="auto"/>
          <w:szCs w:val="21"/>
        </w:rPr>
        <w:t xml:space="preserve">2.2          </w:t>
      </w:r>
      <w:r>
        <w:rPr>
          <w:rFonts w:hint="eastAsia" w:ascii="宋体" w:hAnsi="宋体"/>
          <w:b/>
          <w:color w:val="auto"/>
          <w:szCs w:val="21"/>
        </w:rPr>
        <w:t>修改类型：</w:t>
      </w:r>
      <w:r>
        <w:rPr>
          <w:rStyle w:val="122"/>
          <w:rFonts w:ascii="宋体" w:hAnsi="宋体"/>
          <w:b/>
          <w:color w:val="auto"/>
          <w:szCs w:val="21"/>
        </w:rPr>
        <w:t>修改</w:t>
      </w:r>
    </w:p>
    <w:p w14:paraId="3FD4E4AD">
      <w:pPr>
        <w:pBdr>
          <w:bottom w:val="none" w:color="auto" w:sz="0" w:space="1"/>
        </w:pBdr>
        <w:tabs>
          <w:tab w:val="left" w:pos="6329"/>
        </w:tabs>
        <w:spacing w:line="360" w:lineRule="auto"/>
        <w:ind w:firstLine="422" w:firstLineChars="200"/>
        <w:rPr>
          <w:rFonts w:ascii="宋体" w:hAnsi="宋体"/>
          <w:bCs/>
          <w:color w:val="auto"/>
          <w:szCs w:val="21"/>
        </w:rPr>
      </w:pPr>
      <w:r>
        <w:rPr>
          <w:rFonts w:hint="eastAsia" w:ascii="宋体" w:hAnsi="宋体"/>
          <w:b/>
          <w:color w:val="auto"/>
          <w:szCs w:val="21"/>
        </w:rPr>
        <w:t>原文：</w:t>
      </w:r>
      <w:r>
        <w:rPr>
          <w:rFonts w:ascii="宋体" w:hAnsi="宋体"/>
          <w:bCs/>
          <w:color w:val="auto"/>
          <w:szCs w:val="21"/>
        </w:rPr>
        <w:t xml:space="preserve">12.2 </w:t>
      </w:r>
      <w:r>
        <w:rPr>
          <w:rFonts w:hint="eastAsia" w:ascii="宋体" w:hAnsi="宋体"/>
          <w:color w:val="auto"/>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 xml:space="preserve"> </w:t>
      </w:r>
      <w:r>
        <w:rPr>
          <w:rFonts w:hint="eastAsia" w:ascii="宋体" w:hAnsi="宋体"/>
          <w:bCs/>
          <w:color w:val="auto"/>
          <w:szCs w:val="21"/>
        </w:rPr>
        <w:t>。</w:t>
      </w:r>
    </w:p>
    <w:p w14:paraId="5F589709">
      <w:pPr>
        <w:pBdr>
          <w:bottom w:val="none" w:color="auto" w:sz="0" w:space="1"/>
        </w:pBdr>
        <w:tabs>
          <w:tab w:val="left" w:pos="6329"/>
        </w:tabs>
        <w:spacing w:line="360" w:lineRule="auto"/>
        <w:ind w:firstLine="420" w:firstLineChars="200"/>
        <w:rPr>
          <w:rFonts w:ascii="宋体" w:hAnsi="宋体"/>
          <w:color w:val="auto"/>
        </w:rPr>
      </w:pPr>
      <w:r>
        <w:rPr>
          <w:rFonts w:hint="eastAsia" w:ascii="宋体" w:hAnsi="宋体"/>
          <w:color w:val="auto"/>
        </w:rPr>
        <w:t>注释：投标文件电子文档需要投标人单位盖章的材料，投标人加盖电子印章即可，不得将投标人未对电子文档加盖实物印章作为否决投标的情形。</w:t>
      </w:r>
    </w:p>
    <w:p w14:paraId="3E65DC6F">
      <w:pPr>
        <w:pBdr>
          <w:bottom w:val="single" w:color="auto" w:sz="6" w:space="1"/>
        </w:pBdr>
        <w:tabs>
          <w:tab w:val="left" w:pos="6329"/>
        </w:tabs>
        <w:spacing w:line="360" w:lineRule="auto"/>
        <w:ind w:firstLine="422" w:firstLineChars="200"/>
        <w:rPr>
          <w:rFonts w:ascii="宋体" w:hAnsi="宋体" w:cs="宋体"/>
          <w:color w:val="auto"/>
          <w:szCs w:val="21"/>
          <w:u w:val="single"/>
        </w:rPr>
      </w:pPr>
      <w:r>
        <w:rPr>
          <w:rFonts w:hint="eastAsia" w:ascii="宋体" w:hAnsi="宋体"/>
          <w:b/>
          <w:color w:val="auto"/>
          <w:szCs w:val="21"/>
        </w:rPr>
        <w:t>现文：</w:t>
      </w:r>
      <w:r>
        <w:rPr>
          <w:rFonts w:hint="eastAsia" w:ascii="宋体" w:hAnsi="宋体" w:cs="宋体"/>
          <w:color w:val="auto"/>
          <w:szCs w:val="21"/>
        </w:rPr>
        <w:t>1</w:t>
      </w:r>
      <w:r>
        <w:rPr>
          <w:rFonts w:ascii="宋体" w:hAnsi="宋体" w:cs="宋体"/>
          <w:color w:val="auto"/>
          <w:szCs w:val="21"/>
        </w:rPr>
        <w:t xml:space="preserve">2.2 </w:t>
      </w:r>
      <w:r>
        <w:rPr>
          <w:rFonts w:hint="eastAsia" w:ascii="宋体" w:hAnsi="宋体" w:cs="宋体"/>
          <w:color w:val="auto"/>
          <w:szCs w:val="21"/>
        </w:rPr>
        <w:t>投标文件全部采用电子文档，投标文件所附证书证件均为原件</w:t>
      </w:r>
      <w:r>
        <w:rPr>
          <w:rFonts w:hint="eastAsia" w:ascii="宋体" w:hAnsi="宋体" w:cs="宋体"/>
          <w:color w:val="auto"/>
          <w:szCs w:val="21"/>
          <w:u w:val="single"/>
        </w:rPr>
        <w:t>清晰</w:t>
      </w:r>
      <w:r>
        <w:rPr>
          <w:rFonts w:hint="eastAsia" w:ascii="宋体" w:hAnsi="宋体" w:cs="宋体"/>
          <w:color w:val="auto"/>
          <w:szCs w:val="21"/>
        </w:rPr>
        <w:t>扫描件，并采用单位数字证书，按招标文件要求在相应位置加盖电子印章。投标文件中需个人签字或盖章的，</w:t>
      </w:r>
      <w:r>
        <w:rPr>
          <w:rFonts w:hint="eastAsia" w:ascii="宋体" w:hAnsi="宋体"/>
          <w:color w:val="auto"/>
          <w:szCs w:val="21"/>
          <w:u w:val="single"/>
        </w:rPr>
        <w:t>应加盖个人电子印章或在线下完成后扫描上传</w:t>
      </w:r>
      <w:r>
        <w:rPr>
          <w:rFonts w:hint="eastAsia" w:ascii="宋体" w:hAnsi="宋体" w:cs="宋体"/>
          <w:color w:val="auto"/>
          <w:szCs w:val="21"/>
        </w:rPr>
        <w:t>。按照广州公共资源交易中心交易平台关于全流程电子化项目的相关指南进行操作。详见：</w:t>
      </w:r>
      <w:r>
        <w:rPr>
          <w:rFonts w:hint="eastAsia" w:ascii="宋体" w:hAnsi="宋体" w:cs="宋体"/>
          <w:color w:val="auto"/>
          <w:szCs w:val="21"/>
          <w:u w:val="single"/>
        </w:rPr>
        <w:t>广州公共资源交易中心网站最新指引。</w:t>
      </w:r>
    </w:p>
    <w:p w14:paraId="0CFB8C1A">
      <w:pPr>
        <w:pBdr>
          <w:bottom w:val="single" w:color="auto" w:sz="6" w:space="1"/>
        </w:pBdr>
        <w:tabs>
          <w:tab w:val="left" w:pos="6329"/>
        </w:tabs>
        <w:spacing w:line="360" w:lineRule="auto"/>
        <w:ind w:firstLine="420" w:firstLineChars="200"/>
        <w:rPr>
          <w:rFonts w:ascii="宋体" w:hAnsi="宋体"/>
          <w:color w:val="auto"/>
        </w:rPr>
      </w:pPr>
      <w:r>
        <w:rPr>
          <w:rFonts w:hint="eastAsia" w:ascii="宋体" w:hAnsi="宋体"/>
          <w:color w:val="auto"/>
        </w:rPr>
        <w:t>注释：投标文件电子文档需要投标人单位盖章的材料，投标人加盖电子印章即可，不得将投标人未对电子文档加盖实物印章作为否决投标的情形。</w:t>
      </w:r>
    </w:p>
    <w:p w14:paraId="78B032F2">
      <w:pPr>
        <w:spacing w:line="360" w:lineRule="auto"/>
        <w:ind w:firstLine="422" w:firstLineChars="200"/>
        <w:rPr>
          <w:rStyle w:val="122"/>
          <w:rFonts w:ascii="宋体" w:hAnsi="宋体"/>
          <w:b/>
          <w:color w:val="auto"/>
          <w:szCs w:val="21"/>
        </w:rPr>
      </w:pPr>
      <w:r>
        <w:rPr>
          <w:rStyle w:val="122"/>
          <w:rFonts w:ascii="宋体" w:hAnsi="宋体"/>
          <w:b/>
          <w:color w:val="auto"/>
          <w:szCs w:val="21"/>
        </w:rPr>
        <w:t xml:space="preserve">条款号：12.3          </w:t>
      </w:r>
      <w:r>
        <w:rPr>
          <w:rStyle w:val="122"/>
          <w:rFonts w:hint="eastAsia" w:ascii="宋体" w:hAnsi="宋体"/>
          <w:b/>
          <w:color w:val="auto"/>
          <w:szCs w:val="21"/>
        </w:rPr>
        <w:t>修</w:t>
      </w:r>
      <w:r>
        <w:rPr>
          <w:rStyle w:val="122"/>
          <w:rFonts w:ascii="宋体" w:hAnsi="宋体"/>
          <w:b/>
          <w:color w:val="auto"/>
          <w:szCs w:val="21"/>
        </w:rPr>
        <w:t>改类型：修改</w:t>
      </w:r>
    </w:p>
    <w:p w14:paraId="42749FE2">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color w:val="auto"/>
          <w:szCs w:val="21"/>
        </w:rPr>
        <w:t>12.3</w:t>
      </w:r>
      <w:r>
        <w:rPr>
          <w:rStyle w:val="122"/>
          <w:rFonts w:ascii="宋体" w:hAnsi="宋体"/>
          <w:bCs/>
          <w:color w:val="auto"/>
          <w:szCs w:val="21"/>
        </w:rPr>
        <w:t>投标文件应按</w:t>
      </w:r>
      <w:r>
        <w:rPr>
          <w:rStyle w:val="122"/>
          <w:rFonts w:ascii="宋体" w:hAnsi="宋体"/>
          <w:color w:val="auto"/>
          <w:szCs w:val="21"/>
        </w:rPr>
        <w:t>照交易平台关于全流程电子化项目的相关指南进行编制，详见：</w:t>
      </w:r>
      <w:r>
        <w:rPr>
          <w:rStyle w:val="122"/>
          <w:rFonts w:ascii="宋体" w:hAnsi="宋体"/>
          <w:color w:val="auto"/>
          <w:szCs w:val="21"/>
          <w:u w:val="single"/>
        </w:rPr>
        <w:t xml:space="preserve">            </w:t>
      </w:r>
      <w:r>
        <w:rPr>
          <w:rStyle w:val="122"/>
          <w:rFonts w:ascii="宋体" w:hAnsi="宋体"/>
          <w:color w:val="auto"/>
          <w:szCs w:val="21"/>
        </w:rPr>
        <w:t>。</w:t>
      </w:r>
    </w:p>
    <w:p w14:paraId="7258BB23">
      <w:pPr>
        <w:pBdr>
          <w:bottom w:val="single" w:color="000000" w:sz="6" w:space="1"/>
        </w:pBdr>
        <w:spacing w:line="360" w:lineRule="auto"/>
        <w:ind w:firstLine="422" w:firstLineChars="200"/>
        <w:rPr>
          <w:rFonts w:ascii="宋体" w:hAnsi="宋体" w:cs="宋体"/>
          <w:color w:val="auto"/>
        </w:rPr>
      </w:pPr>
      <w:r>
        <w:rPr>
          <w:rStyle w:val="122"/>
          <w:rFonts w:ascii="宋体" w:hAnsi="宋体"/>
          <w:b/>
          <w:color w:val="auto"/>
          <w:szCs w:val="21"/>
        </w:rPr>
        <w:t>现文：</w:t>
      </w:r>
      <w:r>
        <w:rPr>
          <w:rStyle w:val="122"/>
          <w:rFonts w:ascii="宋体" w:hAnsi="宋体"/>
          <w:color w:val="auto"/>
          <w:szCs w:val="21"/>
        </w:rPr>
        <w:t xml:space="preserve">12.3 </w:t>
      </w:r>
      <w:r>
        <w:rPr>
          <w:rStyle w:val="122"/>
          <w:rFonts w:ascii="宋体" w:hAnsi="宋体"/>
          <w:bCs/>
          <w:color w:val="auto"/>
          <w:szCs w:val="21"/>
        </w:rPr>
        <w:t>投标文件应按</w:t>
      </w:r>
      <w:r>
        <w:rPr>
          <w:rStyle w:val="122"/>
          <w:rFonts w:ascii="宋体" w:hAnsi="宋体"/>
          <w:color w:val="auto"/>
          <w:szCs w:val="21"/>
        </w:rPr>
        <w:t>照交易平台关于全流程电子化项目的相关指南进</w:t>
      </w:r>
      <w:r>
        <w:rPr>
          <w:rFonts w:ascii="宋体" w:hAnsi="宋体" w:cs="宋体"/>
          <w:color w:val="auto"/>
        </w:rPr>
        <w:t>行编制，详见：</w:t>
      </w:r>
      <w:r>
        <w:rPr>
          <w:rFonts w:hint="eastAsia" w:ascii="宋体" w:hAnsi="宋体" w:cs="宋体"/>
          <w:color w:val="auto"/>
          <w:u w:val="single"/>
        </w:rPr>
        <w:t>广州公共资源交易中心网站最新指引</w:t>
      </w:r>
      <w:r>
        <w:rPr>
          <w:rFonts w:ascii="宋体" w:hAnsi="宋体" w:cs="宋体"/>
          <w:color w:val="auto"/>
          <w:u w:val="single"/>
        </w:rPr>
        <w:t>。</w:t>
      </w:r>
    </w:p>
    <w:p w14:paraId="5354C186">
      <w:pPr>
        <w:spacing w:line="360" w:lineRule="auto"/>
        <w:ind w:firstLine="422" w:firstLineChars="200"/>
        <w:rPr>
          <w:rStyle w:val="122"/>
          <w:rFonts w:ascii="宋体" w:hAnsi="宋体"/>
          <w:b/>
          <w:color w:val="auto"/>
          <w:szCs w:val="21"/>
        </w:rPr>
      </w:pPr>
      <w:r>
        <w:rPr>
          <w:rStyle w:val="122"/>
          <w:rFonts w:ascii="宋体" w:hAnsi="宋体"/>
          <w:b/>
          <w:color w:val="auto"/>
          <w:szCs w:val="21"/>
        </w:rPr>
        <w:t>条款号：13.1          修改类型：修改</w:t>
      </w:r>
    </w:p>
    <w:p w14:paraId="6F42FF45">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color w:val="auto"/>
          <w:szCs w:val="21"/>
        </w:rPr>
        <w:t>13.1本工程的投标报价采用投标须知前附表第12项所规定的方式。投标报价（含单价及总价）精确到“分”。</w:t>
      </w:r>
    </w:p>
    <w:p w14:paraId="12D57309">
      <w:pPr>
        <w:pBdr>
          <w:bottom w:val="single" w:color="000000" w:sz="6" w:space="1"/>
        </w:pBdr>
        <w:spacing w:line="360" w:lineRule="auto"/>
        <w:ind w:firstLine="422" w:firstLineChars="200"/>
        <w:rPr>
          <w:rStyle w:val="122"/>
          <w:rFonts w:ascii="宋体" w:hAnsi="宋体"/>
          <w:color w:val="auto"/>
          <w:szCs w:val="21"/>
          <w:u w:val="single"/>
        </w:rPr>
      </w:pPr>
      <w:r>
        <w:rPr>
          <w:rStyle w:val="122"/>
          <w:rFonts w:ascii="宋体" w:hAnsi="宋体"/>
          <w:b/>
          <w:color w:val="auto"/>
          <w:szCs w:val="21"/>
        </w:rPr>
        <w:t>现文：</w:t>
      </w:r>
      <w:r>
        <w:rPr>
          <w:rStyle w:val="122"/>
          <w:rFonts w:ascii="宋体" w:hAnsi="宋体"/>
          <w:color w:val="auto"/>
          <w:szCs w:val="21"/>
        </w:rPr>
        <w:t>13.1本工程的投标报价采用投标须知前附表第12项所规定的方式。投标报价（含单价及总价）精确到“分”。</w:t>
      </w:r>
      <w:r>
        <w:rPr>
          <w:rStyle w:val="122"/>
          <w:rFonts w:ascii="宋体" w:hAnsi="宋体"/>
          <w:color w:val="auto"/>
          <w:szCs w:val="21"/>
          <w:u w:val="single"/>
        </w:rPr>
        <w:t>投标文件中的大写金额和小写金额不一致的，以大写金额为准。</w:t>
      </w:r>
    </w:p>
    <w:p w14:paraId="040ADDE5">
      <w:pPr>
        <w:spacing w:line="360" w:lineRule="auto"/>
        <w:ind w:firstLine="422" w:firstLineChars="200"/>
        <w:rPr>
          <w:rStyle w:val="122"/>
          <w:rFonts w:ascii="宋体" w:hAnsi="宋体"/>
          <w:b/>
          <w:color w:val="auto"/>
          <w:szCs w:val="21"/>
        </w:rPr>
      </w:pPr>
      <w:r>
        <w:rPr>
          <w:rStyle w:val="122"/>
          <w:rFonts w:ascii="宋体" w:hAnsi="宋体"/>
          <w:b/>
          <w:color w:val="auto"/>
          <w:szCs w:val="21"/>
        </w:rPr>
        <w:t>条款号：13.4          修改类型：修改</w:t>
      </w:r>
    </w:p>
    <w:p w14:paraId="29C587E7">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color w:val="auto"/>
          <w:szCs w:val="21"/>
        </w:rPr>
        <w:t>13.4</w:t>
      </w:r>
      <w:r>
        <w:rPr>
          <w:rStyle w:val="122"/>
          <w:rFonts w:hint="eastAsia" w:ascii="宋体" w:hAnsi="宋体"/>
          <w:color w:val="auto"/>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1E6BF04">
      <w:pPr>
        <w:pBdr>
          <w:bottom w:val="single" w:color="000000" w:sz="6" w:space="1"/>
        </w:pBdr>
        <w:spacing w:line="360" w:lineRule="auto"/>
        <w:ind w:firstLine="422" w:firstLineChars="200"/>
        <w:rPr>
          <w:rStyle w:val="122"/>
          <w:rFonts w:ascii="宋体" w:hAnsi="宋体"/>
          <w:color w:val="auto"/>
          <w:szCs w:val="21"/>
        </w:rPr>
      </w:pPr>
      <w:r>
        <w:rPr>
          <w:rStyle w:val="122"/>
          <w:rFonts w:ascii="宋体" w:hAnsi="宋体"/>
          <w:b/>
          <w:color w:val="auto"/>
          <w:szCs w:val="21"/>
        </w:rPr>
        <w:t>现文：</w:t>
      </w:r>
      <w:r>
        <w:rPr>
          <w:rStyle w:val="122"/>
          <w:rFonts w:ascii="宋体" w:hAnsi="宋体"/>
          <w:color w:val="auto"/>
          <w:szCs w:val="21"/>
        </w:rPr>
        <w:t>13.4</w:t>
      </w:r>
      <w:r>
        <w:rPr>
          <w:rStyle w:val="122"/>
          <w:rFonts w:hint="eastAsia" w:ascii="宋体" w:hAnsi="宋体"/>
          <w:color w:val="auto"/>
          <w:szCs w:val="21"/>
        </w:rPr>
        <w:t>投标人一旦中标，投标人对招标人提供的招标工程量清单中列出的工程项目所报出的综合单价，在工程结算时将不得变更。</w:t>
      </w:r>
      <w:r>
        <w:rPr>
          <w:rStyle w:val="122"/>
          <w:rFonts w:hint="eastAsia" w:ascii="宋体" w:hAnsi="宋体"/>
          <w:color w:val="auto"/>
          <w:szCs w:val="21"/>
          <w:u w:val="single"/>
        </w:rPr>
        <w:t>人工、材料、设备或机械台班市场价格发生异常变动情况时，价格调整方式按招标文件及施工合同相关约定执行。由于工程量偏差，引起的相关措施项目相应发生变化时，措施费调整方式按施工合同相关约定执行。</w:t>
      </w:r>
    </w:p>
    <w:p w14:paraId="682607BC">
      <w:pPr>
        <w:widowControl w:val="0"/>
        <w:spacing w:line="360" w:lineRule="auto"/>
        <w:ind w:firstLine="422" w:firstLineChars="200"/>
        <w:textAlignment w:val="auto"/>
        <w:rPr>
          <w:rFonts w:ascii="宋体" w:hAnsi="宋体" w:cs="宋体"/>
          <w:b/>
          <w:color w:val="auto"/>
          <w:szCs w:val="21"/>
        </w:rPr>
      </w:pPr>
      <w:r>
        <w:rPr>
          <w:rFonts w:hint="eastAsia" w:ascii="宋体" w:hAnsi="宋体" w:cs="宋体"/>
          <w:b/>
          <w:color w:val="auto"/>
          <w:szCs w:val="21"/>
        </w:rPr>
        <w:t>条款号：16.4          修改类型：修改</w:t>
      </w:r>
    </w:p>
    <w:p w14:paraId="782BFA60">
      <w:pPr>
        <w:widowControl w:val="0"/>
        <w:spacing w:line="360" w:lineRule="auto"/>
        <w:ind w:firstLine="422" w:firstLineChars="200"/>
        <w:textAlignment w:val="auto"/>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如有下列情况之一的，招标人可以不予退还投标保证金（是否退还投标保证金由招标人在招标文件中规定）：</w:t>
      </w:r>
    </w:p>
    <w:p w14:paraId="637C14B5">
      <w:pPr>
        <w:widowControl w:val="0"/>
        <w:pBdr>
          <w:bottom w:val="single" w:color="000000" w:sz="6" w:space="1"/>
        </w:pBdr>
        <w:spacing w:line="360" w:lineRule="auto"/>
        <w:ind w:firstLine="422" w:firstLineChars="200"/>
        <w:textAlignment w:val="auto"/>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如有下列情况之一的，招标人不予退还投标保证金：</w:t>
      </w:r>
    </w:p>
    <w:p w14:paraId="10116D45">
      <w:pPr>
        <w:widowControl w:val="0"/>
        <w:spacing w:line="360" w:lineRule="auto"/>
        <w:ind w:firstLine="422" w:firstLineChars="200"/>
        <w:textAlignment w:val="auto"/>
        <w:rPr>
          <w:rFonts w:ascii="宋体" w:hAnsi="宋体" w:cs="宋体"/>
          <w:b/>
          <w:color w:val="auto"/>
          <w:szCs w:val="21"/>
        </w:rPr>
      </w:pPr>
      <w:r>
        <w:rPr>
          <w:rFonts w:hint="eastAsia" w:ascii="宋体" w:hAnsi="宋体" w:cs="宋体"/>
          <w:b/>
          <w:color w:val="auto"/>
          <w:szCs w:val="21"/>
        </w:rPr>
        <w:t>条款号：16.5            修改类型：修改</w:t>
      </w:r>
    </w:p>
    <w:p w14:paraId="57E7EA4E">
      <w:pPr>
        <w:widowControl w:val="0"/>
        <w:spacing w:line="360" w:lineRule="auto"/>
        <w:ind w:firstLine="422" w:firstLineChars="200"/>
        <w:textAlignment w:val="auto"/>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16.5投标人如存在下列情况之一的，将被拒绝在一定时期内参与招标人后续工程投标（拒绝时限需在招标文件中明确）：</w:t>
      </w:r>
    </w:p>
    <w:p w14:paraId="56396A6E">
      <w:pPr>
        <w:widowControl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16.5.1投标人存在16.4条款所列情形且投标人提交的保函、担保或保证保险无法兑付的；</w:t>
      </w:r>
    </w:p>
    <w:p w14:paraId="417C822B">
      <w:pPr>
        <w:widowControl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16.5.2采用非电子形式提交投标保证金的投标人存在16.4条款所列情形，且未按招标人要求补交银行保函、专业工程担保公司担保或保证保险原件的；</w:t>
      </w:r>
    </w:p>
    <w:p w14:paraId="63518A43">
      <w:pPr>
        <w:widowControl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16.5.3按招标文件要求免于提供投标保证金的投标人存在16.4条款所列情形，且未按招标人要求补交投标保证金的；</w:t>
      </w:r>
    </w:p>
    <w:p w14:paraId="06197D25">
      <w:pPr>
        <w:widowControl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16.5.3按招标文件要求免于提供投标保证金的投标人存在16.4条款所列情形的。</w:t>
      </w:r>
    </w:p>
    <w:p w14:paraId="3B4033DD">
      <w:pPr>
        <w:widowControl w:val="0"/>
        <w:spacing w:line="360" w:lineRule="auto"/>
        <w:ind w:firstLine="420" w:firstLineChars="200"/>
        <w:textAlignment w:val="auto"/>
        <w:rPr>
          <w:rFonts w:ascii="宋体" w:hAnsi="宋体" w:cs="宋体"/>
          <w:b/>
          <w:color w:val="auto"/>
          <w:szCs w:val="21"/>
        </w:rPr>
      </w:pPr>
      <w:r>
        <w:rPr>
          <w:rFonts w:hint="eastAsia" w:ascii="宋体" w:hAnsi="宋体" w:cs="宋体"/>
          <w:color w:val="auto"/>
          <w:szCs w:val="21"/>
        </w:rPr>
        <w:t>注：16.5.3款由招标人二选一，需在招标文件中明确。</w:t>
      </w:r>
    </w:p>
    <w:p w14:paraId="6668F4F5">
      <w:pPr>
        <w:widowControl w:val="0"/>
        <w:pBdr>
          <w:bottom w:val="single" w:color="000000" w:sz="6" w:space="1"/>
        </w:pBdr>
        <w:spacing w:line="360" w:lineRule="auto"/>
        <w:ind w:firstLine="422" w:firstLineChars="200"/>
        <w:textAlignment w:val="auto"/>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16.5投标人如存在下列情况之一的，将被拒绝在</w:t>
      </w:r>
      <w:r>
        <w:rPr>
          <w:rFonts w:hint="eastAsia" w:ascii="宋体" w:hAnsi="宋体" w:cs="宋体"/>
          <w:color w:val="auto"/>
          <w:szCs w:val="21"/>
          <w:u w:val="single"/>
        </w:rPr>
        <w:t>一年</w:t>
      </w:r>
      <w:r>
        <w:rPr>
          <w:rFonts w:hint="eastAsia" w:ascii="宋体" w:hAnsi="宋体" w:cs="宋体"/>
          <w:color w:val="auto"/>
          <w:szCs w:val="21"/>
        </w:rPr>
        <w:t>内参与招标人后续工程投标：</w:t>
      </w:r>
    </w:p>
    <w:p w14:paraId="7440DAFA">
      <w:pPr>
        <w:widowControl w:val="0"/>
        <w:pBdr>
          <w:bottom w:val="single" w:color="000000" w:sz="6" w:space="1"/>
        </w:pBdr>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16.5.1投标人存在16.4条款所列情形且投标人提交的保函、担保或保证保险无法兑付的；</w:t>
      </w:r>
    </w:p>
    <w:p w14:paraId="66EC1CEC">
      <w:pPr>
        <w:widowControl w:val="0"/>
        <w:pBdr>
          <w:bottom w:val="single" w:color="000000" w:sz="6" w:space="1"/>
        </w:pBdr>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16.5.2采用非电子形式提交投标保证金的投标人存在16.4条款所列情形，且未按招标人要求补交银行保函、专业工程担保公司担保或保证保险原件的。</w:t>
      </w:r>
    </w:p>
    <w:p w14:paraId="0B912B58">
      <w:pPr>
        <w:widowControl w:val="0"/>
        <w:pBdr>
          <w:bottom w:val="single" w:color="000000" w:sz="6" w:space="1"/>
        </w:pBdr>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16.5.3按招标文件要求免于提供投标保证金的投标人存在16.4条款所列情形，且未按招标人要求补交投标保证金的。</w:t>
      </w:r>
    </w:p>
    <w:p w14:paraId="35D83800">
      <w:pPr>
        <w:spacing w:line="360" w:lineRule="auto"/>
        <w:ind w:firstLine="422" w:firstLineChars="200"/>
        <w:rPr>
          <w:rStyle w:val="122"/>
          <w:rFonts w:ascii="宋体" w:hAnsi="宋体"/>
          <w:b/>
          <w:color w:val="auto"/>
          <w:szCs w:val="21"/>
        </w:rPr>
      </w:pPr>
      <w:r>
        <w:rPr>
          <w:rStyle w:val="122"/>
          <w:rFonts w:ascii="宋体" w:hAnsi="宋体"/>
          <w:b/>
          <w:color w:val="auto"/>
          <w:szCs w:val="21"/>
        </w:rPr>
        <w:t>条款号：17.1          修改类型：修改</w:t>
      </w:r>
    </w:p>
    <w:p w14:paraId="32F3B400">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Fonts w:hint="eastAsia" w:ascii="宋体" w:hAnsi="宋体"/>
          <w:color w:val="auto"/>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u w:val="single"/>
        </w:rPr>
        <w:t xml:space="preserve">            </w:t>
      </w:r>
      <w:r>
        <w:rPr>
          <w:rFonts w:hint="eastAsia" w:ascii="宋体" w:hAnsi="宋体"/>
          <w:color w:val="auto"/>
          <w:szCs w:val="21"/>
        </w:rPr>
        <w:t xml:space="preserve"> 。</w:t>
      </w:r>
    </w:p>
    <w:p w14:paraId="50366AC7">
      <w:pPr>
        <w:pBdr>
          <w:bottom w:val="single" w:color="000000" w:sz="6" w:space="1"/>
        </w:pBdr>
        <w:spacing w:line="360" w:lineRule="auto"/>
        <w:ind w:firstLine="422" w:firstLineChars="200"/>
        <w:rPr>
          <w:rStyle w:val="122"/>
          <w:rFonts w:ascii="宋体" w:hAnsi="宋体"/>
          <w:color w:val="auto"/>
          <w:szCs w:val="21"/>
          <w:u w:val="single"/>
        </w:rPr>
      </w:pPr>
      <w:r>
        <w:rPr>
          <w:rStyle w:val="122"/>
          <w:rFonts w:ascii="宋体" w:hAnsi="宋体"/>
          <w:b/>
          <w:color w:val="auto"/>
          <w:szCs w:val="21"/>
        </w:rPr>
        <w:t>现文：</w:t>
      </w:r>
      <w:r>
        <w:rPr>
          <w:rStyle w:val="122"/>
          <w:rFonts w:ascii="宋体" w:hAnsi="宋体"/>
          <w:color w:val="auto"/>
          <w:szCs w:val="21"/>
        </w:rPr>
        <w:t>17.1投标人应采用单位数字证书，按招标文件要求在相应位置加盖电子印章。投标文件中需个人签字或盖章的，</w:t>
      </w:r>
      <w:r>
        <w:rPr>
          <w:rStyle w:val="122"/>
          <w:rFonts w:hint="eastAsia" w:ascii="宋体" w:hAnsi="宋体"/>
          <w:color w:val="auto"/>
          <w:szCs w:val="21"/>
        </w:rPr>
        <w:t>应加盖个人电子印章或在线下完成后扫描上传</w:t>
      </w:r>
      <w:r>
        <w:rPr>
          <w:rStyle w:val="122"/>
          <w:rFonts w:ascii="宋体" w:hAnsi="宋体"/>
          <w:color w:val="auto"/>
          <w:szCs w:val="21"/>
        </w:rPr>
        <w:t>。按照</w:t>
      </w:r>
      <w:r>
        <w:rPr>
          <w:rStyle w:val="122"/>
          <w:rFonts w:hint="eastAsia" w:ascii="宋体" w:hAnsi="宋体"/>
          <w:color w:val="auto"/>
          <w:u w:val="single"/>
        </w:rPr>
        <w:t>广州公共资源交易中心</w:t>
      </w:r>
      <w:r>
        <w:rPr>
          <w:rStyle w:val="122"/>
          <w:rFonts w:ascii="宋体" w:hAnsi="宋体"/>
          <w:color w:val="auto"/>
          <w:szCs w:val="21"/>
        </w:rPr>
        <w:t>交易平台关于全流程电子化项目的相关指南进行操作。详见：</w:t>
      </w:r>
      <w:r>
        <w:rPr>
          <w:rStyle w:val="122"/>
          <w:rFonts w:hint="eastAsia" w:ascii="宋体" w:hAnsi="宋体"/>
          <w:color w:val="auto"/>
          <w:u w:val="single"/>
        </w:rPr>
        <w:t>广州公共资源交易中心网站最新指引</w:t>
      </w:r>
      <w:r>
        <w:rPr>
          <w:rStyle w:val="122"/>
          <w:rFonts w:ascii="宋体" w:hAnsi="宋体"/>
          <w:color w:val="auto"/>
          <w:szCs w:val="21"/>
          <w:u w:val="single"/>
        </w:rPr>
        <w:t>。</w:t>
      </w:r>
    </w:p>
    <w:p w14:paraId="2F79BFE4">
      <w:pPr>
        <w:spacing w:line="360" w:lineRule="auto"/>
        <w:ind w:firstLine="422" w:firstLineChars="200"/>
        <w:rPr>
          <w:rStyle w:val="122"/>
          <w:rFonts w:ascii="宋体" w:hAnsi="宋体"/>
          <w:b/>
          <w:color w:val="auto"/>
          <w:szCs w:val="21"/>
        </w:rPr>
      </w:pPr>
      <w:r>
        <w:rPr>
          <w:rStyle w:val="122"/>
          <w:rFonts w:ascii="宋体" w:hAnsi="宋体"/>
          <w:b/>
          <w:color w:val="auto"/>
          <w:szCs w:val="21"/>
        </w:rPr>
        <w:t>条款号：18.1          修改类型：修改</w:t>
      </w:r>
    </w:p>
    <w:p w14:paraId="72D0D140">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color w:val="auto"/>
          <w:szCs w:val="21"/>
        </w:rPr>
        <w:t>18.1</w:t>
      </w:r>
      <w:r>
        <w:rPr>
          <w:rStyle w:val="122"/>
          <w:rFonts w:ascii="宋体" w:hAnsi="宋体"/>
          <w:bCs/>
          <w:color w:val="auto"/>
          <w:szCs w:val="21"/>
        </w:rPr>
        <w:t>递交的电子投标文件（不含备用光盘）必须进行加密。按照交易平台关于</w:t>
      </w:r>
      <w:r>
        <w:rPr>
          <w:rStyle w:val="122"/>
          <w:rFonts w:ascii="宋体" w:hAnsi="宋体"/>
          <w:color w:val="auto"/>
          <w:szCs w:val="21"/>
        </w:rPr>
        <w:t>全流程电子化项目的相关指南进行操作。详见：</w:t>
      </w:r>
      <w:r>
        <w:rPr>
          <w:rStyle w:val="122"/>
          <w:rFonts w:ascii="宋体" w:hAnsi="宋体"/>
          <w:color w:val="auto"/>
          <w:szCs w:val="21"/>
          <w:u w:val="single"/>
        </w:rPr>
        <w:t xml:space="preserve">           </w:t>
      </w:r>
      <w:r>
        <w:rPr>
          <w:rStyle w:val="122"/>
          <w:rFonts w:ascii="宋体" w:hAnsi="宋体"/>
          <w:color w:val="auto"/>
          <w:szCs w:val="21"/>
        </w:rPr>
        <w:t xml:space="preserve"> 。</w:t>
      </w:r>
    </w:p>
    <w:p w14:paraId="003E5D93">
      <w:pPr>
        <w:pBdr>
          <w:bottom w:val="single" w:color="000000" w:sz="6" w:space="1"/>
        </w:pBdr>
        <w:spacing w:line="360" w:lineRule="auto"/>
        <w:ind w:firstLine="422" w:firstLineChars="200"/>
        <w:rPr>
          <w:rStyle w:val="122"/>
          <w:rFonts w:ascii="宋体" w:hAnsi="宋体"/>
          <w:color w:val="auto"/>
          <w:szCs w:val="21"/>
          <w:u w:val="single"/>
        </w:rPr>
      </w:pPr>
      <w:r>
        <w:rPr>
          <w:rStyle w:val="122"/>
          <w:rFonts w:ascii="宋体" w:hAnsi="宋体"/>
          <w:b/>
          <w:color w:val="auto"/>
          <w:szCs w:val="21"/>
        </w:rPr>
        <w:t>现文：</w:t>
      </w:r>
      <w:r>
        <w:rPr>
          <w:rStyle w:val="122"/>
          <w:rFonts w:ascii="宋体" w:hAnsi="宋体"/>
          <w:color w:val="auto"/>
          <w:szCs w:val="21"/>
        </w:rPr>
        <w:t>18.1</w:t>
      </w:r>
      <w:r>
        <w:rPr>
          <w:rStyle w:val="122"/>
          <w:rFonts w:ascii="宋体" w:hAnsi="宋体"/>
          <w:bCs/>
          <w:color w:val="auto"/>
          <w:szCs w:val="21"/>
        </w:rPr>
        <w:t>递交的电子投标文件（不含备用光盘）必须进行加密。按照</w:t>
      </w:r>
      <w:r>
        <w:rPr>
          <w:rStyle w:val="122"/>
          <w:rFonts w:hint="eastAsia" w:ascii="宋体" w:hAnsi="宋体"/>
          <w:color w:val="auto"/>
          <w:u w:val="single"/>
        </w:rPr>
        <w:t>广州公共资源交易中心</w:t>
      </w:r>
      <w:r>
        <w:rPr>
          <w:rStyle w:val="122"/>
          <w:rFonts w:ascii="宋体" w:hAnsi="宋体"/>
          <w:bCs/>
          <w:color w:val="auto"/>
          <w:szCs w:val="21"/>
        </w:rPr>
        <w:t>交易平台关于</w:t>
      </w:r>
      <w:r>
        <w:rPr>
          <w:rStyle w:val="122"/>
          <w:rFonts w:ascii="宋体" w:hAnsi="宋体"/>
          <w:color w:val="auto"/>
          <w:szCs w:val="21"/>
        </w:rPr>
        <w:t>全流程电子化项目的相关指南进行操作。详见：</w:t>
      </w:r>
      <w:r>
        <w:rPr>
          <w:rStyle w:val="122"/>
          <w:rFonts w:hint="eastAsia" w:ascii="宋体" w:hAnsi="宋体"/>
          <w:color w:val="auto"/>
          <w:u w:val="single"/>
        </w:rPr>
        <w:t>广州公共资源交易中心网站最新指引</w:t>
      </w:r>
      <w:r>
        <w:rPr>
          <w:rStyle w:val="122"/>
          <w:rFonts w:ascii="宋体" w:hAnsi="宋体"/>
          <w:color w:val="auto"/>
          <w:szCs w:val="21"/>
          <w:u w:val="single"/>
        </w:rPr>
        <w:t>。</w:t>
      </w:r>
    </w:p>
    <w:p w14:paraId="27F23A31">
      <w:pPr>
        <w:spacing w:line="360" w:lineRule="auto"/>
        <w:ind w:firstLine="422" w:firstLineChars="200"/>
        <w:rPr>
          <w:rStyle w:val="122"/>
          <w:rFonts w:ascii="宋体" w:hAnsi="宋体"/>
          <w:b/>
          <w:color w:val="auto"/>
          <w:szCs w:val="21"/>
        </w:rPr>
      </w:pPr>
      <w:r>
        <w:rPr>
          <w:rStyle w:val="122"/>
          <w:rFonts w:ascii="宋体" w:hAnsi="宋体"/>
          <w:b/>
          <w:color w:val="auto"/>
          <w:szCs w:val="21"/>
        </w:rPr>
        <w:t>条款号：18.2          修改类型：修改</w:t>
      </w:r>
    </w:p>
    <w:p w14:paraId="3EDFF41C">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color w:val="auto"/>
          <w:szCs w:val="21"/>
        </w:rPr>
        <w:t>18.2</w:t>
      </w:r>
      <w:r>
        <w:rPr>
          <w:rStyle w:val="122"/>
          <w:rFonts w:ascii="宋体" w:hAnsi="宋体"/>
          <w:bCs/>
          <w:color w:val="auto"/>
          <w:szCs w:val="21"/>
        </w:rPr>
        <w:t>未按要求加密的投标文件，</w:t>
      </w:r>
      <w:r>
        <w:rPr>
          <w:rStyle w:val="122"/>
          <w:rFonts w:ascii="宋体" w:hAnsi="宋体"/>
          <w:color w:val="auto"/>
          <w:szCs w:val="21"/>
          <w:u w:val="single"/>
        </w:rPr>
        <w:t xml:space="preserve">        </w:t>
      </w:r>
      <w:r>
        <w:rPr>
          <w:rStyle w:val="122"/>
          <w:rFonts w:ascii="宋体" w:hAnsi="宋体"/>
          <w:color w:val="auto"/>
          <w:szCs w:val="21"/>
        </w:rPr>
        <w:t>交易平台</w:t>
      </w:r>
      <w:r>
        <w:rPr>
          <w:rStyle w:val="122"/>
          <w:rFonts w:ascii="宋体" w:hAnsi="宋体"/>
          <w:bCs/>
          <w:color w:val="auto"/>
          <w:szCs w:val="21"/>
        </w:rPr>
        <w:t>将予以拒收。</w:t>
      </w:r>
    </w:p>
    <w:p w14:paraId="7710F78F">
      <w:pPr>
        <w:pBdr>
          <w:bottom w:val="single" w:color="000000" w:sz="6" w:space="1"/>
        </w:pBdr>
        <w:spacing w:line="360" w:lineRule="auto"/>
        <w:ind w:firstLine="422" w:firstLineChars="200"/>
        <w:rPr>
          <w:rStyle w:val="122"/>
          <w:rFonts w:ascii="宋体" w:hAnsi="宋体"/>
          <w:color w:val="auto"/>
          <w:szCs w:val="21"/>
        </w:rPr>
      </w:pPr>
      <w:r>
        <w:rPr>
          <w:rStyle w:val="122"/>
          <w:rFonts w:ascii="宋体" w:hAnsi="宋体"/>
          <w:b/>
          <w:color w:val="auto"/>
          <w:szCs w:val="21"/>
        </w:rPr>
        <w:t>现文：</w:t>
      </w:r>
      <w:r>
        <w:rPr>
          <w:rStyle w:val="122"/>
          <w:rFonts w:ascii="宋体" w:hAnsi="宋体"/>
          <w:color w:val="auto"/>
          <w:szCs w:val="21"/>
        </w:rPr>
        <w:t>18.2</w:t>
      </w:r>
      <w:r>
        <w:rPr>
          <w:rStyle w:val="122"/>
          <w:rFonts w:ascii="宋体" w:hAnsi="宋体"/>
          <w:bCs/>
          <w:color w:val="auto"/>
          <w:szCs w:val="21"/>
        </w:rPr>
        <w:t>未按要求加密的投标文件，</w:t>
      </w:r>
      <w:r>
        <w:rPr>
          <w:rStyle w:val="122"/>
          <w:rFonts w:hint="eastAsia" w:ascii="宋体" w:hAnsi="宋体"/>
          <w:color w:val="auto"/>
          <w:u w:val="single"/>
        </w:rPr>
        <w:t>广州公共资源交易中心</w:t>
      </w:r>
      <w:r>
        <w:rPr>
          <w:rStyle w:val="122"/>
          <w:rFonts w:ascii="宋体" w:hAnsi="宋体"/>
          <w:bCs/>
          <w:color w:val="auto"/>
          <w:szCs w:val="21"/>
        </w:rPr>
        <w:t>交易平</w:t>
      </w:r>
      <w:r>
        <w:rPr>
          <w:rStyle w:val="122"/>
          <w:rFonts w:ascii="宋体" w:hAnsi="宋体"/>
          <w:color w:val="auto"/>
          <w:szCs w:val="21"/>
        </w:rPr>
        <w:t>台</w:t>
      </w:r>
      <w:r>
        <w:rPr>
          <w:rStyle w:val="122"/>
          <w:rFonts w:ascii="宋体" w:hAnsi="宋体"/>
          <w:bCs/>
          <w:color w:val="auto"/>
          <w:szCs w:val="21"/>
        </w:rPr>
        <w:t>将予以拒收。</w:t>
      </w:r>
    </w:p>
    <w:p w14:paraId="281DDA04">
      <w:pPr>
        <w:spacing w:line="360" w:lineRule="auto"/>
        <w:ind w:firstLine="422" w:firstLineChars="200"/>
        <w:rPr>
          <w:rStyle w:val="122"/>
          <w:rFonts w:ascii="宋体" w:hAnsi="宋体"/>
          <w:b/>
          <w:color w:val="auto"/>
          <w:szCs w:val="21"/>
        </w:rPr>
      </w:pPr>
      <w:r>
        <w:rPr>
          <w:rStyle w:val="122"/>
          <w:rFonts w:ascii="宋体" w:hAnsi="宋体"/>
          <w:b/>
          <w:color w:val="auto"/>
          <w:szCs w:val="21"/>
        </w:rPr>
        <w:t>条款号：19.1          修改类型：修改</w:t>
      </w:r>
    </w:p>
    <w:p w14:paraId="4974B2EB">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color w:val="auto"/>
          <w:szCs w:val="21"/>
        </w:rPr>
        <w:t>19.1</w:t>
      </w:r>
      <w:r>
        <w:rPr>
          <w:rStyle w:val="122"/>
          <w:rFonts w:ascii="宋体" w:hAnsi="宋体"/>
          <w:bCs/>
          <w:color w:val="auto"/>
          <w:szCs w:val="21"/>
        </w:rPr>
        <w:t>投标人通过</w:t>
      </w:r>
      <w:r>
        <w:rPr>
          <w:rStyle w:val="122"/>
          <w:rFonts w:ascii="宋体" w:hAnsi="宋体"/>
          <w:color w:val="auto"/>
          <w:szCs w:val="21"/>
          <w:u w:val="single"/>
        </w:rPr>
        <w:t xml:space="preserve">        </w:t>
      </w:r>
      <w:r>
        <w:rPr>
          <w:rStyle w:val="122"/>
          <w:rFonts w:ascii="宋体" w:hAnsi="宋体"/>
          <w:color w:val="auto"/>
          <w:szCs w:val="21"/>
        </w:rPr>
        <w:t>交易平台递交电子投标文件。</w:t>
      </w:r>
    </w:p>
    <w:p w14:paraId="4297F451">
      <w:pPr>
        <w:pBdr>
          <w:bottom w:val="single" w:color="000000" w:sz="6" w:space="1"/>
        </w:pBdr>
        <w:spacing w:line="360" w:lineRule="auto"/>
        <w:ind w:firstLine="422" w:firstLineChars="200"/>
        <w:rPr>
          <w:rStyle w:val="122"/>
          <w:rFonts w:ascii="宋体" w:hAnsi="宋体"/>
          <w:color w:val="auto"/>
          <w:szCs w:val="21"/>
        </w:rPr>
      </w:pPr>
      <w:r>
        <w:rPr>
          <w:rStyle w:val="122"/>
          <w:rFonts w:ascii="宋体" w:hAnsi="宋体"/>
          <w:b/>
          <w:color w:val="auto"/>
          <w:szCs w:val="21"/>
        </w:rPr>
        <w:t>现文：</w:t>
      </w:r>
      <w:r>
        <w:rPr>
          <w:rStyle w:val="122"/>
          <w:rFonts w:ascii="宋体" w:hAnsi="宋体"/>
          <w:color w:val="auto"/>
          <w:szCs w:val="21"/>
        </w:rPr>
        <w:t>19.1</w:t>
      </w:r>
      <w:r>
        <w:rPr>
          <w:rStyle w:val="122"/>
          <w:rFonts w:ascii="宋体" w:hAnsi="宋体"/>
          <w:bCs/>
          <w:color w:val="auto"/>
          <w:szCs w:val="21"/>
        </w:rPr>
        <w:t>投标人通过</w:t>
      </w:r>
      <w:r>
        <w:rPr>
          <w:rStyle w:val="122"/>
          <w:rFonts w:hint="eastAsia" w:ascii="宋体" w:hAnsi="宋体"/>
          <w:color w:val="auto"/>
          <w:u w:val="single"/>
        </w:rPr>
        <w:t>广州公共资源交易中心</w:t>
      </w:r>
      <w:r>
        <w:rPr>
          <w:rStyle w:val="122"/>
          <w:rFonts w:ascii="宋体" w:hAnsi="宋体"/>
          <w:bCs/>
          <w:color w:val="auto"/>
          <w:szCs w:val="21"/>
        </w:rPr>
        <w:t>交易平</w:t>
      </w:r>
      <w:r>
        <w:rPr>
          <w:rStyle w:val="122"/>
          <w:rFonts w:ascii="宋体" w:hAnsi="宋体"/>
          <w:color w:val="auto"/>
          <w:szCs w:val="21"/>
        </w:rPr>
        <w:t>台递交电子投标文件。</w:t>
      </w:r>
    </w:p>
    <w:p w14:paraId="2F292292">
      <w:pPr>
        <w:spacing w:line="360" w:lineRule="auto"/>
        <w:ind w:firstLine="422" w:firstLineChars="200"/>
        <w:rPr>
          <w:rStyle w:val="122"/>
          <w:rFonts w:ascii="宋体" w:hAnsi="宋体"/>
          <w:b/>
          <w:color w:val="auto"/>
          <w:szCs w:val="21"/>
        </w:rPr>
      </w:pPr>
      <w:r>
        <w:rPr>
          <w:rStyle w:val="122"/>
          <w:rFonts w:ascii="宋体" w:hAnsi="宋体"/>
          <w:b/>
          <w:color w:val="auto"/>
          <w:szCs w:val="21"/>
        </w:rPr>
        <w:t>条款号：19.2          修改类型：修改</w:t>
      </w:r>
    </w:p>
    <w:p w14:paraId="03914509">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color w:val="auto"/>
          <w:szCs w:val="21"/>
        </w:rPr>
        <w:t>19.2</w:t>
      </w:r>
      <w:r>
        <w:rPr>
          <w:rStyle w:val="122"/>
          <w:rFonts w:ascii="宋体" w:hAnsi="宋体"/>
          <w:bCs/>
          <w:color w:val="auto"/>
          <w:szCs w:val="21"/>
        </w:rPr>
        <w:t>投标人完成电子</w:t>
      </w:r>
      <w:r>
        <w:rPr>
          <w:rStyle w:val="122"/>
          <w:rFonts w:ascii="宋体" w:hAnsi="宋体"/>
          <w:color w:val="auto"/>
          <w:szCs w:val="21"/>
        </w:rPr>
        <w:t>投标文件</w:t>
      </w:r>
      <w:r>
        <w:rPr>
          <w:rStyle w:val="122"/>
          <w:rFonts w:ascii="宋体" w:hAnsi="宋体"/>
          <w:bCs/>
          <w:color w:val="auto"/>
          <w:szCs w:val="21"/>
        </w:rPr>
        <w:t>上传后，</w:t>
      </w:r>
      <w:r>
        <w:rPr>
          <w:rStyle w:val="122"/>
          <w:rFonts w:ascii="宋体" w:hAnsi="宋体"/>
          <w:color w:val="auto"/>
          <w:szCs w:val="21"/>
          <w:u w:val="single"/>
        </w:rPr>
        <w:t xml:space="preserve">        </w:t>
      </w:r>
      <w:r>
        <w:rPr>
          <w:rStyle w:val="122"/>
          <w:rFonts w:ascii="宋体" w:hAnsi="宋体"/>
          <w:color w:val="auto"/>
          <w:szCs w:val="21"/>
        </w:rPr>
        <w:t>交易平台即时向投标人发出递交回执通知。递交时间以递交回执通知载明的传输完成时间为准。</w:t>
      </w:r>
    </w:p>
    <w:p w14:paraId="122FB1AC">
      <w:pPr>
        <w:pBdr>
          <w:bottom w:val="single" w:color="000000" w:sz="6" w:space="1"/>
        </w:pBdr>
        <w:spacing w:line="360" w:lineRule="auto"/>
        <w:ind w:firstLine="422" w:firstLineChars="200"/>
        <w:rPr>
          <w:rStyle w:val="122"/>
          <w:rFonts w:ascii="宋体" w:hAnsi="宋体"/>
          <w:color w:val="auto"/>
          <w:szCs w:val="21"/>
        </w:rPr>
      </w:pPr>
      <w:r>
        <w:rPr>
          <w:rStyle w:val="122"/>
          <w:rFonts w:ascii="宋体" w:hAnsi="宋体"/>
          <w:b/>
          <w:color w:val="auto"/>
          <w:szCs w:val="21"/>
        </w:rPr>
        <w:t>现文：</w:t>
      </w:r>
      <w:r>
        <w:rPr>
          <w:rStyle w:val="122"/>
          <w:rFonts w:ascii="宋体" w:hAnsi="宋体"/>
          <w:color w:val="auto"/>
          <w:szCs w:val="21"/>
        </w:rPr>
        <w:t>19.2</w:t>
      </w:r>
      <w:r>
        <w:rPr>
          <w:rStyle w:val="122"/>
          <w:rFonts w:ascii="宋体" w:hAnsi="宋体"/>
          <w:bCs/>
          <w:color w:val="auto"/>
          <w:szCs w:val="21"/>
        </w:rPr>
        <w:t>投标人完成电子</w:t>
      </w:r>
      <w:r>
        <w:rPr>
          <w:rStyle w:val="122"/>
          <w:rFonts w:ascii="宋体" w:hAnsi="宋体"/>
          <w:color w:val="auto"/>
          <w:szCs w:val="21"/>
        </w:rPr>
        <w:t>投标文件</w:t>
      </w:r>
      <w:r>
        <w:rPr>
          <w:rStyle w:val="122"/>
          <w:rFonts w:ascii="宋体" w:hAnsi="宋体"/>
          <w:bCs/>
          <w:color w:val="auto"/>
          <w:szCs w:val="21"/>
        </w:rPr>
        <w:t>上传后，</w:t>
      </w:r>
      <w:r>
        <w:rPr>
          <w:rStyle w:val="122"/>
          <w:rFonts w:hint="eastAsia" w:ascii="宋体" w:hAnsi="宋体"/>
          <w:color w:val="auto"/>
          <w:u w:val="single"/>
        </w:rPr>
        <w:t>广州公共资源交易中心</w:t>
      </w:r>
      <w:r>
        <w:rPr>
          <w:rStyle w:val="122"/>
          <w:rFonts w:ascii="宋体" w:hAnsi="宋体"/>
          <w:color w:val="auto"/>
          <w:szCs w:val="21"/>
        </w:rPr>
        <w:t>交易平台即时向投标人发出递交回执通知。递交时间以递交回执通知载明的传输完成时间为准。</w:t>
      </w:r>
    </w:p>
    <w:p w14:paraId="1468A193">
      <w:pPr>
        <w:spacing w:line="360" w:lineRule="auto"/>
        <w:ind w:firstLine="422" w:firstLineChars="200"/>
        <w:rPr>
          <w:rStyle w:val="122"/>
          <w:rFonts w:ascii="宋体" w:hAnsi="宋体"/>
          <w:b/>
          <w:color w:val="auto"/>
          <w:szCs w:val="21"/>
        </w:rPr>
      </w:pPr>
      <w:r>
        <w:rPr>
          <w:rStyle w:val="122"/>
          <w:rFonts w:ascii="宋体" w:hAnsi="宋体"/>
          <w:b/>
          <w:color w:val="auto"/>
          <w:szCs w:val="21"/>
        </w:rPr>
        <w:t>条款号：19.3          修改类型：修改</w:t>
      </w:r>
    </w:p>
    <w:p w14:paraId="495C6E8C">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bCs/>
          <w:color w:val="auto"/>
          <w:szCs w:val="21"/>
        </w:rPr>
        <w:t>逾期送达的电子投标文件，</w:t>
      </w:r>
      <w:r>
        <w:rPr>
          <w:rStyle w:val="122"/>
          <w:rFonts w:ascii="宋体" w:hAnsi="宋体"/>
          <w:color w:val="auto"/>
          <w:szCs w:val="21"/>
          <w:u w:val="single"/>
        </w:rPr>
        <w:t xml:space="preserve">        </w:t>
      </w:r>
      <w:r>
        <w:rPr>
          <w:rStyle w:val="122"/>
          <w:rFonts w:ascii="宋体" w:hAnsi="宋体"/>
          <w:color w:val="auto"/>
          <w:szCs w:val="21"/>
        </w:rPr>
        <w:t>交易平台将予以拒收。</w:t>
      </w:r>
    </w:p>
    <w:p w14:paraId="10D4A464">
      <w:pPr>
        <w:pBdr>
          <w:bottom w:val="single" w:color="000000" w:sz="6" w:space="1"/>
        </w:pBdr>
        <w:spacing w:line="360" w:lineRule="auto"/>
        <w:ind w:firstLine="422" w:firstLineChars="200"/>
        <w:rPr>
          <w:rStyle w:val="122"/>
          <w:rFonts w:ascii="宋体" w:hAnsi="宋体"/>
          <w:color w:val="auto"/>
          <w:szCs w:val="21"/>
        </w:rPr>
      </w:pPr>
      <w:r>
        <w:rPr>
          <w:rStyle w:val="122"/>
          <w:rFonts w:ascii="宋体" w:hAnsi="宋体"/>
          <w:b/>
          <w:color w:val="auto"/>
          <w:szCs w:val="21"/>
        </w:rPr>
        <w:t>现文：</w:t>
      </w:r>
      <w:r>
        <w:rPr>
          <w:rStyle w:val="122"/>
          <w:rFonts w:ascii="宋体" w:hAnsi="宋体"/>
          <w:bCs/>
          <w:color w:val="auto"/>
          <w:szCs w:val="21"/>
        </w:rPr>
        <w:t>逾期送达的电子投标文件，</w:t>
      </w:r>
      <w:r>
        <w:rPr>
          <w:rStyle w:val="122"/>
          <w:rFonts w:hint="eastAsia" w:ascii="宋体" w:hAnsi="宋体"/>
          <w:color w:val="auto"/>
          <w:u w:val="single"/>
        </w:rPr>
        <w:t>广州公共资源交易中心</w:t>
      </w:r>
      <w:r>
        <w:rPr>
          <w:rStyle w:val="122"/>
          <w:rFonts w:ascii="宋体" w:hAnsi="宋体"/>
          <w:color w:val="auto"/>
          <w:szCs w:val="21"/>
        </w:rPr>
        <w:t>交易平台将予以拒收。</w:t>
      </w:r>
    </w:p>
    <w:p w14:paraId="012E3546">
      <w:pPr>
        <w:spacing w:line="360" w:lineRule="auto"/>
        <w:ind w:firstLine="422" w:firstLineChars="200"/>
        <w:rPr>
          <w:rStyle w:val="122"/>
          <w:rFonts w:ascii="宋体" w:hAnsi="宋体"/>
          <w:b/>
          <w:color w:val="auto"/>
          <w:szCs w:val="21"/>
        </w:rPr>
      </w:pPr>
      <w:r>
        <w:rPr>
          <w:rStyle w:val="122"/>
          <w:rFonts w:ascii="宋体" w:hAnsi="宋体"/>
          <w:b/>
          <w:color w:val="auto"/>
          <w:szCs w:val="21"/>
        </w:rPr>
        <w:t>条款号：19.5          修改类型：修改</w:t>
      </w:r>
    </w:p>
    <w:p w14:paraId="08389CEF">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color w:val="auto"/>
          <w:szCs w:val="21"/>
        </w:rPr>
        <w:t>19.5如技术标和经济标先后分别开启，</w:t>
      </w:r>
      <w:r>
        <w:rPr>
          <w:rStyle w:val="122"/>
          <w:rFonts w:ascii="宋体" w:hAnsi="宋体"/>
          <w:color w:val="auto"/>
          <w:szCs w:val="21"/>
          <w:u w:val="single"/>
        </w:rPr>
        <w:t xml:space="preserve">        </w:t>
      </w:r>
      <w:r>
        <w:rPr>
          <w:rStyle w:val="122"/>
          <w:rFonts w:ascii="宋体" w:hAnsi="宋体"/>
          <w:color w:val="auto"/>
          <w:szCs w:val="21"/>
        </w:rPr>
        <w:t>交易平台将按招标文件规定的时间分别开启技术标和经济标。</w:t>
      </w:r>
    </w:p>
    <w:p w14:paraId="1FB66675">
      <w:pPr>
        <w:pBdr>
          <w:bottom w:val="single" w:color="000000" w:sz="6" w:space="1"/>
        </w:pBdr>
        <w:spacing w:line="360" w:lineRule="auto"/>
        <w:ind w:firstLine="422" w:firstLineChars="200"/>
        <w:rPr>
          <w:rStyle w:val="122"/>
          <w:rFonts w:ascii="宋体" w:hAnsi="宋体"/>
          <w:color w:val="auto"/>
          <w:szCs w:val="21"/>
        </w:rPr>
      </w:pPr>
      <w:r>
        <w:rPr>
          <w:rStyle w:val="122"/>
          <w:rFonts w:ascii="宋体" w:hAnsi="宋体"/>
          <w:b/>
          <w:color w:val="auto"/>
          <w:szCs w:val="21"/>
        </w:rPr>
        <w:t>现文：</w:t>
      </w:r>
      <w:r>
        <w:rPr>
          <w:rStyle w:val="122"/>
          <w:rFonts w:ascii="宋体" w:hAnsi="宋体"/>
          <w:color w:val="auto"/>
          <w:szCs w:val="21"/>
        </w:rPr>
        <w:t>19.5如技术标和经济标</w:t>
      </w:r>
      <w:r>
        <w:rPr>
          <w:rStyle w:val="122"/>
          <w:rFonts w:hint="eastAsia" w:ascii="宋体" w:hAnsi="宋体"/>
          <w:color w:val="auto"/>
          <w:szCs w:val="21"/>
        </w:rPr>
        <w:t>同时</w:t>
      </w:r>
      <w:r>
        <w:rPr>
          <w:rStyle w:val="122"/>
          <w:rFonts w:ascii="宋体" w:hAnsi="宋体"/>
          <w:color w:val="auto"/>
          <w:szCs w:val="21"/>
        </w:rPr>
        <w:t>开启，</w:t>
      </w:r>
      <w:r>
        <w:rPr>
          <w:rStyle w:val="122"/>
          <w:rFonts w:hint="eastAsia" w:ascii="宋体" w:hAnsi="宋体"/>
          <w:color w:val="auto"/>
          <w:u w:val="single"/>
        </w:rPr>
        <w:t>广州公共资源交易中心</w:t>
      </w:r>
      <w:r>
        <w:rPr>
          <w:rStyle w:val="122"/>
          <w:rFonts w:ascii="宋体" w:hAnsi="宋体"/>
          <w:color w:val="auto"/>
          <w:szCs w:val="21"/>
        </w:rPr>
        <w:t>交易平台将按招标文件规定的时间</w:t>
      </w:r>
      <w:r>
        <w:rPr>
          <w:rStyle w:val="122"/>
          <w:rFonts w:hint="eastAsia" w:ascii="宋体" w:hAnsi="宋体"/>
          <w:color w:val="auto"/>
          <w:szCs w:val="21"/>
        </w:rPr>
        <w:t>同时</w:t>
      </w:r>
      <w:r>
        <w:rPr>
          <w:rStyle w:val="122"/>
          <w:rFonts w:ascii="宋体" w:hAnsi="宋体"/>
          <w:color w:val="auto"/>
          <w:szCs w:val="21"/>
        </w:rPr>
        <w:t>开启技术标和经济标。</w:t>
      </w:r>
    </w:p>
    <w:p w14:paraId="7761812B">
      <w:pPr>
        <w:spacing w:line="360" w:lineRule="auto"/>
        <w:ind w:firstLine="422" w:firstLineChars="200"/>
        <w:rPr>
          <w:rStyle w:val="122"/>
          <w:rFonts w:ascii="宋体" w:hAnsi="宋体"/>
          <w:b/>
          <w:color w:val="auto"/>
          <w:szCs w:val="21"/>
        </w:rPr>
      </w:pPr>
      <w:r>
        <w:rPr>
          <w:rStyle w:val="122"/>
          <w:rFonts w:ascii="宋体" w:hAnsi="宋体"/>
          <w:b/>
          <w:color w:val="auto"/>
          <w:szCs w:val="21"/>
        </w:rPr>
        <w:t>条款号：21.1          修改类型：修改</w:t>
      </w:r>
    </w:p>
    <w:p w14:paraId="69410908">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color w:val="auto"/>
          <w:szCs w:val="21"/>
        </w:rPr>
        <w:t>21.1本须知前附表第17项规定的投标截止时间</w:t>
      </w:r>
      <w:r>
        <w:rPr>
          <w:rStyle w:val="122"/>
          <w:rFonts w:ascii="宋体" w:hAnsi="宋体"/>
          <w:bCs/>
          <w:color w:val="auto"/>
          <w:szCs w:val="21"/>
        </w:rPr>
        <w:t>后送达的电子投标文件，</w:t>
      </w:r>
      <w:r>
        <w:rPr>
          <w:rStyle w:val="122"/>
          <w:rFonts w:ascii="宋体" w:hAnsi="宋体"/>
          <w:color w:val="auto"/>
          <w:szCs w:val="21"/>
          <w:u w:val="single"/>
        </w:rPr>
        <w:t xml:space="preserve">       </w:t>
      </w:r>
      <w:r>
        <w:rPr>
          <w:rStyle w:val="122"/>
          <w:rFonts w:ascii="宋体" w:hAnsi="宋体"/>
          <w:color w:val="auto"/>
          <w:szCs w:val="21"/>
        </w:rPr>
        <w:t>交易平台将予以拒收。</w:t>
      </w:r>
    </w:p>
    <w:p w14:paraId="78FD5BB0">
      <w:pPr>
        <w:pBdr>
          <w:bottom w:val="single" w:color="000000" w:sz="6" w:space="1"/>
        </w:pBdr>
        <w:spacing w:line="360" w:lineRule="auto"/>
        <w:ind w:firstLine="422" w:firstLineChars="200"/>
        <w:rPr>
          <w:rStyle w:val="122"/>
          <w:rFonts w:ascii="宋体" w:hAnsi="宋体"/>
          <w:bCs/>
          <w:color w:val="auto"/>
          <w:szCs w:val="21"/>
        </w:rPr>
      </w:pPr>
      <w:r>
        <w:rPr>
          <w:rStyle w:val="122"/>
          <w:rFonts w:ascii="宋体" w:hAnsi="宋体"/>
          <w:b/>
          <w:color w:val="auto"/>
          <w:szCs w:val="21"/>
        </w:rPr>
        <w:t>现文：</w:t>
      </w:r>
      <w:r>
        <w:rPr>
          <w:rStyle w:val="122"/>
          <w:rFonts w:ascii="宋体" w:hAnsi="宋体"/>
          <w:color w:val="auto"/>
          <w:szCs w:val="21"/>
        </w:rPr>
        <w:t>21.1本须知前附表第17项规定的投标截止时间</w:t>
      </w:r>
      <w:r>
        <w:rPr>
          <w:rStyle w:val="122"/>
          <w:rFonts w:ascii="宋体" w:hAnsi="宋体"/>
          <w:bCs/>
          <w:color w:val="auto"/>
          <w:szCs w:val="21"/>
        </w:rPr>
        <w:t>后送达的电子投标文件，</w:t>
      </w:r>
      <w:r>
        <w:rPr>
          <w:rStyle w:val="122"/>
          <w:rFonts w:hint="eastAsia" w:ascii="宋体" w:hAnsi="宋体"/>
          <w:color w:val="auto"/>
          <w:u w:val="single"/>
        </w:rPr>
        <w:t>广州公共资源交易中心</w:t>
      </w:r>
      <w:r>
        <w:rPr>
          <w:rStyle w:val="122"/>
          <w:rFonts w:ascii="宋体" w:hAnsi="宋体"/>
          <w:bCs/>
          <w:color w:val="auto"/>
          <w:szCs w:val="21"/>
        </w:rPr>
        <w:t>交易平台将予以拒收。</w:t>
      </w:r>
    </w:p>
    <w:p w14:paraId="6D1AEBA4">
      <w:pPr>
        <w:spacing w:line="360" w:lineRule="auto"/>
        <w:ind w:firstLine="422" w:firstLineChars="200"/>
        <w:rPr>
          <w:rStyle w:val="122"/>
          <w:rFonts w:ascii="宋体" w:hAnsi="宋体"/>
          <w:b/>
          <w:color w:val="auto"/>
          <w:szCs w:val="21"/>
        </w:rPr>
      </w:pPr>
      <w:r>
        <w:rPr>
          <w:rStyle w:val="122"/>
          <w:rFonts w:ascii="宋体" w:hAnsi="宋体"/>
          <w:b/>
          <w:color w:val="auto"/>
          <w:szCs w:val="21"/>
        </w:rPr>
        <w:t>条款号：27.1          修改类型：修改</w:t>
      </w:r>
    </w:p>
    <w:p w14:paraId="7D41DF9C">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color w:val="auto"/>
          <w:szCs w:val="21"/>
        </w:rPr>
        <w:t>27.1</w:t>
      </w:r>
      <w:r>
        <w:rPr>
          <w:rStyle w:val="122"/>
          <w:rFonts w:hint="eastAsia" w:ascii="宋体" w:hAnsi="宋体"/>
          <w:color w:val="auto"/>
          <w:szCs w:val="21"/>
        </w:rPr>
        <w:t>招标人将在</w:t>
      </w:r>
      <w:r>
        <w:rPr>
          <w:rStyle w:val="122"/>
          <w:rFonts w:hint="eastAsia" w:ascii="宋体" w:hAnsi="宋体"/>
          <w:color w:val="auto"/>
          <w:szCs w:val="21"/>
          <w:u w:val="single"/>
        </w:rPr>
        <w:t xml:space="preserve">    </w:t>
      </w:r>
      <w:r>
        <w:rPr>
          <w:rStyle w:val="122"/>
          <w:rFonts w:hint="eastAsia" w:ascii="宋体" w:hAnsi="宋体"/>
          <w:color w:val="auto"/>
          <w:szCs w:val="21"/>
        </w:rPr>
        <w:t>交易平台、广东省招标投标监管网和中国招标投标公共服务平台公示中标候选人，公示期为三天。……</w:t>
      </w:r>
    </w:p>
    <w:p w14:paraId="5C88272F">
      <w:pPr>
        <w:pBdr>
          <w:bottom w:val="single" w:color="000000" w:sz="6" w:space="1"/>
        </w:pBdr>
        <w:spacing w:line="360" w:lineRule="auto"/>
        <w:ind w:firstLine="422" w:firstLineChars="200"/>
        <w:rPr>
          <w:rStyle w:val="122"/>
          <w:rFonts w:ascii="宋体" w:hAnsi="宋体"/>
          <w:color w:val="auto"/>
          <w:szCs w:val="21"/>
          <w:u w:val="single"/>
        </w:rPr>
      </w:pPr>
      <w:r>
        <w:rPr>
          <w:rStyle w:val="122"/>
          <w:rFonts w:ascii="宋体" w:hAnsi="宋体"/>
          <w:b/>
          <w:color w:val="auto"/>
          <w:szCs w:val="21"/>
        </w:rPr>
        <w:t>现文：</w:t>
      </w:r>
      <w:r>
        <w:rPr>
          <w:rStyle w:val="122"/>
          <w:rFonts w:ascii="宋体" w:hAnsi="宋体"/>
          <w:color w:val="auto"/>
          <w:szCs w:val="21"/>
        </w:rPr>
        <w:t>27.1招标人将在</w:t>
      </w:r>
      <w:r>
        <w:rPr>
          <w:rStyle w:val="122"/>
          <w:rFonts w:hint="eastAsia" w:ascii="宋体" w:hAnsi="宋体"/>
          <w:color w:val="auto"/>
          <w:u w:val="single"/>
        </w:rPr>
        <w:t>广州公共资源交易中心</w:t>
      </w:r>
      <w:r>
        <w:rPr>
          <w:rStyle w:val="122"/>
          <w:rFonts w:hint="eastAsia" w:ascii="宋体" w:hAnsi="宋体"/>
          <w:color w:val="auto"/>
          <w:szCs w:val="21"/>
        </w:rPr>
        <w:t>交易平台、广东省招标投标监管网和中国招标投标公共服务平台公示中标候选人，公示期为三天。……</w:t>
      </w:r>
    </w:p>
    <w:p w14:paraId="55AE4B05">
      <w:pPr>
        <w:spacing w:line="360" w:lineRule="auto"/>
        <w:ind w:firstLine="422" w:firstLineChars="200"/>
        <w:rPr>
          <w:rStyle w:val="122"/>
          <w:rFonts w:ascii="宋体" w:hAnsi="宋体"/>
          <w:b/>
          <w:color w:val="auto"/>
          <w:szCs w:val="21"/>
        </w:rPr>
      </w:pPr>
      <w:r>
        <w:rPr>
          <w:rStyle w:val="122"/>
          <w:rFonts w:ascii="宋体" w:hAnsi="宋体"/>
          <w:b/>
          <w:color w:val="auto"/>
          <w:szCs w:val="21"/>
        </w:rPr>
        <w:t>条款号：27.4          修改类型：修改</w:t>
      </w:r>
    </w:p>
    <w:p w14:paraId="1F78E88C">
      <w:pPr>
        <w:spacing w:line="360" w:lineRule="auto"/>
        <w:ind w:firstLine="422" w:firstLineChars="200"/>
        <w:rPr>
          <w:rStyle w:val="122"/>
          <w:rFonts w:ascii="宋体" w:hAnsi="宋体"/>
          <w:b/>
          <w:color w:val="auto"/>
          <w:szCs w:val="21"/>
        </w:rPr>
      </w:pPr>
      <w:r>
        <w:rPr>
          <w:rStyle w:val="122"/>
          <w:rFonts w:ascii="宋体" w:hAnsi="宋体"/>
          <w:b/>
          <w:color w:val="auto"/>
          <w:szCs w:val="21"/>
        </w:rPr>
        <w:t>原文：</w:t>
      </w:r>
      <w:r>
        <w:rPr>
          <w:rStyle w:val="122"/>
          <w:rFonts w:ascii="宋体" w:hAnsi="宋体"/>
          <w:color w:val="auto"/>
          <w:szCs w:val="21"/>
        </w:rPr>
        <w:t>27.4</w:t>
      </w:r>
      <w:r>
        <w:rPr>
          <w:rFonts w:hint="eastAsia" w:ascii="宋体" w:hAnsi="宋体"/>
          <w:color w:val="auto"/>
          <w:szCs w:val="21"/>
        </w:rPr>
        <w:t>在产生中标候选人后，招标人将中标候选人的投标文件商务部分文件的所有内容（包括人员、业绩、奖项等资料）在</w:t>
      </w:r>
      <w:r>
        <w:rPr>
          <w:rFonts w:hint="eastAsia" w:ascii="宋体" w:hAnsi="宋体"/>
          <w:color w:val="auto"/>
          <w:szCs w:val="21"/>
          <w:u w:val="single"/>
        </w:rPr>
        <w:t xml:space="preserve">       </w:t>
      </w:r>
      <w:r>
        <w:rPr>
          <w:rFonts w:hint="eastAsia" w:ascii="宋体" w:hAnsi="宋体"/>
          <w:color w:val="auto"/>
          <w:szCs w:val="21"/>
        </w:rPr>
        <w:t xml:space="preserve"> 交易平台和广东省招标投标监管网公开。</w:t>
      </w:r>
    </w:p>
    <w:p w14:paraId="69CD46C9">
      <w:pPr>
        <w:pBdr>
          <w:bottom w:val="single" w:color="000000" w:sz="6" w:space="1"/>
        </w:pBdr>
        <w:spacing w:line="360" w:lineRule="auto"/>
        <w:ind w:firstLine="422" w:firstLineChars="200"/>
        <w:rPr>
          <w:rStyle w:val="122"/>
          <w:rFonts w:ascii="宋体" w:hAnsi="宋体"/>
          <w:color w:val="auto"/>
          <w:szCs w:val="21"/>
        </w:rPr>
      </w:pPr>
      <w:r>
        <w:rPr>
          <w:rStyle w:val="122"/>
          <w:rFonts w:ascii="宋体" w:hAnsi="宋体"/>
          <w:b/>
          <w:color w:val="auto"/>
          <w:szCs w:val="21"/>
        </w:rPr>
        <w:t>现文：</w:t>
      </w:r>
      <w:r>
        <w:rPr>
          <w:rStyle w:val="122"/>
          <w:rFonts w:ascii="宋体" w:hAnsi="宋体"/>
          <w:color w:val="auto"/>
          <w:szCs w:val="21"/>
        </w:rPr>
        <w:t>27.4</w:t>
      </w:r>
      <w:r>
        <w:rPr>
          <w:rFonts w:hint="eastAsia" w:ascii="宋体" w:hAnsi="宋体"/>
          <w:color w:val="auto"/>
          <w:szCs w:val="21"/>
        </w:rPr>
        <w:t>在产生中标候选人后，招标人将中标候选人的投标文件商务部分文件的所有内容（包括人员、业绩、奖项等资料）</w:t>
      </w:r>
      <w:r>
        <w:rPr>
          <w:rFonts w:ascii="宋体" w:hAnsi="宋体"/>
          <w:color w:val="auto"/>
          <w:szCs w:val="21"/>
        </w:rPr>
        <w:t>在</w:t>
      </w:r>
      <w:r>
        <w:rPr>
          <w:rStyle w:val="122"/>
          <w:rFonts w:hint="eastAsia" w:ascii="宋体" w:hAnsi="宋体"/>
          <w:color w:val="auto"/>
          <w:u w:val="single"/>
        </w:rPr>
        <w:t>广州公共资源交易中心</w:t>
      </w:r>
      <w:r>
        <w:rPr>
          <w:rFonts w:ascii="宋体" w:hAnsi="宋体"/>
          <w:color w:val="auto"/>
          <w:szCs w:val="21"/>
        </w:rPr>
        <w:t>交易平台和广东省招标投标监管网公开。</w:t>
      </w:r>
    </w:p>
    <w:p w14:paraId="182F98D4">
      <w:pPr>
        <w:spacing w:before="156" w:beforeLines="50" w:line="360" w:lineRule="auto"/>
        <w:ind w:firstLine="527" w:firstLineChars="250"/>
        <w:rPr>
          <w:rFonts w:ascii="宋体" w:hAnsi="宋体" w:cs="宋体"/>
          <w:b/>
          <w:color w:val="auto"/>
          <w:szCs w:val="21"/>
        </w:rPr>
      </w:pPr>
      <w:r>
        <w:rPr>
          <w:rFonts w:hint="eastAsia" w:ascii="宋体" w:hAnsi="宋体" w:cs="宋体"/>
          <w:b/>
          <w:color w:val="auto"/>
          <w:szCs w:val="21"/>
        </w:rPr>
        <w:t>条款号：29.2                               修改类型：修改</w:t>
      </w:r>
    </w:p>
    <w:p w14:paraId="0E0377B0">
      <w:pPr>
        <w:spacing w:line="360" w:lineRule="auto"/>
        <w:ind w:firstLine="527" w:firstLineChars="250"/>
        <w:rPr>
          <w:rFonts w:ascii="宋体" w:hAnsi="宋体" w:cs="宋体"/>
          <w:b/>
          <w:color w:val="auto"/>
          <w:szCs w:val="21"/>
        </w:rPr>
      </w:pPr>
      <w:r>
        <w:rPr>
          <w:rFonts w:hint="eastAsia" w:ascii="宋体" w:hAnsi="宋体" w:cs="宋体"/>
          <w:b/>
          <w:color w:val="auto"/>
          <w:szCs w:val="21"/>
        </w:rPr>
        <w:t>原文：</w:t>
      </w:r>
      <w:r>
        <w:rPr>
          <w:rFonts w:hint="eastAsia" w:ascii="宋体" w:hAnsi="宋体" w:cs="宋体"/>
          <w:color w:val="auto"/>
          <w:szCs w:val="21"/>
        </w:rPr>
        <w:t xml:space="preserve"> 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3E5CD6F">
      <w:pPr>
        <w:pBdr>
          <w:bottom w:val="single" w:color="auto" w:sz="6" w:space="1"/>
        </w:pBdr>
        <w:spacing w:line="360" w:lineRule="auto"/>
        <w:ind w:firstLine="527" w:firstLineChars="250"/>
        <w:rPr>
          <w:rFonts w:ascii="宋体" w:hAnsi="宋体" w:cs="宋体"/>
          <w:color w:val="auto"/>
          <w:szCs w:val="21"/>
        </w:rPr>
      </w:pPr>
      <w:r>
        <w:rPr>
          <w:rFonts w:hint="eastAsia" w:ascii="宋体" w:hAnsi="宋体" w:cs="宋体"/>
          <w:b/>
          <w:color w:val="auto"/>
          <w:szCs w:val="21"/>
        </w:rPr>
        <w:t>现文：</w:t>
      </w:r>
      <w:r>
        <w:rPr>
          <w:rFonts w:hint="eastAsia" w:ascii="宋体" w:hAnsi="宋体" w:cs="宋体"/>
          <w:color w:val="auto"/>
          <w:szCs w:val="21"/>
        </w:rPr>
        <w:t>29.2</w:t>
      </w:r>
      <w:r>
        <w:rPr>
          <w:rFonts w:hint="eastAsia" w:ascii="宋体" w:hAnsi="宋体" w:cs="宋体"/>
          <w:color w:val="auto"/>
          <w:szCs w:val="21"/>
          <w:u w:val="single"/>
        </w:rPr>
        <w:t>在签订合同后的30日内</w:t>
      </w:r>
      <w:r>
        <w:rPr>
          <w:rFonts w:hint="eastAsia" w:ascii="宋体" w:hAnsi="宋体" w:cs="宋体"/>
          <w:color w:val="auto"/>
          <w:szCs w:val="21"/>
        </w:rPr>
        <w:t>，中标人未按上款的规定提交履约担保，招标人将解除中标通知书，原中标人依法承担相应法律责任。原中标人有异议的，可以向人民法院起诉。</w:t>
      </w:r>
    </w:p>
    <w:p w14:paraId="28A221D2">
      <w:pPr>
        <w:spacing w:line="360" w:lineRule="auto"/>
        <w:ind w:firstLine="211" w:firstLineChars="100"/>
        <w:rPr>
          <w:rStyle w:val="122"/>
          <w:rFonts w:ascii="宋体" w:hAnsi="宋体"/>
          <w:b/>
          <w:color w:val="auto"/>
          <w:szCs w:val="21"/>
        </w:rPr>
      </w:pPr>
      <w:r>
        <w:rPr>
          <w:rStyle w:val="122"/>
          <w:rFonts w:ascii="宋体" w:hAnsi="宋体"/>
          <w:b/>
          <w:color w:val="auto"/>
          <w:szCs w:val="21"/>
        </w:rPr>
        <w:t>注：以上修改，仅限于本范本中有可供选择条款的情形。</w:t>
      </w:r>
    </w:p>
    <w:p w14:paraId="36D565D9">
      <w:pPr>
        <w:spacing w:line="360" w:lineRule="auto"/>
        <w:rPr>
          <w:rStyle w:val="122"/>
          <w:rFonts w:ascii="宋体" w:hAnsi="宋体"/>
          <w:color w:val="auto"/>
          <w:szCs w:val="21"/>
        </w:rPr>
      </w:pPr>
      <w:r>
        <w:rPr>
          <w:rStyle w:val="122"/>
          <w:rFonts w:ascii="宋体" w:hAnsi="宋体"/>
          <w:b/>
          <w:color w:val="auto"/>
          <w:szCs w:val="21"/>
        </w:rPr>
        <w:t>（以下无正文）</w:t>
      </w:r>
    </w:p>
    <w:p w14:paraId="6BDF6E60">
      <w:pPr>
        <w:pStyle w:val="139"/>
        <w:spacing w:line="360" w:lineRule="auto"/>
        <w:outlineLvl w:val="1"/>
        <w:rPr>
          <w:rStyle w:val="122"/>
          <w:rFonts w:ascii="宋体" w:hAnsi="宋体"/>
          <w:b/>
          <w:color w:val="auto"/>
        </w:rPr>
      </w:pPr>
      <w:r>
        <w:rPr>
          <w:rStyle w:val="122"/>
          <w:rFonts w:ascii="宋体" w:hAnsi="宋体"/>
          <w:b/>
          <w:color w:val="auto"/>
        </w:rPr>
        <w:br w:type="page"/>
      </w:r>
      <w:bookmarkStart w:id="8" w:name="_Toc20070"/>
      <w:r>
        <w:rPr>
          <w:rStyle w:val="122"/>
          <w:rFonts w:ascii="宋体" w:hAnsi="宋体"/>
          <w:b/>
          <w:color w:val="auto"/>
        </w:rPr>
        <w:t>三、投标须知通用条款</w:t>
      </w:r>
      <w:bookmarkEnd w:id="8"/>
    </w:p>
    <w:p w14:paraId="523B96C0">
      <w:pPr>
        <w:pStyle w:val="3"/>
        <w:spacing w:before="156" w:beforeAutospacing="0" w:after="156" w:afterAutospacing="0" w:line="360" w:lineRule="auto"/>
        <w:rPr>
          <w:b/>
          <w:bCs/>
          <w:color w:val="auto"/>
          <w:sz w:val="21"/>
          <w:szCs w:val="21"/>
        </w:rPr>
      </w:pPr>
      <w:bookmarkStart w:id="9" w:name="_Toc18328"/>
      <w:bookmarkStart w:id="10" w:name="_Toc105014624"/>
      <w:bookmarkStart w:id="11" w:name="_Toc185324318"/>
      <w:r>
        <w:rPr>
          <w:rFonts w:hint="eastAsia"/>
          <w:b/>
          <w:bCs/>
          <w:color w:val="auto"/>
          <w:sz w:val="21"/>
          <w:szCs w:val="21"/>
        </w:rPr>
        <w:t>（一）总则</w:t>
      </w:r>
      <w:bookmarkEnd w:id="9"/>
      <w:bookmarkEnd w:id="10"/>
      <w:bookmarkEnd w:id="11"/>
    </w:p>
    <w:p w14:paraId="6539FFF2">
      <w:pPr>
        <w:pStyle w:val="22"/>
        <w:spacing w:after="0" w:line="360" w:lineRule="auto"/>
        <w:ind w:firstLine="422" w:firstLineChars="200"/>
        <w:rPr>
          <w:rFonts w:ascii="宋体" w:hAnsi="宋体"/>
          <w:b/>
          <w:bCs/>
          <w:color w:val="auto"/>
          <w:sz w:val="21"/>
          <w:szCs w:val="21"/>
        </w:rPr>
      </w:pPr>
      <w:r>
        <w:rPr>
          <w:rFonts w:ascii="宋体" w:hAnsi="宋体"/>
          <w:b/>
          <w:bCs/>
          <w:color w:val="auto"/>
          <w:sz w:val="21"/>
          <w:szCs w:val="21"/>
        </w:rPr>
        <w:t xml:space="preserve">1. </w:t>
      </w:r>
      <w:r>
        <w:rPr>
          <w:rFonts w:hint="eastAsia" w:ascii="宋体" w:hAnsi="宋体"/>
          <w:b/>
          <w:bCs/>
          <w:color w:val="auto"/>
          <w:sz w:val="21"/>
          <w:szCs w:val="21"/>
        </w:rPr>
        <w:t>定义</w:t>
      </w:r>
    </w:p>
    <w:p w14:paraId="230FA890">
      <w:pPr>
        <w:pStyle w:val="22"/>
        <w:spacing w:after="0" w:line="360" w:lineRule="auto"/>
        <w:ind w:firstLineChars="200"/>
        <w:rPr>
          <w:rFonts w:ascii="宋体" w:hAnsi="宋体"/>
          <w:b/>
          <w:bCs/>
          <w:color w:val="auto"/>
          <w:sz w:val="21"/>
          <w:szCs w:val="21"/>
        </w:rPr>
      </w:pPr>
      <w:r>
        <w:rPr>
          <w:rFonts w:hint="eastAsia" w:ascii="宋体" w:hAnsi="宋体"/>
          <w:color w:val="auto"/>
          <w:sz w:val="21"/>
          <w:szCs w:val="21"/>
        </w:rPr>
        <w:t>本招标文件使用的下列词语具有如下规定的意义：</w:t>
      </w:r>
    </w:p>
    <w:p w14:paraId="7BFCFD39">
      <w:pPr>
        <w:pStyle w:val="22"/>
        <w:spacing w:after="0" w:line="360" w:lineRule="auto"/>
        <w:ind w:firstLineChars="200"/>
        <w:rPr>
          <w:rFonts w:ascii="宋体" w:hAnsi="宋体"/>
          <w:b/>
          <w:bCs/>
          <w:color w:val="auto"/>
          <w:sz w:val="21"/>
          <w:szCs w:val="21"/>
          <w:u w:val="single"/>
        </w:rPr>
      </w:pPr>
      <w:r>
        <w:rPr>
          <w:rFonts w:hint="eastAsia" w:ascii="宋体" w:hAnsi="宋体"/>
          <w:color w:val="auto"/>
          <w:sz w:val="21"/>
          <w:szCs w:val="21"/>
        </w:rPr>
        <w:t>（1）“招标人”（即发包人）、“项目建设管理单位”（或称“项目代建单位”）、“招标代理”、“设计单位”、“监理单位”均已在投标须知前附表中列明。</w:t>
      </w:r>
    </w:p>
    <w:p w14:paraId="4CAEA81E">
      <w:pPr>
        <w:pStyle w:val="22"/>
        <w:spacing w:after="0" w:line="360" w:lineRule="auto"/>
        <w:ind w:firstLineChars="200"/>
        <w:rPr>
          <w:rFonts w:ascii="宋体" w:hAnsi="宋体"/>
          <w:color w:val="auto"/>
          <w:sz w:val="21"/>
          <w:szCs w:val="21"/>
          <w:u w:val="single"/>
        </w:rPr>
      </w:pPr>
      <w:r>
        <w:rPr>
          <w:rFonts w:hint="eastAsia" w:ascii="宋体" w:hAnsi="宋体"/>
          <w:color w:val="auto"/>
          <w:sz w:val="21"/>
          <w:szCs w:val="21"/>
        </w:rPr>
        <w:t xml:space="preserve">（2）“投标人”指向招标人提交投标文件的当事人。   </w:t>
      </w:r>
    </w:p>
    <w:p w14:paraId="44B9C0E2">
      <w:pPr>
        <w:pStyle w:val="22"/>
        <w:spacing w:after="0" w:line="360" w:lineRule="auto"/>
        <w:ind w:firstLineChars="200"/>
        <w:rPr>
          <w:rFonts w:ascii="宋体" w:hAnsi="宋体"/>
          <w:color w:val="auto"/>
          <w:sz w:val="21"/>
          <w:szCs w:val="21"/>
        </w:rPr>
      </w:pPr>
      <w:r>
        <w:rPr>
          <w:rFonts w:hint="eastAsia" w:ascii="宋体" w:hAnsi="宋体"/>
          <w:color w:val="auto"/>
          <w:sz w:val="21"/>
          <w:szCs w:val="21"/>
        </w:rPr>
        <w:t>（3）“承包人”指其投标被招标人接受并与其签订承包合同的当事人。</w:t>
      </w:r>
    </w:p>
    <w:p w14:paraId="440B6C87">
      <w:pPr>
        <w:pStyle w:val="22"/>
        <w:spacing w:after="0" w:line="360" w:lineRule="auto"/>
        <w:ind w:firstLineChars="200"/>
        <w:rPr>
          <w:rFonts w:ascii="宋体" w:hAnsi="宋体"/>
          <w:color w:val="auto"/>
          <w:sz w:val="21"/>
          <w:szCs w:val="21"/>
          <w:u w:val="single"/>
        </w:rPr>
      </w:pPr>
      <w:r>
        <w:rPr>
          <w:rFonts w:hint="eastAsia" w:ascii="宋体" w:hAnsi="宋体"/>
          <w:color w:val="auto"/>
          <w:sz w:val="21"/>
          <w:szCs w:val="21"/>
        </w:rPr>
        <w:t>（4）“招标文件”指由招标代理发出的本文件（包括全部章节、附件）及招标答疑会会议纪要和</w:t>
      </w:r>
      <w:r>
        <w:rPr>
          <w:rFonts w:hint="eastAsia" w:ascii="宋体" w:hAnsi="宋体"/>
          <w:bCs/>
          <w:color w:val="auto"/>
          <w:sz w:val="21"/>
          <w:szCs w:val="21"/>
        </w:rPr>
        <w:t>招标文件的澄清与修改</w:t>
      </w:r>
      <w:r>
        <w:rPr>
          <w:rFonts w:hint="eastAsia" w:ascii="宋体" w:hAnsi="宋体"/>
          <w:color w:val="auto"/>
          <w:sz w:val="21"/>
          <w:szCs w:val="21"/>
        </w:rPr>
        <w:t>文件。</w:t>
      </w:r>
    </w:p>
    <w:p w14:paraId="50F2A49A">
      <w:pPr>
        <w:pStyle w:val="22"/>
        <w:spacing w:after="0" w:line="360" w:lineRule="auto"/>
        <w:ind w:firstLineChars="200"/>
        <w:rPr>
          <w:rFonts w:ascii="宋体" w:hAnsi="宋体"/>
          <w:color w:val="auto"/>
          <w:sz w:val="21"/>
          <w:szCs w:val="21"/>
        </w:rPr>
      </w:pPr>
      <w:r>
        <w:rPr>
          <w:rFonts w:hint="eastAsia" w:ascii="宋体" w:hAnsi="宋体"/>
          <w:color w:val="auto"/>
          <w:sz w:val="21"/>
          <w:szCs w:val="21"/>
        </w:rPr>
        <w:t>（5）“投标文件”指投标人根据本项目招标文件向招标人提交的全部文件。</w:t>
      </w:r>
    </w:p>
    <w:p w14:paraId="3B727A29">
      <w:pPr>
        <w:pStyle w:val="22"/>
        <w:spacing w:after="0" w:line="360" w:lineRule="auto"/>
        <w:ind w:firstLineChars="200"/>
        <w:rPr>
          <w:rFonts w:ascii="宋体" w:hAnsi="宋体"/>
          <w:color w:val="auto"/>
          <w:sz w:val="21"/>
          <w:szCs w:val="21"/>
        </w:rPr>
      </w:pPr>
      <w:r>
        <w:rPr>
          <w:rFonts w:hint="eastAsia" w:ascii="宋体" w:hAnsi="宋体"/>
          <w:color w:val="auto"/>
          <w:sz w:val="21"/>
          <w:szCs w:val="21"/>
        </w:rPr>
        <w:t>（6）“书面形式”指打字或印刷的文件和数据电文（包括电报、电传、传真、电子数据交换和电子邮件）。</w:t>
      </w:r>
    </w:p>
    <w:p w14:paraId="2D1196D1">
      <w:pPr>
        <w:spacing w:line="360" w:lineRule="auto"/>
        <w:ind w:firstLine="422" w:firstLineChars="200"/>
        <w:rPr>
          <w:rFonts w:ascii="宋体" w:hAnsi="宋体"/>
          <w:b/>
          <w:color w:val="auto"/>
          <w:szCs w:val="21"/>
        </w:rPr>
      </w:pPr>
      <w:r>
        <w:rPr>
          <w:rFonts w:ascii="宋体" w:hAnsi="宋体"/>
          <w:b/>
          <w:color w:val="auto"/>
          <w:szCs w:val="21"/>
        </w:rPr>
        <w:t xml:space="preserve">2. </w:t>
      </w:r>
      <w:r>
        <w:rPr>
          <w:rFonts w:hint="eastAsia" w:ascii="宋体" w:hAnsi="宋体"/>
          <w:b/>
          <w:color w:val="auto"/>
          <w:szCs w:val="21"/>
        </w:rPr>
        <w:t>招标说明</w:t>
      </w:r>
    </w:p>
    <w:p w14:paraId="4D642679">
      <w:pPr>
        <w:spacing w:line="360" w:lineRule="auto"/>
        <w:ind w:firstLine="420" w:firstLineChars="200"/>
        <w:rPr>
          <w:rFonts w:ascii="宋体" w:hAnsi="宋体"/>
          <w:bCs/>
          <w:color w:val="auto"/>
          <w:szCs w:val="21"/>
        </w:rPr>
      </w:pPr>
      <w:r>
        <w:rPr>
          <w:rFonts w:hint="eastAsia" w:ascii="宋体" w:hAnsi="宋体"/>
          <w:bCs/>
          <w:color w:val="auto"/>
          <w:szCs w:val="21"/>
        </w:rPr>
        <w:t>2.1本招标工程项目按照《中华人民共和国招标投标法》等有关法律、行政法规、规章和规范性文件，通过招标方式选定承包人。</w:t>
      </w:r>
    </w:p>
    <w:p w14:paraId="7AC0BC19">
      <w:pPr>
        <w:spacing w:line="360" w:lineRule="auto"/>
        <w:ind w:firstLine="420" w:firstLineChars="200"/>
        <w:rPr>
          <w:rFonts w:ascii="宋体" w:hAnsi="宋体"/>
          <w:bCs/>
          <w:color w:val="auto"/>
          <w:szCs w:val="21"/>
        </w:rPr>
      </w:pPr>
      <w:r>
        <w:rPr>
          <w:rFonts w:hint="eastAsia" w:ascii="宋体" w:hAnsi="宋体"/>
          <w:bCs/>
          <w:color w:val="auto"/>
          <w:szCs w:val="21"/>
        </w:rPr>
        <w:t>2.2工程名称、建设地点、建设规模、承包方式、质量标准、招标范围、工期要求等均在投标须知前附表中列明。</w:t>
      </w:r>
    </w:p>
    <w:p w14:paraId="2A442B60">
      <w:pPr>
        <w:spacing w:line="360" w:lineRule="auto"/>
        <w:ind w:firstLine="420" w:firstLineChars="200"/>
        <w:rPr>
          <w:rFonts w:ascii="宋体" w:hAnsi="宋体"/>
          <w:bCs/>
          <w:color w:val="auto"/>
          <w:szCs w:val="21"/>
        </w:rPr>
      </w:pPr>
      <w:r>
        <w:rPr>
          <w:rFonts w:hint="eastAsia" w:ascii="宋体" w:hAnsi="宋体"/>
          <w:bCs/>
          <w:color w:val="auto"/>
          <w:szCs w:val="21"/>
        </w:rPr>
        <w:t>2.3设计说明：详见招标图纸。</w:t>
      </w:r>
    </w:p>
    <w:p w14:paraId="0D9DA8AF">
      <w:pPr>
        <w:spacing w:line="360" w:lineRule="auto"/>
        <w:ind w:firstLine="420" w:firstLineChars="200"/>
        <w:rPr>
          <w:rFonts w:ascii="宋体" w:hAnsi="宋体"/>
          <w:bCs/>
          <w:color w:val="auto"/>
          <w:szCs w:val="21"/>
        </w:rPr>
      </w:pPr>
      <w:r>
        <w:rPr>
          <w:rFonts w:hint="eastAsia" w:ascii="宋体" w:hAnsi="宋体"/>
          <w:bCs/>
          <w:color w:val="auto"/>
          <w:szCs w:val="21"/>
        </w:rPr>
        <w:t>2.4工程施工特点：详见招标图纸。</w:t>
      </w:r>
    </w:p>
    <w:p w14:paraId="4A1E0724">
      <w:pPr>
        <w:spacing w:line="360" w:lineRule="auto"/>
        <w:ind w:firstLine="422" w:firstLineChars="200"/>
        <w:rPr>
          <w:rFonts w:ascii="宋体" w:hAnsi="宋体"/>
          <w:b/>
          <w:color w:val="auto"/>
          <w:szCs w:val="21"/>
        </w:rPr>
      </w:pPr>
      <w:r>
        <w:rPr>
          <w:rFonts w:ascii="宋体" w:hAnsi="宋体"/>
          <w:b/>
          <w:color w:val="auto"/>
          <w:szCs w:val="21"/>
        </w:rPr>
        <w:t xml:space="preserve">3. </w:t>
      </w:r>
      <w:r>
        <w:rPr>
          <w:rFonts w:hint="eastAsia" w:ascii="宋体" w:hAnsi="宋体"/>
          <w:b/>
          <w:color w:val="auto"/>
          <w:szCs w:val="21"/>
        </w:rPr>
        <w:t>资金来源</w:t>
      </w:r>
    </w:p>
    <w:p w14:paraId="3358FF9B">
      <w:pPr>
        <w:spacing w:line="360" w:lineRule="auto"/>
        <w:ind w:firstLine="420" w:firstLineChars="200"/>
        <w:rPr>
          <w:rFonts w:ascii="宋体" w:hAnsi="宋体"/>
          <w:bCs/>
          <w:color w:val="auto"/>
          <w:szCs w:val="21"/>
        </w:rPr>
      </w:pPr>
      <w:r>
        <w:rPr>
          <w:rFonts w:hint="eastAsia" w:ascii="宋体" w:hAnsi="宋体"/>
          <w:bCs/>
          <w:color w:val="auto"/>
          <w:szCs w:val="21"/>
        </w:rPr>
        <w:t>3.1本招标工程项目资金来源见投标须知前附表第9项。</w:t>
      </w:r>
    </w:p>
    <w:p w14:paraId="3DA15F02">
      <w:pPr>
        <w:spacing w:line="360" w:lineRule="auto"/>
        <w:ind w:firstLine="422" w:firstLineChars="200"/>
        <w:rPr>
          <w:rFonts w:ascii="宋体" w:hAnsi="宋体"/>
          <w:b/>
          <w:color w:val="auto"/>
          <w:szCs w:val="21"/>
        </w:rPr>
      </w:pPr>
      <w:r>
        <w:rPr>
          <w:rFonts w:ascii="宋体" w:hAnsi="宋体"/>
          <w:b/>
          <w:color w:val="auto"/>
          <w:szCs w:val="21"/>
        </w:rPr>
        <w:t xml:space="preserve">4. </w:t>
      </w:r>
      <w:r>
        <w:rPr>
          <w:rFonts w:hint="eastAsia" w:ascii="宋体" w:hAnsi="宋体"/>
          <w:b/>
          <w:color w:val="auto"/>
          <w:szCs w:val="21"/>
        </w:rPr>
        <w:t>合格投标人的条件</w:t>
      </w:r>
    </w:p>
    <w:p w14:paraId="47662CC0">
      <w:pPr>
        <w:spacing w:line="360" w:lineRule="auto"/>
        <w:ind w:firstLine="420" w:firstLineChars="200"/>
        <w:rPr>
          <w:rFonts w:ascii="宋体" w:hAnsi="宋体"/>
          <w:bCs/>
          <w:color w:val="auto"/>
          <w:szCs w:val="21"/>
        </w:rPr>
      </w:pPr>
      <w:r>
        <w:rPr>
          <w:rFonts w:hint="eastAsia" w:ascii="宋体" w:hAnsi="宋体"/>
          <w:bCs/>
          <w:color w:val="auto"/>
          <w:szCs w:val="21"/>
        </w:rPr>
        <w:t>4.1详见本项目招标公告</w:t>
      </w:r>
    </w:p>
    <w:p w14:paraId="1D85265E">
      <w:pPr>
        <w:spacing w:line="360" w:lineRule="auto"/>
        <w:ind w:firstLine="422" w:firstLineChars="200"/>
        <w:rPr>
          <w:rFonts w:ascii="宋体" w:hAnsi="宋体"/>
          <w:b/>
          <w:color w:val="auto"/>
          <w:szCs w:val="21"/>
        </w:rPr>
      </w:pPr>
      <w:r>
        <w:rPr>
          <w:rFonts w:hint="eastAsia" w:ascii="宋体" w:hAnsi="宋体"/>
          <w:b/>
          <w:color w:val="auto"/>
          <w:szCs w:val="21"/>
        </w:rPr>
        <w:t>5．踏勘现场</w:t>
      </w:r>
    </w:p>
    <w:p w14:paraId="70ADCA66">
      <w:pPr>
        <w:spacing w:line="360" w:lineRule="auto"/>
        <w:ind w:firstLine="420" w:firstLineChars="200"/>
        <w:rPr>
          <w:rFonts w:ascii="宋体" w:hAnsi="宋体"/>
          <w:bCs/>
          <w:color w:val="auto"/>
          <w:szCs w:val="21"/>
          <w:u w:val="single"/>
        </w:rPr>
      </w:pPr>
      <w:r>
        <w:rPr>
          <w:rFonts w:hint="eastAsia" w:ascii="宋体" w:hAnsi="宋体"/>
          <w:bCs/>
          <w:color w:val="auto"/>
          <w:szCs w:val="21"/>
        </w:rPr>
        <w:t>5.1 投标人应按本投标须知前附表第15项所述时间和要求对工程现场及周围环境进行踏勘，</w:t>
      </w:r>
      <w:r>
        <w:rPr>
          <w:rFonts w:hint="eastAsia" w:ascii="宋体" w:hAnsi="宋体"/>
          <w:color w:val="auto"/>
          <w:szCs w:val="21"/>
        </w:rPr>
        <w:t>投标人应充分重视和仔细地进行这种考察，</w:t>
      </w:r>
      <w:r>
        <w:rPr>
          <w:rFonts w:hint="eastAsia" w:ascii="宋体" w:hAnsi="宋体"/>
          <w:bCs/>
          <w:color w:val="auto"/>
          <w:szCs w:val="21"/>
        </w:rPr>
        <w:t>以便投标人获取</w:t>
      </w:r>
      <w:r>
        <w:rPr>
          <w:rFonts w:hint="eastAsia" w:ascii="宋体" w:hAnsi="宋体"/>
          <w:color w:val="auto"/>
          <w:szCs w:val="21"/>
        </w:rPr>
        <w:t>那些须投标人自己负责的</w:t>
      </w:r>
      <w:r>
        <w:rPr>
          <w:rFonts w:hint="eastAsia" w:ascii="宋体" w:hAnsi="宋体"/>
          <w:bCs/>
          <w:color w:val="auto"/>
          <w:szCs w:val="21"/>
        </w:rPr>
        <w:t>有关编制投标文件和签署合同所涉及现场所有的资料。</w:t>
      </w:r>
      <w:r>
        <w:rPr>
          <w:rFonts w:hint="eastAsia" w:ascii="宋体" w:hAnsi="宋体"/>
          <w:color w:val="auto"/>
          <w:szCs w:val="21"/>
        </w:rPr>
        <w:t>一旦中标，这种考察即被认为其结果已在中标文件中得到充分反映。考察现场的费用由投标人自己承担。</w:t>
      </w:r>
    </w:p>
    <w:p w14:paraId="2C58AB9F">
      <w:pPr>
        <w:spacing w:line="360" w:lineRule="auto"/>
        <w:ind w:firstLine="420" w:firstLineChars="200"/>
        <w:rPr>
          <w:rFonts w:ascii="宋体" w:hAnsi="宋体"/>
          <w:bCs/>
          <w:color w:val="auto"/>
          <w:szCs w:val="21"/>
        </w:rPr>
      </w:pPr>
      <w:r>
        <w:rPr>
          <w:rFonts w:hint="eastAsia" w:ascii="宋体" w:hAnsi="宋体"/>
          <w:bCs/>
          <w:color w:val="auto"/>
          <w:szCs w:val="21"/>
        </w:rPr>
        <w:t>5.2 招标人向投标人提供的有关现场的数据和资料，是招标人现有的能被投标人利用的资料，招标人对投标人做出的任何推论、理解和结论均不负责任。</w:t>
      </w:r>
    </w:p>
    <w:p w14:paraId="3AE37A7D">
      <w:pPr>
        <w:spacing w:line="360" w:lineRule="auto"/>
        <w:ind w:firstLine="420" w:firstLineChars="200"/>
        <w:rPr>
          <w:rFonts w:ascii="宋体" w:hAnsi="宋体"/>
          <w:bCs/>
          <w:color w:val="auto"/>
          <w:szCs w:val="21"/>
        </w:rPr>
      </w:pPr>
      <w:r>
        <w:rPr>
          <w:rFonts w:hint="eastAsia" w:ascii="宋体" w:hAnsi="宋体"/>
          <w:bCs/>
          <w:color w:val="auto"/>
          <w:szCs w:val="21"/>
        </w:rPr>
        <w:t>5.3 经招标人允许，投标人可为踏勘目的进入招标人的项目现场。</w:t>
      </w:r>
      <w:r>
        <w:rPr>
          <w:rFonts w:hint="eastAsia" w:ascii="宋体" w:hAnsi="宋体"/>
          <w:color w:val="auto"/>
          <w:szCs w:val="21"/>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Cs w:val="21"/>
        </w:rPr>
        <w:t>投标人不得因此使招标人承担有关的责任和蒙受损失。</w:t>
      </w:r>
    </w:p>
    <w:p w14:paraId="6A2DE9D7">
      <w:pPr>
        <w:spacing w:line="360" w:lineRule="auto"/>
        <w:ind w:firstLine="422" w:firstLineChars="200"/>
        <w:rPr>
          <w:rFonts w:ascii="宋体" w:hAnsi="宋体"/>
          <w:b/>
          <w:color w:val="auto"/>
          <w:szCs w:val="21"/>
        </w:rPr>
      </w:pPr>
      <w:r>
        <w:rPr>
          <w:rFonts w:hint="eastAsia" w:ascii="宋体" w:hAnsi="宋体"/>
          <w:b/>
          <w:color w:val="auto"/>
          <w:szCs w:val="21"/>
        </w:rPr>
        <w:t>6．投标费用</w:t>
      </w:r>
    </w:p>
    <w:p w14:paraId="3FE7FF3C">
      <w:pPr>
        <w:spacing w:line="360" w:lineRule="auto"/>
        <w:ind w:firstLine="420" w:firstLineChars="200"/>
        <w:rPr>
          <w:rFonts w:ascii="宋体" w:hAnsi="宋体"/>
          <w:bCs/>
          <w:color w:val="auto"/>
          <w:szCs w:val="21"/>
        </w:rPr>
      </w:pPr>
      <w:r>
        <w:rPr>
          <w:rFonts w:hint="eastAsia" w:ascii="宋体" w:hAnsi="宋体"/>
          <w:bCs/>
          <w:color w:val="auto"/>
          <w:szCs w:val="21"/>
        </w:rPr>
        <w:t>6.1</w:t>
      </w:r>
      <w:r>
        <w:rPr>
          <w:rFonts w:hint="eastAsia" w:ascii="宋体" w:hAnsi="宋体"/>
          <w:color w:val="auto"/>
          <w:szCs w:val="21"/>
        </w:rPr>
        <w:t>不论投标结果如何，投标人应承担</w:t>
      </w:r>
      <w:r>
        <w:rPr>
          <w:rFonts w:hint="eastAsia" w:ascii="宋体" w:hAnsi="宋体"/>
          <w:bCs/>
          <w:color w:val="auto"/>
          <w:szCs w:val="21"/>
        </w:rPr>
        <w:t>自身</w:t>
      </w:r>
      <w:r>
        <w:rPr>
          <w:rFonts w:hint="eastAsia" w:ascii="宋体" w:hAnsi="宋体"/>
          <w:color w:val="auto"/>
          <w:szCs w:val="21"/>
        </w:rPr>
        <w:t>因投标文件编制、递交及其他</w:t>
      </w:r>
      <w:r>
        <w:rPr>
          <w:rFonts w:hint="eastAsia" w:ascii="宋体" w:hAnsi="宋体"/>
          <w:bCs/>
          <w:color w:val="auto"/>
          <w:szCs w:val="21"/>
        </w:rPr>
        <w:t>参加本招标活动</w:t>
      </w:r>
      <w:r>
        <w:rPr>
          <w:rFonts w:hint="eastAsia" w:ascii="宋体" w:hAnsi="宋体"/>
          <w:color w:val="auto"/>
          <w:szCs w:val="21"/>
        </w:rPr>
        <w:t>所涉及的一切费用，招标人对上述费用不负任何责任。</w:t>
      </w:r>
    </w:p>
    <w:p w14:paraId="2FAFA06B">
      <w:pPr>
        <w:pStyle w:val="3"/>
        <w:spacing w:before="156" w:beforeAutospacing="0" w:after="156" w:afterAutospacing="0" w:line="360" w:lineRule="auto"/>
        <w:rPr>
          <w:b/>
          <w:bCs/>
          <w:color w:val="auto"/>
          <w:sz w:val="21"/>
          <w:szCs w:val="21"/>
        </w:rPr>
      </w:pPr>
      <w:bookmarkStart w:id="12" w:name="_Toc185324319"/>
      <w:bookmarkStart w:id="13" w:name="_Toc105014625"/>
      <w:bookmarkStart w:id="14" w:name="_Toc15029"/>
      <w:r>
        <w:rPr>
          <w:rFonts w:hint="eastAsia"/>
          <w:b/>
          <w:bCs/>
          <w:color w:val="auto"/>
          <w:sz w:val="21"/>
          <w:szCs w:val="21"/>
        </w:rPr>
        <w:t>（二）招标文件</w:t>
      </w:r>
      <w:bookmarkEnd w:id="12"/>
      <w:bookmarkEnd w:id="13"/>
      <w:bookmarkEnd w:id="14"/>
    </w:p>
    <w:p w14:paraId="7867A462">
      <w:pPr>
        <w:spacing w:line="360" w:lineRule="auto"/>
        <w:ind w:firstLine="422" w:firstLineChars="200"/>
        <w:rPr>
          <w:rFonts w:ascii="宋体" w:hAnsi="宋体"/>
          <w:b/>
          <w:color w:val="auto"/>
          <w:szCs w:val="21"/>
        </w:rPr>
      </w:pPr>
      <w:r>
        <w:rPr>
          <w:rFonts w:hint="eastAsia" w:ascii="宋体" w:hAnsi="宋体"/>
          <w:b/>
          <w:color w:val="auto"/>
          <w:szCs w:val="21"/>
        </w:rPr>
        <w:t>7.</w:t>
      </w:r>
      <w:r>
        <w:rPr>
          <w:rFonts w:ascii="宋体" w:hAnsi="宋体"/>
          <w:b/>
          <w:color w:val="auto"/>
          <w:szCs w:val="21"/>
        </w:rPr>
        <w:t xml:space="preserve"> </w:t>
      </w:r>
      <w:r>
        <w:rPr>
          <w:rFonts w:hint="eastAsia" w:ascii="宋体" w:hAnsi="宋体"/>
          <w:b/>
          <w:color w:val="auto"/>
          <w:szCs w:val="21"/>
        </w:rPr>
        <w:t>招标文件的组成</w:t>
      </w:r>
    </w:p>
    <w:p w14:paraId="2AFA68D2">
      <w:pPr>
        <w:spacing w:line="360" w:lineRule="auto"/>
        <w:ind w:firstLine="420" w:firstLineChars="200"/>
        <w:rPr>
          <w:rFonts w:ascii="宋体" w:hAnsi="宋体"/>
          <w:color w:val="auto"/>
          <w:szCs w:val="21"/>
        </w:rPr>
      </w:pPr>
      <w:r>
        <w:rPr>
          <w:rFonts w:hint="eastAsia" w:ascii="宋体" w:hAnsi="宋体"/>
          <w:bCs/>
          <w:color w:val="auto"/>
          <w:szCs w:val="21"/>
        </w:rPr>
        <w:t>7.1</w:t>
      </w:r>
      <w:r>
        <w:rPr>
          <w:rFonts w:hint="eastAsia" w:ascii="宋体" w:hAnsi="宋体"/>
          <w:color w:val="auto"/>
          <w:szCs w:val="21"/>
        </w:rPr>
        <w:t>本招标文件包括下列文件，以及所有按本须知第8条发出的招标答疑会会议纪要和按本须知第9条发出的澄清或修改：</w:t>
      </w:r>
    </w:p>
    <w:p w14:paraId="40F26F55">
      <w:pPr>
        <w:pStyle w:val="22"/>
        <w:spacing w:after="0" w:line="360" w:lineRule="auto"/>
        <w:ind w:left="-2" w:firstLineChars="200"/>
        <w:rPr>
          <w:rFonts w:ascii="宋体" w:hAnsi="宋体"/>
          <w:color w:val="auto"/>
          <w:sz w:val="21"/>
          <w:szCs w:val="21"/>
        </w:rPr>
      </w:pPr>
      <w:r>
        <w:rPr>
          <w:rFonts w:hint="eastAsia" w:ascii="宋体" w:hAnsi="宋体"/>
          <w:bCs/>
          <w:color w:val="auto"/>
          <w:sz w:val="21"/>
          <w:szCs w:val="21"/>
        </w:rPr>
        <w:t xml:space="preserve">第一章  </w:t>
      </w:r>
      <w:r>
        <w:rPr>
          <w:rFonts w:hint="eastAsia" w:ascii="宋体" w:hAnsi="宋体"/>
          <w:color w:val="auto"/>
          <w:sz w:val="21"/>
          <w:szCs w:val="21"/>
        </w:rPr>
        <w:t>投标须知</w:t>
      </w:r>
    </w:p>
    <w:p w14:paraId="08DD1AB2">
      <w:pPr>
        <w:pStyle w:val="22"/>
        <w:spacing w:after="0" w:line="360" w:lineRule="auto"/>
        <w:ind w:left="-2" w:firstLineChars="200"/>
        <w:rPr>
          <w:rFonts w:ascii="宋体" w:hAnsi="宋体"/>
          <w:color w:val="auto"/>
          <w:sz w:val="21"/>
          <w:szCs w:val="21"/>
        </w:rPr>
      </w:pPr>
      <w:r>
        <w:rPr>
          <w:rFonts w:hint="eastAsia" w:ascii="宋体" w:hAnsi="宋体"/>
          <w:bCs/>
          <w:color w:val="auto"/>
          <w:sz w:val="21"/>
          <w:szCs w:val="21"/>
        </w:rPr>
        <w:t xml:space="preserve">第二章  </w:t>
      </w:r>
      <w:r>
        <w:rPr>
          <w:rFonts w:hint="eastAsia" w:ascii="宋体" w:hAnsi="宋体"/>
          <w:color w:val="auto"/>
          <w:sz w:val="21"/>
          <w:szCs w:val="21"/>
        </w:rPr>
        <w:t>开标、评标及定标办法</w:t>
      </w:r>
    </w:p>
    <w:p w14:paraId="20A314AA">
      <w:pPr>
        <w:pStyle w:val="22"/>
        <w:spacing w:after="0" w:line="360" w:lineRule="auto"/>
        <w:ind w:firstLineChars="200"/>
        <w:rPr>
          <w:rFonts w:ascii="宋体" w:hAnsi="宋体"/>
          <w:color w:val="auto"/>
          <w:sz w:val="21"/>
          <w:szCs w:val="21"/>
        </w:rPr>
      </w:pPr>
      <w:r>
        <w:rPr>
          <w:rFonts w:hint="eastAsia" w:ascii="宋体" w:hAnsi="宋体"/>
          <w:color w:val="auto"/>
          <w:sz w:val="21"/>
          <w:szCs w:val="21"/>
        </w:rPr>
        <w:t>第三章  合同条款</w:t>
      </w:r>
    </w:p>
    <w:p w14:paraId="46CA6BC2">
      <w:pPr>
        <w:pStyle w:val="22"/>
        <w:spacing w:after="0" w:line="360" w:lineRule="auto"/>
        <w:ind w:firstLineChars="200"/>
        <w:rPr>
          <w:rFonts w:ascii="宋体" w:hAnsi="宋体"/>
          <w:color w:val="auto"/>
          <w:sz w:val="21"/>
          <w:szCs w:val="21"/>
        </w:rPr>
      </w:pPr>
      <w:r>
        <w:rPr>
          <w:rFonts w:hint="eastAsia" w:ascii="宋体" w:hAnsi="宋体"/>
          <w:bCs/>
          <w:color w:val="auto"/>
          <w:sz w:val="21"/>
          <w:szCs w:val="21"/>
        </w:rPr>
        <w:t xml:space="preserve">第四章  </w:t>
      </w:r>
      <w:r>
        <w:rPr>
          <w:rFonts w:hint="eastAsia" w:ascii="宋体" w:hAnsi="宋体"/>
          <w:color w:val="auto"/>
          <w:sz w:val="21"/>
          <w:szCs w:val="21"/>
        </w:rPr>
        <w:t>投标文件格式</w:t>
      </w:r>
    </w:p>
    <w:p w14:paraId="4CF56829">
      <w:pPr>
        <w:pStyle w:val="22"/>
        <w:spacing w:after="0" w:line="360" w:lineRule="auto"/>
        <w:ind w:left="-2" w:firstLineChars="200"/>
        <w:rPr>
          <w:rFonts w:ascii="宋体" w:hAnsi="宋体"/>
          <w:color w:val="auto"/>
          <w:sz w:val="21"/>
          <w:szCs w:val="21"/>
        </w:rPr>
      </w:pPr>
      <w:r>
        <w:rPr>
          <w:rFonts w:hint="eastAsia" w:ascii="宋体" w:hAnsi="宋体"/>
          <w:bCs/>
          <w:color w:val="auto"/>
          <w:sz w:val="21"/>
          <w:szCs w:val="21"/>
        </w:rPr>
        <w:t xml:space="preserve">第五章  </w:t>
      </w:r>
      <w:r>
        <w:rPr>
          <w:rFonts w:hint="eastAsia" w:ascii="宋体" w:hAnsi="宋体"/>
          <w:color w:val="auto"/>
          <w:sz w:val="21"/>
          <w:szCs w:val="21"/>
        </w:rPr>
        <w:t>技术条件（工程建设标准）（另册）</w:t>
      </w:r>
    </w:p>
    <w:p w14:paraId="1FE42F99">
      <w:pPr>
        <w:pStyle w:val="22"/>
        <w:spacing w:after="0" w:line="360" w:lineRule="auto"/>
        <w:ind w:left="-2" w:firstLineChars="200"/>
        <w:rPr>
          <w:rFonts w:ascii="宋体" w:hAnsi="宋体"/>
          <w:color w:val="auto"/>
          <w:sz w:val="21"/>
          <w:szCs w:val="21"/>
        </w:rPr>
      </w:pPr>
      <w:r>
        <w:rPr>
          <w:rFonts w:hint="eastAsia" w:ascii="宋体" w:hAnsi="宋体"/>
          <w:bCs/>
          <w:color w:val="auto"/>
          <w:sz w:val="21"/>
          <w:szCs w:val="21"/>
        </w:rPr>
        <w:t xml:space="preserve">第六章  </w:t>
      </w:r>
      <w:r>
        <w:rPr>
          <w:rFonts w:hint="eastAsia" w:ascii="宋体" w:hAnsi="宋体"/>
          <w:color w:val="auto"/>
          <w:sz w:val="21"/>
          <w:szCs w:val="21"/>
        </w:rPr>
        <w:t>图纸及勘察资料（另册）</w:t>
      </w:r>
    </w:p>
    <w:p w14:paraId="6B52236C">
      <w:pPr>
        <w:pStyle w:val="22"/>
        <w:spacing w:after="0" w:line="360" w:lineRule="auto"/>
        <w:ind w:left="-2" w:firstLineChars="200"/>
        <w:rPr>
          <w:rFonts w:ascii="宋体" w:hAnsi="宋体"/>
          <w:color w:val="auto"/>
          <w:sz w:val="21"/>
          <w:szCs w:val="21"/>
        </w:rPr>
      </w:pPr>
      <w:r>
        <w:rPr>
          <w:rFonts w:hint="eastAsia" w:ascii="宋体" w:hAnsi="宋体"/>
          <w:bCs/>
          <w:color w:val="auto"/>
          <w:sz w:val="21"/>
          <w:szCs w:val="21"/>
        </w:rPr>
        <w:t>第七章  招标</w:t>
      </w:r>
      <w:r>
        <w:rPr>
          <w:rFonts w:hint="eastAsia" w:ascii="宋体" w:hAnsi="宋体"/>
          <w:color w:val="auto"/>
          <w:sz w:val="21"/>
          <w:szCs w:val="21"/>
        </w:rPr>
        <w:t>工程量清单（另册）</w:t>
      </w:r>
    </w:p>
    <w:p w14:paraId="5C48C2F9">
      <w:pPr>
        <w:pStyle w:val="22"/>
        <w:spacing w:after="0" w:line="360" w:lineRule="auto"/>
        <w:ind w:left="-2" w:firstLineChars="200"/>
        <w:rPr>
          <w:rFonts w:ascii="宋体" w:hAnsi="宋体"/>
          <w:color w:val="auto"/>
          <w:sz w:val="21"/>
          <w:szCs w:val="21"/>
        </w:rPr>
      </w:pPr>
      <w:r>
        <w:rPr>
          <w:rFonts w:hint="eastAsia" w:ascii="宋体" w:hAnsi="宋体"/>
          <w:color w:val="auto"/>
          <w:sz w:val="21"/>
          <w:szCs w:val="21"/>
        </w:rPr>
        <w:t>第八章  最高投标限价</w:t>
      </w:r>
    </w:p>
    <w:p w14:paraId="11151F81">
      <w:pPr>
        <w:pStyle w:val="22"/>
        <w:spacing w:after="0" w:line="360" w:lineRule="auto"/>
        <w:ind w:left="-2" w:firstLineChars="200"/>
        <w:rPr>
          <w:rFonts w:ascii="宋体" w:hAnsi="宋体"/>
          <w:color w:val="auto"/>
          <w:sz w:val="21"/>
          <w:szCs w:val="21"/>
        </w:rPr>
      </w:pPr>
      <w:r>
        <w:rPr>
          <w:rFonts w:hint="eastAsia" w:ascii="宋体" w:hAnsi="宋体"/>
          <w:color w:val="auto"/>
          <w:kern w:val="2"/>
          <w:sz w:val="21"/>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426057E6">
      <w:pPr>
        <w:pStyle w:val="22"/>
        <w:spacing w:after="0" w:line="360" w:lineRule="auto"/>
        <w:ind w:firstLineChars="200"/>
        <w:rPr>
          <w:rFonts w:ascii="宋体" w:hAnsi="宋体"/>
          <w:color w:val="auto"/>
          <w:sz w:val="21"/>
          <w:szCs w:val="21"/>
        </w:rPr>
      </w:pPr>
      <w:r>
        <w:rPr>
          <w:rFonts w:hint="eastAsia" w:ascii="宋体" w:hAnsi="宋体"/>
          <w:color w:val="auto"/>
          <w:sz w:val="21"/>
          <w:szCs w:val="21"/>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6E468FA">
      <w:pPr>
        <w:pStyle w:val="22"/>
        <w:spacing w:after="0" w:line="360" w:lineRule="auto"/>
        <w:ind w:firstLineChars="200"/>
        <w:rPr>
          <w:rFonts w:ascii="宋体" w:hAnsi="宋体"/>
          <w:color w:val="auto"/>
          <w:sz w:val="21"/>
          <w:szCs w:val="21"/>
        </w:rPr>
      </w:pPr>
      <w:r>
        <w:rPr>
          <w:rFonts w:hint="eastAsia" w:ascii="宋体" w:hAnsi="宋体"/>
          <w:color w:val="auto"/>
          <w:sz w:val="21"/>
          <w:szCs w:val="21"/>
        </w:rPr>
        <w:t>7.3 投标人一旦中标，招标文件的内容对招标人和中标人双方均有约束力。</w:t>
      </w:r>
    </w:p>
    <w:p w14:paraId="480214C5">
      <w:pPr>
        <w:pStyle w:val="22"/>
        <w:spacing w:after="0" w:line="360" w:lineRule="auto"/>
        <w:ind w:firstLine="422" w:firstLineChars="200"/>
        <w:rPr>
          <w:rFonts w:ascii="宋体" w:hAnsi="宋体"/>
          <w:b/>
          <w:bCs/>
          <w:color w:val="auto"/>
          <w:sz w:val="21"/>
          <w:szCs w:val="21"/>
        </w:rPr>
      </w:pPr>
      <w:r>
        <w:rPr>
          <w:rFonts w:hint="eastAsia" w:ascii="宋体" w:hAnsi="宋体"/>
          <w:b/>
          <w:bCs/>
          <w:color w:val="auto"/>
          <w:sz w:val="21"/>
          <w:szCs w:val="21"/>
        </w:rPr>
        <w:t>8．招标答疑</w:t>
      </w:r>
    </w:p>
    <w:p w14:paraId="398DFDD4">
      <w:pPr>
        <w:pStyle w:val="22"/>
        <w:spacing w:after="0" w:line="360" w:lineRule="auto"/>
        <w:ind w:firstLineChars="200"/>
        <w:rPr>
          <w:rFonts w:ascii="宋体" w:hAnsi="宋体"/>
          <w:color w:val="auto"/>
          <w:sz w:val="21"/>
          <w:szCs w:val="21"/>
        </w:rPr>
      </w:pPr>
      <w:r>
        <w:rPr>
          <w:rFonts w:hint="eastAsia" w:ascii="宋体" w:hAnsi="宋体"/>
          <w:color w:val="auto"/>
          <w:sz w:val="21"/>
          <w:szCs w:val="21"/>
        </w:rPr>
        <w:t>8.1 投标人若对招标文件（包括招标图纸）中有疑问，可以书面形式通过</w:t>
      </w:r>
      <w:r>
        <w:rPr>
          <w:rFonts w:ascii="宋体" w:hAnsi="宋体"/>
          <w:color w:val="auto"/>
          <w:sz w:val="21"/>
          <w:szCs w:val="21"/>
          <w:u w:val="single"/>
        </w:rPr>
        <w:t xml:space="preserve">        </w:t>
      </w:r>
      <w:r>
        <w:rPr>
          <w:rFonts w:hint="eastAsia" w:ascii="宋体" w:hAnsi="宋体"/>
          <w:color w:val="auto"/>
          <w:sz w:val="21"/>
          <w:szCs w:val="21"/>
        </w:rPr>
        <w:t>交易平台提交给招标人或招标代理人，提交形式见本须知前附表第16项。</w:t>
      </w:r>
    </w:p>
    <w:p w14:paraId="292B903F">
      <w:pPr>
        <w:pStyle w:val="22"/>
        <w:spacing w:after="0" w:line="360" w:lineRule="auto"/>
        <w:ind w:firstLineChars="200"/>
        <w:rPr>
          <w:rFonts w:ascii="宋体" w:hAnsi="宋体"/>
          <w:color w:val="auto"/>
          <w:sz w:val="21"/>
          <w:szCs w:val="21"/>
        </w:rPr>
      </w:pPr>
      <w:r>
        <w:rPr>
          <w:rFonts w:hint="eastAsia" w:ascii="宋体" w:hAnsi="宋体"/>
          <w:color w:val="auto"/>
          <w:sz w:val="21"/>
          <w:szCs w:val="21"/>
        </w:rPr>
        <w:t>8.2招标答疑会会议纪要将在提交投标文件截止时间15日前在</w:t>
      </w:r>
      <w:r>
        <w:rPr>
          <w:rFonts w:ascii="宋体" w:hAnsi="宋体"/>
          <w:color w:val="auto"/>
          <w:sz w:val="21"/>
          <w:szCs w:val="21"/>
          <w:u w:val="single"/>
        </w:rPr>
        <w:t xml:space="preserve">        </w:t>
      </w:r>
      <w:r>
        <w:rPr>
          <w:rFonts w:hint="eastAsia" w:ascii="宋体" w:hAnsi="宋体"/>
          <w:color w:val="auto"/>
          <w:sz w:val="21"/>
          <w:szCs w:val="21"/>
        </w:rPr>
        <w:t>交易平台 “项目答疑纪要”专区公开发布。答疑纪要一经在</w:t>
      </w:r>
      <w:r>
        <w:rPr>
          <w:rFonts w:ascii="宋体" w:hAnsi="宋体"/>
          <w:color w:val="auto"/>
          <w:sz w:val="21"/>
          <w:szCs w:val="21"/>
          <w:u w:val="single"/>
        </w:rPr>
        <w:t xml:space="preserve">        </w:t>
      </w:r>
      <w:r>
        <w:rPr>
          <w:rFonts w:hint="eastAsia" w:ascii="宋体" w:hAnsi="宋体"/>
          <w:color w:val="auto"/>
          <w:sz w:val="21"/>
          <w:szCs w:val="21"/>
        </w:rPr>
        <w:t>交易平台发布，视作已发放给所有投标人。</w:t>
      </w:r>
    </w:p>
    <w:p w14:paraId="48784DB9">
      <w:pPr>
        <w:pStyle w:val="22"/>
        <w:spacing w:after="0" w:line="360" w:lineRule="auto"/>
        <w:ind w:firstLineChars="200"/>
        <w:rPr>
          <w:rFonts w:ascii="宋体" w:hAnsi="宋体"/>
          <w:color w:val="auto"/>
          <w:sz w:val="21"/>
          <w:szCs w:val="21"/>
        </w:rPr>
      </w:pPr>
      <w:r>
        <w:rPr>
          <w:rFonts w:hint="eastAsia" w:ascii="宋体" w:hAnsi="宋体"/>
          <w:color w:val="auto"/>
          <w:sz w:val="21"/>
          <w:szCs w:val="21"/>
        </w:rPr>
        <w:t>8.3答疑会会议纪要为招标文件的一部分。</w:t>
      </w:r>
    </w:p>
    <w:p w14:paraId="0B387618">
      <w:pPr>
        <w:pStyle w:val="22"/>
        <w:spacing w:after="0" w:line="360" w:lineRule="auto"/>
        <w:ind w:firstLineChars="200"/>
        <w:rPr>
          <w:rFonts w:ascii="宋体" w:hAnsi="宋体"/>
          <w:color w:val="auto"/>
          <w:sz w:val="21"/>
          <w:szCs w:val="21"/>
        </w:rPr>
      </w:pPr>
      <w:r>
        <w:rPr>
          <w:rFonts w:hint="eastAsia" w:ascii="宋体" w:hAnsi="宋体"/>
          <w:color w:val="auto"/>
          <w:sz w:val="21"/>
          <w:szCs w:val="21"/>
        </w:rPr>
        <w:t>8.4若招标答疑会会议纪要与招标文件有矛盾，以答疑会议纪要最后发出的书面形式的文件为准。</w:t>
      </w:r>
    </w:p>
    <w:p w14:paraId="04415C8A">
      <w:pPr>
        <w:pStyle w:val="22"/>
        <w:spacing w:after="0" w:line="360" w:lineRule="auto"/>
        <w:ind w:firstLine="422" w:firstLineChars="200"/>
        <w:rPr>
          <w:rFonts w:ascii="宋体" w:hAnsi="宋体"/>
          <w:b/>
          <w:bCs/>
          <w:color w:val="auto"/>
          <w:sz w:val="21"/>
          <w:szCs w:val="21"/>
        </w:rPr>
      </w:pPr>
      <w:r>
        <w:rPr>
          <w:rFonts w:hint="eastAsia" w:ascii="宋体" w:hAnsi="宋体"/>
          <w:b/>
          <w:bCs/>
          <w:color w:val="auto"/>
          <w:sz w:val="21"/>
          <w:szCs w:val="21"/>
        </w:rPr>
        <w:t>9.</w:t>
      </w:r>
      <w:r>
        <w:rPr>
          <w:rFonts w:ascii="宋体" w:hAnsi="宋体"/>
          <w:b/>
          <w:bCs/>
          <w:color w:val="auto"/>
          <w:sz w:val="21"/>
          <w:szCs w:val="21"/>
        </w:rPr>
        <w:t xml:space="preserve"> </w:t>
      </w:r>
      <w:r>
        <w:rPr>
          <w:rFonts w:hint="eastAsia" w:ascii="宋体" w:hAnsi="宋体"/>
          <w:b/>
          <w:bCs/>
          <w:color w:val="auto"/>
          <w:sz w:val="21"/>
          <w:szCs w:val="21"/>
        </w:rPr>
        <w:t>招标文件的澄清与修改</w:t>
      </w:r>
    </w:p>
    <w:p w14:paraId="649A0AB8">
      <w:pPr>
        <w:pStyle w:val="22"/>
        <w:spacing w:after="0" w:line="360" w:lineRule="auto"/>
        <w:ind w:firstLineChars="200"/>
        <w:rPr>
          <w:rFonts w:ascii="宋体" w:hAnsi="宋体"/>
          <w:color w:val="auto"/>
          <w:sz w:val="21"/>
          <w:szCs w:val="21"/>
        </w:rPr>
      </w:pPr>
      <w:r>
        <w:rPr>
          <w:rFonts w:hint="eastAsia" w:ascii="宋体" w:hAnsi="宋体"/>
          <w:color w:val="auto"/>
          <w:sz w:val="21"/>
          <w:szCs w:val="21"/>
        </w:rPr>
        <w:t>9.1招标文件发出后,在提交投标文件截止时间15日前，招标人可对招标文件进行必要的澄清或修改。</w:t>
      </w:r>
    </w:p>
    <w:p w14:paraId="0E55727D">
      <w:pPr>
        <w:pStyle w:val="22"/>
        <w:spacing w:after="0" w:line="360" w:lineRule="auto"/>
        <w:ind w:firstLineChars="200"/>
        <w:rPr>
          <w:rFonts w:ascii="宋体" w:hAnsi="宋体"/>
          <w:color w:val="auto"/>
          <w:sz w:val="21"/>
          <w:szCs w:val="21"/>
        </w:rPr>
      </w:pPr>
      <w:r>
        <w:rPr>
          <w:rFonts w:hint="eastAsia" w:ascii="宋体" w:hAnsi="宋体"/>
          <w:color w:val="auto"/>
          <w:sz w:val="21"/>
          <w:szCs w:val="21"/>
        </w:rPr>
        <w:t>9.2招标文件的澄清或修改将在</w:t>
      </w:r>
      <w:r>
        <w:rPr>
          <w:rFonts w:ascii="宋体" w:hAnsi="宋体"/>
          <w:color w:val="auto"/>
          <w:sz w:val="21"/>
          <w:szCs w:val="21"/>
          <w:u w:val="single"/>
        </w:rPr>
        <w:t xml:space="preserve">        </w:t>
      </w:r>
      <w:r>
        <w:rPr>
          <w:rFonts w:hint="eastAsia" w:ascii="宋体" w:hAnsi="宋体"/>
          <w:color w:val="auto"/>
          <w:sz w:val="21"/>
          <w:szCs w:val="21"/>
        </w:rPr>
        <w:t>交易平台“项目答疑纪要”专区公开发布。答疑纪要一经在</w:t>
      </w:r>
      <w:r>
        <w:rPr>
          <w:rFonts w:ascii="宋体" w:hAnsi="宋体"/>
          <w:color w:val="auto"/>
          <w:sz w:val="21"/>
          <w:szCs w:val="21"/>
          <w:u w:val="single"/>
        </w:rPr>
        <w:t xml:space="preserve">        </w:t>
      </w:r>
      <w:r>
        <w:rPr>
          <w:rFonts w:hint="eastAsia" w:ascii="宋体" w:hAnsi="宋体"/>
          <w:color w:val="auto"/>
          <w:sz w:val="21"/>
          <w:szCs w:val="21"/>
        </w:rPr>
        <w:t>交易平台发布，视作已发放给所有投标人，以</w:t>
      </w:r>
      <w:r>
        <w:rPr>
          <w:rFonts w:ascii="宋体" w:hAnsi="宋体"/>
          <w:color w:val="auto"/>
          <w:sz w:val="21"/>
          <w:szCs w:val="21"/>
          <w:u w:val="single"/>
        </w:rPr>
        <w:t xml:space="preserve">        </w:t>
      </w:r>
      <w:r>
        <w:rPr>
          <w:rFonts w:hint="eastAsia" w:ascii="宋体" w:hAnsi="宋体"/>
          <w:color w:val="auto"/>
          <w:sz w:val="21"/>
          <w:szCs w:val="21"/>
        </w:rPr>
        <w:t>交易平台上网发布时间作为送达时间。</w:t>
      </w:r>
    </w:p>
    <w:p w14:paraId="38AA359D">
      <w:pPr>
        <w:pStyle w:val="22"/>
        <w:spacing w:after="0" w:line="360" w:lineRule="auto"/>
        <w:ind w:firstLineChars="200"/>
        <w:rPr>
          <w:rFonts w:ascii="宋体" w:hAnsi="宋体"/>
          <w:color w:val="auto"/>
          <w:sz w:val="21"/>
          <w:szCs w:val="21"/>
        </w:rPr>
      </w:pPr>
      <w:r>
        <w:rPr>
          <w:rFonts w:hint="eastAsia" w:ascii="宋体" w:hAnsi="宋体"/>
          <w:color w:val="auto"/>
          <w:sz w:val="21"/>
          <w:szCs w:val="21"/>
        </w:rPr>
        <w:t>9.3招标文件的修改内容为招标文件的组成部分。</w:t>
      </w:r>
    </w:p>
    <w:p w14:paraId="25F8BC82">
      <w:pPr>
        <w:pStyle w:val="22"/>
        <w:spacing w:after="0" w:line="360" w:lineRule="auto"/>
        <w:ind w:firstLineChars="200"/>
        <w:rPr>
          <w:rFonts w:ascii="宋体" w:hAnsi="宋体"/>
          <w:color w:val="auto"/>
          <w:sz w:val="21"/>
          <w:szCs w:val="21"/>
        </w:rPr>
      </w:pPr>
      <w:r>
        <w:rPr>
          <w:rFonts w:hint="eastAsia" w:ascii="宋体" w:hAnsi="宋体"/>
          <w:color w:val="auto"/>
          <w:sz w:val="21"/>
          <w:szCs w:val="21"/>
        </w:rPr>
        <w:t>9.4招标文件的澄清或修改均以书面形式明确的内容为准。当招标文件的澄清、修改、补充等在同一内容的表述不一致时，以最后发出的书面形式的文件为准。</w:t>
      </w:r>
    </w:p>
    <w:p w14:paraId="1AC0681C">
      <w:pPr>
        <w:pStyle w:val="22"/>
        <w:spacing w:after="0" w:line="360" w:lineRule="auto"/>
        <w:ind w:firstLineChars="200"/>
        <w:rPr>
          <w:rFonts w:ascii="宋体" w:hAnsi="宋体"/>
          <w:color w:val="auto"/>
          <w:sz w:val="21"/>
          <w:szCs w:val="21"/>
        </w:rPr>
      </w:pPr>
      <w:r>
        <w:rPr>
          <w:rFonts w:hint="eastAsia" w:ascii="宋体" w:hAnsi="宋体"/>
          <w:color w:val="auto"/>
          <w:sz w:val="21"/>
          <w:szCs w:val="21"/>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08E3A8D">
      <w:pPr>
        <w:pStyle w:val="3"/>
        <w:spacing w:before="156" w:beforeAutospacing="0" w:after="156" w:afterAutospacing="0" w:line="360" w:lineRule="auto"/>
        <w:rPr>
          <w:b/>
          <w:bCs/>
          <w:color w:val="auto"/>
          <w:sz w:val="21"/>
          <w:szCs w:val="21"/>
        </w:rPr>
      </w:pPr>
      <w:bookmarkStart w:id="15" w:name="_Toc17459"/>
      <w:bookmarkStart w:id="16" w:name="_Toc185324320"/>
      <w:bookmarkStart w:id="17" w:name="_Toc105014626"/>
      <w:r>
        <w:rPr>
          <w:rFonts w:hint="eastAsia"/>
          <w:b/>
          <w:bCs/>
          <w:color w:val="auto"/>
          <w:sz w:val="21"/>
          <w:szCs w:val="21"/>
        </w:rPr>
        <w:t>（三）投标文件的编制</w:t>
      </w:r>
      <w:bookmarkEnd w:id="15"/>
      <w:bookmarkEnd w:id="16"/>
      <w:bookmarkEnd w:id="17"/>
    </w:p>
    <w:p w14:paraId="0F83B63E">
      <w:pPr>
        <w:pStyle w:val="22"/>
        <w:spacing w:after="0" w:line="360" w:lineRule="auto"/>
        <w:ind w:firstLine="422" w:firstLineChars="200"/>
        <w:rPr>
          <w:rFonts w:ascii="宋体" w:hAnsi="宋体"/>
          <w:b/>
          <w:bCs/>
          <w:color w:val="auto"/>
          <w:sz w:val="21"/>
          <w:szCs w:val="21"/>
        </w:rPr>
      </w:pPr>
      <w:r>
        <w:rPr>
          <w:rFonts w:hint="eastAsia" w:ascii="宋体" w:hAnsi="宋体"/>
          <w:b/>
          <w:bCs/>
          <w:color w:val="auto"/>
          <w:sz w:val="21"/>
          <w:szCs w:val="21"/>
        </w:rPr>
        <w:t>10．投标文件的语言及度量衡单位</w:t>
      </w:r>
    </w:p>
    <w:p w14:paraId="0AC0C3F6">
      <w:pPr>
        <w:pStyle w:val="22"/>
        <w:spacing w:after="0" w:line="360" w:lineRule="auto"/>
        <w:ind w:firstLineChars="200"/>
        <w:rPr>
          <w:rFonts w:ascii="宋体" w:hAnsi="宋体"/>
          <w:color w:val="auto"/>
          <w:sz w:val="21"/>
          <w:szCs w:val="21"/>
        </w:rPr>
      </w:pPr>
      <w:r>
        <w:rPr>
          <w:rFonts w:hint="eastAsia" w:ascii="宋体" w:hAnsi="宋体"/>
          <w:color w:val="auto"/>
          <w:sz w:val="21"/>
          <w:szCs w:val="21"/>
        </w:rPr>
        <w:t>10.1 投标文件和与投标有关的所有文件均应使用中文。</w:t>
      </w:r>
    </w:p>
    <w:p w14:paraId="4FC45866">
      <w:pPr>
        <w:pStyle w:val="22"/>
        <w:spacing w:after="0" w:line="360" w:lineRule="auto"/>
        <w:ind w:firstLineChars="200"/>
        <w:rPr>
          <w:rFonts w:ascii="宋体" w:hAnsi="宋体"/>
          <w:color w:val="auto"/>
          <w:sz w:val="21"/>
          <w:szCs w:val="21"/>
        </w:rPr>
      </w:pPr>
      <w:r>
        <w:rPr>
          <w:rFonts w:hint="eastAsia" w:ascii="宋体" w:hAnsi="宋体"/>
          <w:color w:val="auto"/>
          <w:sz w:val="21"/>
          <w:szCs w:val="21"/>
        </w:rPr>
        <w:t>10.2 除工程规范另有规定外，投标文件使用的度量衡单位，均采用中华人民共和国法定计量单位。</w:t>
      </w:r>
    </w:p>
    <w:p w14:paraId="3DAC992A">
      <w:pPr>
        <w:pStyle w:val="22"/>
        <w:spacing w:after="0" w:line="360" w:lineRule="auto"/>
        <w:ind w:firstLine="422" w:firstLineChars="200"/>
        <w:rPr>
          <w:rFonts w:ascii="宋体" w:hAnsi="宋体"/>
          <w:b/>
          <w:bCs/>
          <w:color w:val="auto"/>
          <w:sz w:val="21"/>
          <w:szCs w:val="21"/>
        </w:rPr>
      </w:pPr>
      <w:r>
        <w:rPr>
          <w:rFonts w:hint="eastAsia" w:ascii="宋体" w:hAnsi="宋体"/>
          <w:b/>
          <w:bCs/>
          <w:color w:val="auto"/>
          <w:sz w:val="21"/>
          <w:szCs w:val="21"/>
        </w:rPr>
        <w:t>11．投标文件的组成</w:t>
      </w:r>
    </w:p>
    <w:p w14:paraId="0ABCADDD">
      <w:pPr>
        <w:pStyle w:val="22"/>
        <w:spacing w:after="0" w:line="360" w:lineRule="auto"/>
        <w:ind w:firstLineChars="200"/>
        <w:rPr>
          <w:rFonts w:ascii="宋体" w:hAnsi="宋体"/>
          <w:color w:val="auto"/>
          <w:sz w:val="21"/>
          <w:szCs w:val="21"/>
        </w:rPr>
      </w:pPr>
      <w:r>
        <w:rPr>
          <w:rFonts w:hint="eastAsia" w:ascii="宋体" w:hAnsi="宋体"/>
          <w:color w:val="auto"/>
          <w:sz w:val="21"/>
          <w:szCs w:val="21"/>
        </w:rPr>
        <w:t>11.1 投标文件由技术部分（含资格审查文件）和经济部分两部分投标文件组成。</w:t>
      </w:r>
    </w:p>
    <w:p w14:paraId="6E364146">
      <w:pPr>
        <w:spacing w:line="360" w:lineRule="auto"/>
        <w:ind w:firstLine="420" w:firstLineChars="200"/>
        <w:rPr>
          <w:rFonts w:ascii="宋体" w:hAnsi="宋体"/>
          <w:bCs/>
          <w:color w:val="auto"/>
          <w:szCs w:val="21"/>
        </w:rPr>
      </w:pPr>
      <w:r>
        <w:rPr>
          <w:rFonts w:hint="eastAsia" w:ascii="宋体" w:hAnsi="宋体"/>
          <w:bCs/>
          <w:color w:val="auto"/>
          <w:szCs w:val="21"/>
        </w:rPr>
        <w:t>11.2投标文件技术标部分主要包括下列内容：</w:t>
      </w:r>
    </w:p>
    <w:p w14:paraId="57E3E45A">
      <w:pPr>
        <w:spacing w:line="360" w:lineRule="auto"/>
        <w:ind w:firstLine="420" w:firstLineChars="200"/>
        <w:rPr>
          <w:rFonts w:ascii="宋体" w:hAnsi="宋体"/>
          <w:bCs/>
          <w:color w:val="auto"/>
          <w:szCs w:val="21"/>
        </w:rPr>
      </w:pPr>
      <w:r>
        <w:rPr>
          <w:rFonts w:hint="eastAsia" w:ascii="宋体" w:hAnsi="宋体"/>
          <w:bCs/>
          <w:color w:val="auto"/>
          <w:szCs w:val="21"/>
        </w:rPr>
        <w:t>11.2.1 技术投标文件</w:t>
      </w:r>
      <w:r>
        <w:rPr>
          <w:rFonts w:hint="eastAsia" w:ascii="宋体" w:hAnsi="宋体"/>
          <w:color w:val="auto"/>
          <w:szCs w:val="21"/>
        </w:rPr>
        <w:t>(按招标文件的要求填写)</w:t>
      </w:r>
      <w:r>
        <w:rPr>
          <w:rFonts w:hint="eastAsia" w:ascii="宋体" w:hAnsi="宋体"/>
          <w:bCs/>
          <w:color w:val="auto"/>
          <w:szCs w:val="21"/>
        </w:rPr>
        <w:t>；</w:t>
      </w:r>
    </w:p>
    <w:p w14:paraId="07F3A804">
      <w:pPr>
        <w:spacing w:line="360" w:lineRule="auto"/>
        <w:ind w:firstLine="420" w:firstLineChars="200"/>
        <w:rPr>
          <w:rFonts w:ascii="宋体" w:hAnsi="宋体"/>
          <w:bCs/>
          <w:color w:val="auto"/>
          <w:szCs w:val="21"/>
        </w:rPr>
      </w:pPr>
      <w:r>
        <w:rPr>
          <w:rFonts w:hint="eastAsia" w:ascii="宋体" w:hAnsi="宋体"/>
          <w:bCs/>
          <w:color w:val="auto"/>
          <w:szCs w:val="21"/>
        </w:rPr>
        <w:t>11.2.2 资格审查文件：</w:t>
      </w:r>
    </w:p>
    <w:p w14:paraId="30DC20A7">
      <w:pPr>
        <w:spacing w:line="360" w:lineRule="auto"/>
        <w:ind w:firstLine="420" w:firstLineChars="200"/>
        <w:rPr>
          <w:rFonts w:ascii="宋体" w:hAnsi="宋体"/>
          <w:bCs/>
          <w:color w:val="auto"/>
          <w:szCs w:val="21"/>
        </w:rPr>
      </w:pPr>
      <w:r>
        <w:rPr>
          <w:rFonts w:hint="eastAsia" w:ascii="宋体" w:hAnsi="宋体"/>
          <w:bCs/>
          <w:color w:val="auto"/>
          <w:szCs w:val="21"/>
        </w:rPr>
        <w:t xml:space="preserve">（1）投标人声明； </w:t>
      </w:r>
    </w:p>
    <w:p w14:paraId="25187329">
      <w:pPr>
        <w:spacing w:line="360" w:lineRule="auto"/>
        <w:ind w:firstLine="420" w:firstLineChars="200"/>
        <w:rPr>
          <w:rFonts w:ascii="宋体" w:hAnsi="宋体"/>
          <w:bCs/>
          <w:color w:val="auto"/>
          <w:szCs w:val="21"/>
        </w:rPr>
      </w:pPr>
      <w:r>
        <w:rPr>
          <w:rFonts w:hint="eastAsia" w:ascii="宋体" w:hAnsi="宋体"/>
          <w:bCs/>
          <w:color w:val="auto"/>
          <w:szCs w:val="21"/>
        </w:rPr>
        <w:t>（2）法定代表人证明书、法定代表人签字或盖章的本投标文件授权委托证明书；</w:t>
      </w:r>
    </w:p>
    <w:p w14:paraId="784A4798">
      <w:pPr>
        <w:spacing w:line="360" w:lineRule="auto"/>
        <w:ind w:firstLine="420" w:firstLineChars="200"/>
        <w:rPr>
          <w:rFonts w:ascii="宋体" w:hAnsi="宋体"/>
          <w:bCs/>
          <w:color w:val="auto"/>
          <w:szCs w:val="21"/>
        </w:rPr>
      </w:pPr>
      <w:r>
        <w:rPr>
          <w:rFonts w:hint="eastAsia" w:ascii="宋体" w:hAnsi="宋体"/>
          <w:bCs/>
          <w:color w:val="auto"/>
          <w:szCs w:val="21"/>
        </w:rPr>
        <w:t>（3）企业营业执照扫描件或电子证照；</w:t>
      </w:r>
    </w:p>
    <w:p w14:paraId="3F6F730E">
      <w:pPr>
        <w:spacing w:line="360" w:lineRule="auto"/>
        <w:ind w:firstLine="420" w:firstLineChars="200"/>
        <w:rPr>
          <w:rFonts w:ascii="宋体" w:hAnsi="宋体"/>
          <w:bCs/>
          <w:color w:val="auto"/>
          <w:szCs w:val="21"/>
        </w:rPr>
      </w:pPr>
      <w:r>
        <w:rPr>
          <w:rFonts w:hint="eastAsia" w:ascii="宋体" w:hAnsi="宋体"/>
          <w:bCs/>
          <w:color w:val="auto"/>
          <w:szCs w:val="21"/>
        </w:rPr>
        <w:t>（4）企业资质证书扫描件或电子证照；</w:t>
      </w:r>
    </w:p>
    <w:p w14:paraId="524DF181">
      <w:pPr>
        <w:spacing w:line="360" w:lineRule="auto"/>
        <w:ind w:firstLine="420" w:firstLineChars="200"/>
        <w:rPr>
          <w:rFonts w:ascii="宋体" w:hAnsi="宋体"/>
          <w:bCs/>
          <w:color w:val="auto"/>
          <w:szCs w:val="21"/>
        </w:rPr>
      </w:pPr>
      <w:r>
        <w:rPr>
          <w:rFonts w:hint="eastAsia" w:ascii="宋体" w:hAnsi="宋体"/>
          <w:bCs/>
          <w:color w:val="auto"/>
          <w:szCs w:val="21"/>
        </w:rPr>
        <w:t>（5）建筑施工企业安全生产许可证扫描件或电子证照；</w:t>
      </w:r>
    </w:p>
    <w:p w14:paraId="187AE4C0">
      <w:pPr>
        <w:spacing w:line="360" w:lineRule="auto"/>
        <w:ind w:firstLine="420" w:firstLineChars="200"/>
        <w:rPr>
          <w:rFonts w:ascii="宋体" w:hAnsi="宋体"/>
          <w:bCs/>
          <w:color w:val="auto"/>
          <w:szCs w:val="21"/>
        </w:rPr>
      </w:pPr>
      <w:r>
        <w:rPr>
          <w:rFonts w:hint="eastAsia" w:ascii="宋体" w:hAnsi="宋体"/>
          <w:bCs/>
          <w:color w:val="auto"/>
          <w:szCs w:val="21"/>
        </w:rPr>
        <w:t>（6）项目负责人（按网上投标登记时选择拟投入本项目的项目负责人）；</w:t>
      </w:r>
    </w:p>
    <w:p w14:paraId="7E00BB5A">
      <w:pPr>
        <w:spacing w:line="360" w:lineRule="auto"/>
        <w:ind w:firstLine="420" w:firstLineChars="200"/>
        <w:rPr>
          <w:rFonts w:ascii="宋体" w:hAnsi="宋体"/>
          <w:bCs/>
          <w:color w:val="auto"/>
          <w:szCs w:val="21"/>
        </w:rPr>
      </w:pPr>
      <w:r>
        <w:rPr>
          <w:rFonts w:hint="eastAsia" w:ascii="宋体" w:hAnsi="宋体"/>
          <w:bCs/>
          <w:color w:val="auto"/>
          <w:szCs w:val="21"/>
        </w:rPr>
        <w:t>（7）专职安全员（按网上投标登记时选择拟投入本项目的专职安全员）；</w:t>
      </w:r>
    </w:p>
    <w:p w14:paraId="175B0CEE">
      <w:pPr>
        <w:spacing w:line="360" w:lineRule="auto"/>
        <w:ind w:firstLine="420" w:firstLineChars="200"/>
        <w:rPr>
          <w:rFonts w:ascii="宋体" w:hAnsi="宋体"/>
          <w:bCs/>
          <w:color w:val="auto"/>
          <w:szCs w:val="21"/>
        </w:rPr>
      </w:pPr>
      <w:r>
        <w:rPr>
          <w:rFonts w:hint="eastAsia" w:ascii="宋体" w:hAnsi="宋体"/>
          <w:bCs/>
          <w:color w:val="auto"/>
          <w:szCs w:val="21"/>
        </w:rPr>
        <w:t>（8）拟委托技术负责人的相关证书、资料（具体要求由招标人明确）；</w:t>
      </w:r>
    </w:p>
    <w:p w14:paraId="54DC5A00">
      <w:pPr>
        <w:spacing w:line="360" w:lineRule="auto"/>
        <w:ind w:firstLine="420" w:firstLineChars="200"/>
        <w:rPr>
          <w:rFonts w:ascii="宋体" w:hAnsi="宋体"/>
          <w:bCs/>
          <w:color w:val="auto"/>
          <w:szCs w:val="21"/>
        </w:rPr>
      </w:pPr>
      <w:r>
        <w:rPr>
          <w:rFonts w:hint="eastAsia" w:ascii="宋体" w:hAnsi="宋体"/>
          <w:bCs/>
          <w:color w:val="auto"/>
          <w:szCs w:val="21"/>
        </w:rPr>
        <w:t>（9）拟委派项目负责人的有效期内的建造师注册证书扫描件或电子证书；</w:t>
      </w:r>
    </w:p>
    <w:p w14:paraId="5748CB35">
      <w:pPr>
        <w:spacing w:line="360" w:lineRule="auto"/>
        <w:ind w:firstLine="420" w:firstLineChars="200"/>
        <w:rPr>
          <w:rFonts w:ascii="宋体" w:hAnsi="宋体"/>
          <w:bCs/>
          <w:color w:val="auto"/>
          <w:szCs w:val="21"/>
        </w:rPr>
      </w:pPr>
      <w:r>
        <w:rPr>
          <w:rFonts w:hint="eastAsia" w:ascii="宋体" w:hAnsi="宋体"/>
          <w:bCs/>
          <w:color w:val="auto"/>
          <w:szCs w:val="21"/>
        </w:rPr>
        <w:t>（10）项目负责人在有效期内的安全生产考核合格证书（B类）或建筑施工企业项目负责人安全生产考核合格证书扫描件或电子证书；</w:t>
      </w:r>
    </w:p>
    <w:p w14:paraId="0F77ADF0">
      <w:pPr>
        <w:spacing w:line="360" w:lineRule="auto"/>
        <w:ind w:firstLine="420" w:firstLineChars="200"/>
        <w:rPr>
          <w:rFonts w:ascii="宋体" w:hAnsi="宋体"/>
          <w:bCs/>
          <w:color w:val="auto"/>
          <w:szCs w:val="21"/>
        </w:rPr>
      </w:pPr>
      <w:r>
        <w:rPr>
          <w:rFonts w:hint="eastAsia" w:ascii="宋体" w:hAnsi="宋体"/>
          <w:bCs/>
          <w:color w:val="auto"/>
          <w:szCs w:val="21"/>
        </w:rPr>
        <w:t>（11）专职安全员须具有在有效期内的安全生产考核合格证书（C类）或建筑施工企业专职安全生产管理人员安全生产考核合格证书扫描件或电子证书；</w:t>
      </w:r>
    </w:p>
    <w:p w14:paraId="57FDD426">
      <w:pPr>
        <w:spacing w:line="360" w:lineRule="auto"/>
        <w:ind w:firstLine="420" w:firstLineChars="200"/>
        <w:rPr>
          <w:rFonts w:ascii="宋体" w:hAnsi="宋体"/>
          <w:bCs/>
          <w:color w:val="auto"/>
          <w:szCs w:val="21"/>
        </w:rPr>
      </w:pPr>
      <w:r>
        <w:rPr>
          <w:rFonts w:hint="eastAsia" w:ascii="宋体" w:hAnsi="宋体"/>
          <w:bCs/>
          <w:color w:val="auto"/>
          <w:szCs w:val="21"/>
        </w:rPr>
        <w:t>（12）用于资格审查的业绩（设置业绩要求时选择此项，投标人</w:t>
      </w:r>
      <w:r>
        <w:rPr>
          <w:rFonts w:hint="eastAsia" w:ascii="宋体" w:hAnsi="宋体"/>
          <w:color w:val="auto"/>
          <w:szCs w:val="21"/>
        </w:rPr>
        <w:t>须提供类似工程业绩的项目名称及项目编号，具体格式由招标人自定</w:t>
      </w:r>
      <w:r>
        <w:rPr>
          <w:rFonts w:hint="eastAsia" w:ascii="宋体" w:hAnsi="宋体"/>
          <w:bCs/>
          <w:color w:val="auto"/>
          <w:szCs w:val="21"/>
        </w:rPr>
        <w:t>）；</w:t>
      </w:r>
    </w:p>
    <w:p w14:paraId="0FBBB1F8">
      <w:pPr>
        <w:spacing w:line="360" w:lineRule="auto"/>
        <w:ind w:firstLine="420" w:firstLineChars="200"/>
        <w:rPr>
          <w:rFonts w:ascii="宋体" w:hAnsi="宋体"/>
          <w:bCs/>
          <w:color w:val="auto"/>
          <w:szCs w:val="21"/>
        </w:rPr>
      </w:pPr>
      <w:r>
        <w:rPr>
          <w:rFonts w:hint="eastAsia" w:ascii="宋体" w:hAnsi="宋体"/>
          <w:bCs/>
          <w:color w:val="auto"/>
          <w:szCs w:val="21"/>
        </w:rPr>
        <w:t>（13）资格审查前，投标人须在广州市住房和城乡建设局建立企业信用档案，拟担任本工程项目负责人、专职安全员须是本企业信用档案中的在册人员；</w:t>
      </w:r>
    </w:p>
    <w:p w14:paraId="42A266F8">
      <w:pPr>
        <w:spacing w:line="360" w:lineRule="auto"/>
        <w:ind w:firstLine="420" w:firstLineChars="200"/>
        <w:rPr>
          <w:rFonts w:ascii="宋体" w:hAnsi="宋体"/>
          <w:bCs/>
          <w:color w:val="auto"/>
          <w:szCs w:val="21"/>
        </w:rPr>
      </w:pPr>
      <w:r>
        <w:rPr>
          <w:rFonts w:hint="eastAsia" w:ascii="宋体" w:hAnsi="宋体"/>
          <w:bCs/>
          <w:color w:val="auto"/>
          <w:szCs w:val="21"/>
        </w:rPr>
        <w:t>（14）列明主办单位的联合体工作协议（采用联合体投标时需递交，投标人拟任本工程项目负责人应为联合体主办方信用档案中的在册人员，</w:t>
      </w:r>
      <w:r>
        <w:rPr>
          <w:rFonts w:hint="eastAsia" w:ascii="宋体" w:hAnsi="宋体"/>
          <w:color w:val="auto"/>
          <w:szCs w:val="21"/>
        </w:rPr>
        <w:t>联合体工作协议应明确约定各方拟承担的工作和责任</w:t>
      </w:r>
      <w:r>
        <w:rPr>
          <w:rFonts w:hint="eastAsia" w:ascii="宋体" w:hAnsi="宋体"/>
          <w:bCs/>
          <w:color w:val="auto"/>
          <w:szCs w:val="21"/>
        </w:rPr>
        <w:t xml:space="preserve">）； </w:t>
      </w:r>
    </w:p>
    <w:p w14:paraId="59220124">
      <w:pPr>
        <w:spacing w:line="360" w:lineRule="auto"/>
        <w:ind w:firstLine="420" w:firstLineChars="200"/>
        <w:rPr>
          <w:rFonts w:ascii="宋体" w:hAnsi="宋体"/>
          <w:bCs/>
          <w:color w:val="auto"/>
          <w:szCs w:val="21"/>
        </w:rPr>
      </w:pPr>
      <w:r>
        <w:rPr>
          <w:rFonts w:hint="eastAsia" w:ascii="宋体" w:hAnsi="宋体"/>
          <w:bCs/>
          <w:color w:val="auto"/>
          <w:szCs w:val="21"/>
        </w:rPr>
        <w:t>注：1.相关电子证书按规定需打印后手写本人签名的，应按照规定手写本人签名后再扫描提交。</w:t>
      </w:r>
    </w:p>
    <w:p w14:paraId="6C133C0B">
      <w:pPr>
        <w:spacing w:line="360" w:lineRule="auto"/>
        <w:ind w:firstLine="420" w:firstLineChars="200"/>
        <w:rPr>
          <w:rFonts w:ascii="宋体" w:hAnsi="宋体"/>
          <w:bCs/>
          <w:color w:val="auto"/>
          <w:szCs w:val="21"/>
        </w:rPr>
      </w:pPr>
      <w:r>
        <w:rPr>
          <w:rFonts w:hint="eastAsia" w:ascii="宋体" w:hAnsi="宋体"/>
          <w:bCs/>
          <w:color w:val="auto"/>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EAA9927">
      <w:pPr>
        <w:spacing w:line="360" w:lineRule="auto"/>
        <w:ind w:firstLine="420" w:firstLineChars="200"/>
        <w:rPr>
          <w:rFonts w:ascii="宋体" w:hAnsi="宋体"/>
          <w:color w:val="auto"/>
          <w:szCs w:val="21"/>
        </w:rPr>
      </w:pPr>
      <w:r>
        <w:rPr>
          <w:rFonts w:hint="eastAsia" w:ascii="宋体" w:hAnsi="宋体"/>
          <w:color w:val="auto"/>
          <w:szCs w:val="21"/>
        </w:rPr>
        <w:t>11.2.3项目管理机构配备。</w:t>
      </w:r>
    </w:p>
    <w:p w14:paraId="0C379578">
      <w:pPr>
        <w:spacing w:line="360" w:lineRule="auto"/>
        <w:ind w:firstLine="420" w:firstLineChars="200"/>
        <w:rPr>
          <w:rFonts w:ascii="宋体" w:hAnsi="宋体"/>
          <w:color w:val="auto"/>
          <w:szCs w:val="21"/>
        </w:rPr>
      </w:pPr>
      <w:r>
        <w:rPr>
          <w:rFonts w:hint="eastAsia" w:ascii="宋体" w:hAnsi="宋体"/>
          <w:color w:val="auto"/>
          <w:szCs w:val="21"/>
        </w:rPr>
        <w:t>（1）投标人应列出该项目工程的施工组织机构构成和画出机构框架图及其负责人；</w:t>
      </w:r>
    </w:p>
    <w:p w14:paraId="1D434F5F">
      <w:pPr>
        <w:spacing w:line="360" w:lineRule="auto"/>
        <w:ind w:firstLine="420" w:firstLineChars="200"/>
        <w:rPr>
          <w:rFonts w:ascii="宋体" w:hAnsi="宋体"/>
          <w:color w:val="auto"/>
          <w:szCs w:val="21"/>
        </w:rPr>
      </w:pPr>
      <w:r>
        <w:rPr>
          <w:rFonts w:hint="eastAsia" w:ascii="宋体" w:hAnsi="宋体"/>
          <w:color w:val="auto"/>
          <w:szCs w:val="21"/>
        </w:rPr>
        <w:t>（2）投标人应详细列出该施工组织机构中主要成员的名单、简历资料、职务职称和在本项目中拟担任的职务等资料，并附上有关证明材料扫描件；</w:t>
      </w:r>
    </w:p>
    <w:p w14:paraId="2FCD2D7F">
      <w:pPr>
        <w:spacing w:line="360" w:lineRule="auto"/>
        <w:ind w:firstLine="420" w:firstLineChars="200"/>
        <w:rPr>
          <w:rFonts w:ascii="宋体" w:hAnsi="宋体"/>
          <w:color w:val="auto"/>
          <w:szCs w:val="21"/>
        </w:rPr>
      </w:pPr>
      <w:r>
        <w:rPr>
          <w:rFonts w:hint="eastAsia" w:ascii="宋体" w:hAnsi="宋体"/>
          <w:color w:val="auto"/>
          <w:szCs w:val="21"/>
        </w:rPr>
        <w:t>（3）其他辅助说明资料。</w:t>
      </w:r>
    </w:p>
    <w:p w14:paraId="60AD84F5">
      <w:pPr>
        <w:spacing w:line="360" w:lineRule="auto"/>
        <w:ind w:firstLine="420" w:firstLineChars="200"/>
        <w:rPr>
          <w:rFonts w:ascii="宋体" w:hAnsi="宋体"/>
          <w:color w:val="auto"/>
          <w:szCs w:val="21"/>
        </w:rPr>
      </w:pPr>
      <w:r>
        <w:rPr>
          <w:rFonts w:hint="eastAsia" w:ascii="宋体" w:hAnsi="宋体"/>
          <w:color w:val="auto"/>
          <w:szCs w:val="21"/>
        </w:rPr>
        <w:t>11.2.4投标人在广州市可使用适合本工程的机械设备（附：机械设备为自有或租赁的说明；及承诺机械设备如属于租赁的，其租赁是不属于重复租赁）。</w:t>
      </w:r>
    </w:p>
    <w:p w14:paraId="61F1F666">
      <w:pPr>
        <w:spacing w:line="360" w:lineRule="auto"/>
        <w:ind w:firstLine="420" w:firstLineChars="200"/>
        <w:rPr>
          <w:rFonts w:ascii="宋体" w:hAnsi="宋体"/>
          <w:color w:val="auto"/>
          <w:szCs w:val="21"/>
        </w:rPr>
      </w:pPr>
      <w:r>
        <w:rPr>
          <w:rFonts w:hint="eastAsia" w:ascii="宋体" w:hAnsi="宋体"/>
          <w:color w:val="auto"/>
          <w:szCs w:val="21"/>
        </w:rPr>
        <w:t>11.2.5施工组织设计或施工方案</w:t>
      </w:r>
    </w:p>
    <w:p w14:paraId="3B4C3125">
      <w:pPr>
        <w:spacing w:line="360" w:lineRule="auto"/>
        <w:ind w:firstLine="420" w:firstLineChars="200"/>
        <w:rPr>
          <w:rFonts w:ascii="宋体" w:hAnsi="宋体"/>
          <w:color w:val="auto"/>
          <w:szCs w:val="21"/>
        </w:rPr>
      </w:pPr>
      <w:r>
        <w:rPr>
          <w:rFonts w:hint="eastAsia" w:ascii="宋体" w:hAnsi="宋体"/>
          <w:color w:val="auto"/>
          <w:szCs w:val="21"/>
        </w:rPr>
        <w:t>（1）投标人在编制施工组织设计或施工方案时应按照招标人提出的施工现场建筑垃圾源头减量的具体要求以及建筑垃圾综合利用产品的使用要求提供相应措施。</w:t>
      </w:r>
    </w:p>
    <w:p w14:paraId="70FA2402">
      <w:pPr>
        <w:spacing w:line="360" w:lineRule="auto"/>
        <w:ind w:firstLine="420" w:firstLineChars="200"/>
        <w:rPr>
          <w:rFonts w:ascii="宋体" w:hAnsi="宋体"/>
          <w:b/>
          <w:bCs/>
          <w:color w:val="auto"/>
          <w:szCs w:val="21"/>
        </w:rPr>
      </w:pPr>
      <w:r>
        <w:rPr>
          <w:rFonts w:hint="eastAsia" w:ascii="宋体" w:hAnsi="宋体"/>
          <w:color w:val="auto"/>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7579846">
      <w:pPr>
        <w:spacing w:line="360" w:lineRule="auto"/>
        <w:ind w:firstLine="420" w:firstLineChars="200"/>
        <w:rPr>
          <w:rFonts w:ascii="宋体" w:hAnsi="宋体"/>
          <w:color w:val="auto"/>
          <w:szCs w:val="21"/>
        </w:rPr>
      </w:pPr>
      <w:r>
        <w:rPr>
          <w:rFonts w:hint="eastAsia" w:ascii="宋体" w:hAnsi="宋体"/>
          <w:color w:val="auto"/>
          <w:szCs w:val="21"/>
        </w:rPr>
        <w:t>11.2.6按照</w:t>
      </w:r>
      <w:r>
        <w:rPr>
          <w:rFonts w:hint="eastAsia" w:ascii="宋体" w:hAnsi="宋体"/>
          <w:bCs/>
          <w:color w:val="auto"/>
          <w:szCs w:val="21"/>
        </w:rPr>
        <w:t>招标文件要求</w:t>
      </w:r>
      <w:r>
        <w:rPr>
          <w:rFonts w:hint="eastAsia" w:ascii="宋体" w:hAnsi="宋体"/>
          <w:color w:val="auto"/>
          <w:szCs w:val="21"/>
        </w:rPr>
        <w:t>填写的《参与编制技术标投标文件人员名单》。</w:t>
      </w:r>
    </w:p>
    <w:p w14:paraId="2ED23445">
      <w:pPr>
        <w:spacing w:line="360" w:lineRule="auto"/>
        <w:ind w:firstLine="420" w:firstLineChars="200"/>
        <w:rPr>
          <w:rFonts w:ascii="宋体" w:hAnsi="宋体"/>
          <w:bCs/>
          <w:color w:val="auto"/>
          <w:szCs w:val="21"/>
        </w:rPr>
      </w:pPr>
      <w:r>
        <w:rPr>
          <w:rFonts w:hint="eastAsia" w:ascii="宋体" w:hAnsi="宋体"/>
          <w:bCs/>
          <w:color w:val="auto"/>
          <w:szCs w:val="21"/>
        </w:rPr>
        <w:t>11.3 经济部分投标文件主要包括下列内容：</w:t>
      </w:r>
    </w:p>
    <w:p w14:paraId="27FEEFC9">
      <w:pPr>
        <w:spacing w:line="360" w:lineRule="auto"/>
        <w:ind w:firstLine="420" w:firstLineChars="200"/>
        <w:rPr>
          <w:rFonts w:ascii="宋体" w:hAnsi="宋体"/>
          <w:color w:val="auto"/>
          <w:szCs w:val="21"/>
        </w:rPr>
      </w:pPr>
      <w:r>
        <w:rPr>
          <w:rFonts w:hint="eastAsia" w:ascii="宋体" w:hAnsi="宋体"/>
          <w:color w:val="auto"/>
          <w:szCs w:val="21"/>
        </w:rPr>
        <w:t>11.3.1 经济投标文件(按招标文件的要求填写)。</w:t>
      </w:r>
    </w:p>
    <w:p w14:paraId="05A5E27E">
      <w:pPr>
        <w:spacing w:line="360" w:lineRule="auto"/>
        <w:ind w:firstLine="420" w:firstLineChars="200"/>
        <w:rPr>
          <w:rFonts w:ascii="宋体" w:hAnsi="宋体"/>
          <w:color w:val="auto"/>
          <w:szCs w:val="21"/>
        </w:rPr>
      </w:pPr>
      <w:r>
        <w:rPr>
          <w:rFonts w:hint="eastAsia" w:ascii="宋体" w:hAnsi="宋体"/>
          <w:color w:val="auto"/>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32DBDD14">
      <w:pPr>
        <w:spacing w:line="360" w:lineRule="auto"/>
        <w:ind w:firstLine="495" w:firstLineChars="236"/>
        <w:rPr>
          <w:rFonts w:ascii="宋体" w:hAnsi="宋体"/>
          <w:color w:val="auto"/>
          <w:szCs w:val="21"/>
        </w:rPr>
      </w:pPr>
      <w:r>
        <w:rPr>
          <w:rFonts w:hint="eastAsia" w:ascii="宋体" w:hAnsi="宋体"/>
          <w:color w:val="auto"/>
          <w:szCs w:val="21"/>
        </w:rPr>
        <w:t>（1）投标总价封面、扉页；</w:t>
      </w:r>
    </w:p>
    <w:p w14:paraId="58AA6590">
      <w:pPr>
        <w:spacing w:line="360" w:lineRule="auto"/>
        <w:ind w:firstLine="495" w:firstLineChars="236"/>
        <w:rPr>
          <w:rFonts w:ascii="宋体" w:hAnsi="宋体"/>
          <w:color w:val="auto"/>
          <w:szCs w:val="21"/>
        </w:rPr>
      </w:pPr>
      <w:r>
        <w:rPr>
          <w:rFonts w:hint="eastAsia" w:ascii="宋体" w:hAnsi="宋体"/>
          <w:color w:val="auto"/>
          <w:szCs w:val="21"/>
        </w:rPr>
        <w:t>（2）总说明；</w:t>
      </w:r>
    </w:p>
    <w:p w14:paraId="67B1F4B6">
      <w:pPr>
        <w:spacing w:line="360" w:lineRule="auto"/>
        <w:ind w:firstLine="495" w:firstLineChars="236"/>
        <w:rPr>
          <w:rFonts w:ascii="宋体" w:hAnsi="宋体"/>
          <w:color w:val="auto"/>
          <w:szCs w:val="21"/>
        </w:rPr>
      </w:pPr>
      <w:r>
        <w:rPr>
          <w:rFonts w:hint="eastAsia" w:ascii="宋体" w:hAnsi="宋体"/>
          <w:color w:val="auto"/>
          <w:szCs w:val="21"/>
        </w:rPr>
        <w:t>（3）工程项目投标报价汇总表；</w:t>
      </w:r>
    </w:p>
    <w:p w14:paraId="11FD18A4">
      <w:pPr>
        <w:spacing w:line="360" w:lineRule="auto"/>
        <w:ind w:firstLine="495" w:firstLineChars="236"/>
        <w:rPr>
          <w:rFonts w:ascii="宋体" w:hAnsi="宋体"/>
          <w:color w:val="auto"/>
          <w:szCs w:val="21"/>
        </w:rPr>
      </w:pPr>
      <w:r>
        <w:rPr>
          <w:rFonts w:hint="eastAsia" w:ascii="宋体" w:hAnsi="宋体"/>
          <w:color w:val="auto"/>
          <w:szCs w:val="21"/>
        </w:rPr>
        <w:t>（4）单项工程投标报价汇总表；</w:t>
      </w:r>
    </w:p>
    <w:p w14:paraId="75311A39">
      <w:pPr>
        <w:spacing w:line="360" w:lineRule="auto"/>
        <w:ind w:firstLine="495" w:firstLineChars="236"/>
        <w:rPr>
          <w:rFonts w:ascii="宋体" w:hAnsi="宋体"/>
          <w:color w:val="auto"/>
          <w:szCs w:val="21"/>
        </w:rPr>
      </w:pPr>
      <w:r>
        <w:rPr>
          <w:rFonts w:hint="eastAsia" w:ascii="宋体" w:hAnsi="宋体"/>
          <w:color w:val="auto"/>
          <w:szCs w:val="21"/>
        </w:rPr>
        <w:t>（5）单位工程投标报价汇总表；</w:t>
      </w:r>
    </w:p>
    <w:p w14:paraId="4F2BADFE">
      <w:pPr>
        <w:spacing w:line="360" w:lineRule="auto"/>
        <w:ind w:firstLine="495" w:firstLineChars="236"/>
        <w:rPr>
          <w:rFonts w:ascii="宋体" w:hAnsi="宋体"/>
          <w:color w:val="auto"/>
          <w:szCs w:val="21"/>
        </w:rPr>
      </w:pPr>
      <w:r>
        <w:rPr>
          <w:rFonts w:hint="eastAsia" w:ascii="宋体" w:hAnsi="宋体"/>
          <w:color w:val="auto"/>
          <w:szCs w:val="21"/>
        </w:rPr>
        <w:t>（6）分部分项工程清单与计价表；</w:t>
      </w:r>
    </w:p>
    <w:p w14:paraId="5577F979">
      <w:pPr>
        <w:spacing w:line="360" w:lineRule="auto"/>
        <w:ind w:firstLine="495" w:firstLineChars="236"/>
        <w:rPr>
          <w:rFonts w:ascii="宋体" w:hAnsi="宋体"/>
          <w:color w:val="auto"/>
          <w:szCs w:val="21"/>
        </w:rPr>
      </w:pPr>
      <w:r>
        <w:rPr>
          <w:rFonts w:hint="eastAsia" w:ascii="宋体" w:hAnsi="宋体"/>
          <w:color w:val="auto"/>
          <w:szCs w:val="21"/>
        </w:rPr>
        <w:t>（7）单价措施项目清单与计价表；</w:t>
      </w:r>
    </w:p>
    <w:p w14:paraId="23A80D70">
      <w:pPr>
        <w:spacing w:line="360" w:lineRule="auto"/>
        <w:ind w:firstLine="495" w:firstLineChars="236"/>
        <w:rPr>
          <w:rFonts w:ascii="宋体" w:hAnsi="宋体"/>
          <w:color w:val="auto"/>
          <w:szCs w:val="21"/>
        </w:rPr>
      </w:pPr>
      <w:r>
        <w:rPr>
          <w:rFonts w:hint="eastAsia" w:ascii="宋体" w:hAnsi="宋体"/>
          <w:color w:val="auto"/>
          <w:szCs w:val="21"/>
        </w:rPr>
        <w:t>（8）总价措施项目清单与计价表；</w:t>
      </w:r>
    </w:p>
    <w:p w14:paraId="252F8E8F">
      <w:pPr>
        <w:spacing w:line="360" w:lineRule="auto"/>
        <w:ind w:firstLine="495" w:firstLineChars="236"/>
        <w:rPr>
          <w:rFonts w:ascii="宋体" w:hAnsi="宋体"/>
          <w:color w:val="auto"/>
          <w:szCs w:val="21"/>
        </w:rPr>
      </w:pPr>
      <w:r>
        <w:rPr>
          <w:rFonts w:hint="eastAsia" w:ascii="宋体" w:hAnsi="宋体"/>
          <w:color w:val="auto"/>
          <w:szCs w:val="21"/>
        </w:rPr>
        <w:t>（9）综合单价分析表；</w:t>
      </w:r>
    </w:p>
    <w:p w14:paraId="349A7CC4">
      <w:pPr>
        <w:spacing w:line="360" w:lineRule="auto"/>
        <w:ind w:firstLine="495" w:firstLineChars="236"/>
        <w:rPr>
          <w:rFonts w:ascii="宋体" w:hAnsi="宋体"/>
          <w:color w:val="auto"/>
          <w:szCs w:val="21"/>
        </w:rPr>
      </w:pPr>
      <w:r>
        <w:rPr>
          <w:rFonts w:hint="eastAsia" w:ascii="宋体" w:hAnsi="宋体"/>
          <w:color w:val="auto"/>
          <w:szCs w:val="21"/>
        </w:rPr>
        <w:t>（10）其他项目清单与计价汇总表；</w:t>
      </w:r>
    </w:p>
    <w:p w14:paraId="1BB3E7A3">
      <w:pPr>
        <w:spacing w:line="360" w:lineRule="auto"/>
        <w:ind w:firstLine="495" w:firstLineChars="236"/>
        <w:rPr>
          <w:rFonts w:ascii="宋体" w:hAnsi="宋体"/>
          <w:color w:val="auto"/>
          <w:szCs w:val="21"/>
        </w:rPr>
      </w:pPr>
      <w:r>
        <w:rPr>
          <w:rFonts w:hint="eastAsia" w:ascii="宋体" w:hAnsi="宋体"/>
          <w:color w:val="auto"/>
          <w:szCs w:val="21"/>
        </w:rPr>
        <w:t>（11）暂列金额明细表；</w:t>
      </w:r>
    </w:p>
    <w:p w14:paraId="267AE16A">
      <w:pPr>
        <w:spacing w:line="360" w:lineRule="auto"/>
        <w:ind w:firstLine="495" w:firstLineChars="236"/>
        <w:rPr>
          <w:rFonts w:ascii="宋体" w:hAnsi="宋体"/>
          <w:color w:val="auto"/>
          <w:szCs w:val="21"/>
        </w:rPr>
      </w:pPr>
      <w:r>
        <w:rPr>
          <w:rFonts w:hint="eastAsia" w:ascii="宋体" w:hAnsi="宋体"/>
          <w:color w:val="auto"/>
          <w:szCs w:val="21"/>
        </w:rPr>
        <w:t>（12）材料（工程设备）暂估价明细表；</w:t>
      </w:r>
    </w:p>
    <w:p w14:paraId="4C267986">
      <w:pPr>
        <w:spacing w:line="360" w:lineRule="auto"/>
        <w:ind w:firstLine="495" w:firstLineChars="236"/>
        <w:rPr>
          <w:rFonts w:ascii="宋体" w:hAnsi="宋体"/>
          <w:color w:val="auto"/>
          <w:szCs w:val="21"/>
        </w:rPr>
      </w:pPr>
      <w:r>
        <w:rPr>
          <w:rFonts w:hint="eastAsia" w:ascii="宋体" w:hAnsi="宋体"/>
          <w:color w:val="auto"/>
          <w:szCs w:val="21"/>
        </w:rPr>
        <w:t>（13）专业工程暂估价明细表；</w:t>
      </w:r>
    </w:p>
    <w:p w14:paraId="6B4AE6D0">
      <w:pPr>
        <w:spacing w:line="360" w:lineRule="auto"/>
        <w:ind w:firstLine="495" w:firstLineChars="236"/>
        <w:rPr>
          <w:rFonts w:ascii="宋体" w:hAnsi="宋体"/>
          <w:color w:val="auto"/>
          <w:szCs w:val="21"/>
        </w:rPr>
      </w:pPr>
      <w:r>
        <w:rPr>
          <w:rFonts w:hint="eastAsia" w:ascii="宋体" w:hAnsi="宋体"/>
          <w:color w:val="auto"/>
          <w:szCs w:val="21"/>
        </w:rPr>
        <w:t>（14）计日工表；</w:t>
      </w:r>
    </w:p>
    <w:p w14:paraId="08A0958A">
      <w:pPr>
        <w:spacing w:line="360" w:lineRule="auto"/>
        <w:ind w:firstLine="495" w:firstLineChars="236"/>
        <w:rPr>
          <w:rFonts w:ascii="宋体" w:hAnsi="宋体"/>
          <w:color w:val="auto"/>
          <w:szCs w:val="21"/>
        </w:rPr>
      </w:pPr>
      <w:r>
        <w:rPr>
          <w:rFonts w:hint="eastAsia" w:ascii="宋体" w:hAnsi="宋体"/>
          <w:color w:val="auto"/>
          <w:szCs w:val="21"/>
        </w:rPr>
        <w:t>（15）总承包服务计价表；</w:t>
      </w:r>
    </w:p>
    <w:p w14:paraId="72AAE135">
      <w:pPr>
        <w:spacing w:line="360" w:lineRule="auto"/>
        <w:ind w:firstLine="495" w:firstLineChars="236"/>
        <w:rPr>
          <w:rFonts w:ascii="宋体" w:hAnsi="宋体"/>
          <w:color w:val="auto"/>
          <w:szCs w:val="21"/>
        </w:rPr>
      </w:pPr>
      <w:r>
        <w:rPr>
          <w:rFonts w:hint="eastAsia" w:ascii="宋体" w:hAnsi="宋体"/>
          <w:color w:val="auto"/>
          <w:szCs w:val="21"/>
        </w:rPr>
        <w:t>（16）规费和税金项目计价表；</w:t>
      </w:r>
    </w:p>
    <w:p w14:paraId="4EA78FEC">
      <w:pPr>
        <w:spacing w:line="360" w:lineRule="auto"/>
        <w:ind w:firstLine="420" w:firstLineChars="200"/>
        <w:rPr>
          <w:rFonts w:ascii="宋体" w:hAnsi="宋体"/>
          <w:color w:val="auto"/>
          <w:szCs w:val="21"/>
        </w:rPr>
      </w:pPr>
      <w:r>
        <w:rPr>
          <w:rFonts w:hint="eastAsia" w:ascii="宋体" w:hAnsi="宋体"/>
          <w:color w:val="auto"/>
          <w:szCs w:val="21"/>
        </w:rPr>
        <w:t xml:space="preserve"> （17）人工、主要材料和设备一览表。</w:t>
      </w:r>
    </w:p>
    <w:p w14:paraId="5155D9BC">
      <w:pPr>
        <w:spacing w:line="360" w:lineRule="auto"/>
        <w:ind w:firstLine="420" w:firstLineChars="200"/>
        <w:rPr>
          <w:rFonts w:ascii="宋体" w:hAnsi="宋体"/>
          <w:color w:val="auto"/>
          <w:szCs w:val="21"/>
        </w:rPr>
      </w:pPr>
      <w:r>
        <w:rPr>
          <w:rFonts w:hint="eastAsia" w:ascii="宋体" w:hAnsi="宋体"/>
          <w:color w:val="auto"/>
          <w:szCs w:val="21"/>
        </w:rPr>
        <w:t>11.3.3按照</w:t>
      </w:r>
      <w:r>
        <w:rPr>
          <w:rFonts w:hint="eastAsia" w:ascii="宋体" w:hAnsi="宋体"/>
          <w:bCs/>
          <w:color w:val="auto"/>
          <w:szCs w:val="21"/>
        </w:rPr>
        <w:t>招标文件要求</w:t>
      </w:r>
      <w:r>
        <w:rPr>
          <w:rFonts w:hint="eastAsia" w:ascii="宋体" w:hAnsi="宋体"/>
          <w:color w:val="auto"/>
          <w:szCs w:val="21"/>
        </w:rPr>
        <w:t>填写的《参与编制经济标投标文件人员名单》。</w:t>
      </w:r>
    </w:p>
    <w:p w14:paraId="26B3BE86">
      <w:pPr>
        <w:spacing w:line="360" w:lineRule="auto"/>
        <w:ind w:firstLine="420" w:firstLineChars="200"/>
        <w:rPr>
          <w:rFonts w:ascii="宋体" w:hAnsi="宋体"/>
          <w:color w:val="auto"/>
          <w:szCs w:val="21"/>
        </w:rPr>
      </w:pPr>
      <w:r>
        <w:rPr>
          <w:rFonts w:hint="eastAsia" w:ascii="宋体" w:hAnsi="宋体"/>
          <w:color w:val="auto"/>
          <w:szCs w:val="21"/>
        </w:rPr>
        <w:t>11.3.4若投标人的投标报价低于工程成本警戒价的，投标人还须提供详细的施工组织设计、单价、措施性费用、单价分析表、主要材料价格表、投标人成本分析供评标委员会评审。</w:t>
      </w:r>
    </w:p>
    <w:p w14:paraId="49367521">
      <w:pPr>
        <w:pStyle w:val="22"/>
        <w:spacing w:after="0" w:line="360" w:lineRule="auto"/>
        <w:ind w:firstLine="422" w:firstLineChars="200"/>
        <w:rPr>
          <w:rFonts w:ascii="宋体" w:hAnsi="宋体"/>
          <w:b/>
          <w:bCs/>
          <w:color w:val="auto"/>
          <w:sz w:val="21"/>
          <w:szCs w:val="21"/>
        </w:rPr>
      </w:pPr>
      <w:r>
        <w:rPr>
          <w:rFonts w:hint="eastAsia" w:ascii="宋体" w:hAnsi="宋体"/>
          <w:b/>
          <w:bCs/>
          <w:color w:val="auto"/>
          <w:sz w:val="21"/>
          <w:szCs w:val="21"/>
        </w:rPr>
        <w:t>12．投标文件格式</w:t>
      </w:r>
    </w:p>
    <w:p w14:paraId="15732DB7">
      <w:pPr>
        <w:pStyle w:val="22"/>
        <w:spacing w:after="0" w:line="360" w:lineRule="auto"/>
        <w:ind w:firstLineChars="200"/>
        <w:rPr>
          <w:rFonts w:ascii="宋体" w:hAnsi="宋体"/>
          <w:color w:val="auto"/>
          <w:sz w:val="21"/>
          <w:szCs w:val="21"/>
        </w:rPr>
      </w:pPr>
      <w:r>
        <w:rPr>
          <w:rFonts w:hint="eastAsia" w:ascii="宋体" w:hAnsi="宋体"/>
          <w:color w:val="auto"/>
          <w:sz w:val="21"/>
          <w:szCs w:val="21"/>
        </w:rPr>
        <w:t>12.1 投标文件包括本须知第11条中规定的内容，投标人提交的投标文件应当使用招标文件所提供的投标文件全部格式（表格可以按同样格式扩展）。</w:t>
      </w:r>
    </w:p>
    <w:p w14:paraId="45C114B5">
      <w:pPr>
        <w:pStyle w:val="22"/>
        <w:spacing w:after="0" w:line="360" w:lineRule="auto"/>
        <w:ind w:firstLineChars="200"/>
        <w:rPr>
          <w:rFonts w:ascii="宋体" w:hAnsi="宋体"/>
          <w:color w:val="auto"/>
          <w:sz w:val="21"/>
          <w:szCs w:val="21"/>
        </w:rPr>
      </w:pPr>
      <w:r>
        <w:rPr>
          <w:rFonts w:hint="eastAsia" w:ascii="宋体" w:hAnsi="宋体"/>
          <w:color w:val="auto"/>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 xml:space="preserve"> 。</w:t>
      </w:r>
    </w:p>
    <w:p w14:paraId="114CB769">
      <w:pPr>
        <w:pStyle w:val="22"/>
        <w:spacing w:after="0" w:line="360" w:lineRule="auto"/>
        <w:ind w:firstLineChars="200"/>
        <w:rPr>
          <w:rFonts w:ascii="宋体" w:hAnsi="宋体"/>
          <w:color w:val="auto"/>
          <w:sz w:val="21"/>
          <w:szCs w:val="21"/>
        </w:rPr>
      </w:pPr>
      <w:r>
        <w:rPr>
          <w:rFonts w:hint="eastAsia" w:ascii="宋体" w:hAnsi="宋体"/>
          <w:color w:val="auto"/>
          <w:sz w:val="21"/>
          <w:szCs w:val="21"/>
        </w:rPr>
        <w:t>注释：投标文件电子文档需要投标人单位盖章的材料，投标人加盖电子印章即可，不得将投标人未对电子文档加盖实物印章作为否决投标的情形。</w:t>
      </w:r>
    </w:p>
    <w:p w14:paraId="0E6B00CA">
      <w:pPr>
        <w:pStyle w:val="22"/>
        <w:spacing w:after="0" w:line="360" w:lineRule="auto"/>
        <w:ind w:firstLineChars="200"/>
        <w:rPr>
          <w:rFonts w:ascii="宋体" w:hAnsi="宋体"/>
          <w:color w:val="auto"/>
          <w:sz w:val="21"/>
          <w:szCs w:val="21"/>
        </w:rPr>
      </w:pPr>
      <w:r>
        <w:rPr>
          <w:rFonts w:hint="eastAsia" w:ascii="宋体" w:hAnsi="宋体"/>
          <w:color w:val="auto"/>
          <w:sz w:val="21"/>
          <w:szCs w:val="21"/>
        </w:rPr>
        <w:t xml:space="preserve">12.3 </w:t>
      </w:r>
      <w:r>
        <w:rPr>
          <w:rFonts w:hint="eastAsia" w:ascii="宋体" w:hAnsi="宋体"/>
          <w:bCs/>
          <w:color w:val="auto"/>
          <w:sz w:val="21"/>
          <w:szCs w:val="21"/>
        </w:rPr>
        <w:t>投标文件应按</w:t>
      </w:r>
      <w:r>
        <w:rPr>
          <w:rFonts w:hint="eastAsia" w:ascii="宋体" w:hAnsi="宋体"/>
          <w:color w:val="auto"/>
          <w:sz w:val="21"/>
          <w:szCs w:val="21"/>
        </w:rPr>
        <w:t>照交易平台关于全流程电子化项目的相关指南进行编制，详见：</w:t>
      </w: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14:paraId="0C262866">
      <w:pPr>
        <w:pStyle w:val="22"/>
        <w:spacing w:after="0" w:line="360" w:lineRule="auto"/>
        <w:ind w:firstLineChars="200"/>
        <w:rPr>
          <w:rFonts w:ascii="宋体" w:hAnsi="宋体"/>
          <w:color w:val="auto"/>
          <w:sz w:val="21"/>
          <w:szCs w:val="21"/>
        </w:rPr>
      </w:pPr>
      <w:r>
        <w:rPr>
          <w:rFonts w:hint="eastAsia" w:ascii="宋体" w:hAnsi="宋体"/>
          <w:bCs/>
          <w:color w:val="auto"/>
          <w:sz w:val="21"/>
          <w:szCs w:val="21"/>
        </w:rPr>
        <w:t>如不按上述要求编制引起系统无法检索、读取相关信息的，其后果由投标人承担。</w:t>
      </w:r>
    </w:p>
    <w:p w14:paraId="34446304">
      <w:pPr>
        <w:pStyle w:val="22"/>
        <w:spacing w:after="0" w:line="360" w:lineRule="auto"/>
        <w:ind w:firstLine="422" w:firstLineChars="200"/>
        <w:rPr>
          <w:rFonts w:ascii="宋体" w:hAnsi="宋体"/>
          <w:b/>
          <w:bCs/>
          <w:color w:val="auto"/>
          <w:sz w:val="21"/>
          <w:szCs w:val="21"/>
        </w:rPr>
      </w:pPr>
      <w:r>
        <w:rPr>
          <w:rFonts w:hint="eastAsia" w:ascii="宋体" w:hAnsi="宋体"/>
          <w:b/>
          <w:bCs/>
          <w:color w:val="auto"/>
          <w:sz w:val="21"/>
          <w:szCs w:val="21"/>
        </w:rPr>
        <w:t>13．投标报价及造价承包和变更结算方式</w:t>
      </w:r>
    </w:p>
    <w:p w14:paraId="1028D54F">
      <w:pPr>
        <w:pStyle w:val="22"/>
        <w:spacing w:after="0" w:line="360" w:lineRule="auto"/>
        <w:ind w:firstLineChars="200"/>
        <w:rPr>
          <w:rFonts w:ascii="宋体" w:hAnsi="宋体"/>
          <w:color w:val="auto"/>
          <w:sz w:val="21"/>
          <w:szCs w:val="21"/>
        </w:rPr>
      </w:pPr>
      <w:r>
        <w:rPr>
          <w:rFonts w:hint="eastAsia" w:ascii="宋体" w:hAnsi="宋体"/>
          <w:color w:val="auto"/>
          <w:sz w:val="21"/>
          <w:szCs w:val="21"/>
        </w:rPr>
        <w:t>13.1 本工程的投标报价采用投标须知前附表第12项所规定的方式。投标报价（含单价及总价）精确到“分”。</w:t>
      </w:r>
    </w:p>
    <w:p w14:paraId="59649CD5">
      <w:pPr>
        <w:pStyle w:val="22"/>
        <w:spacing w:after="0" w:line="360" w:lineRule="auto"/>
        <w:ind w:firstLineChars="200"/>
        <w:rPr>
          <w:rFonts w:ascii="宋体" w:hAnsi="宋体"/>
          <w:color w:val="auto"/>
          <w:sz w:val="21"/>
          <w:szCs w:val="21"/>
        </w:rPr>
      </w:pPr>
      <w:r>
        <w:rPr>
          <w:rFonts w:hint="eastAsia" w:ascii="宋体" w:hAnsi="宋体"/>
          <w:color w:val="auto"/>
          <w:sz w:val="21"/>
          <w:szCs w:val="21"/>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369A5E84">
      <w:pPr>
        <w:pStyle w:val="22"/>
        <w:spacing w:after="0" w:line="360" w:lineRule="auto"/>
        <w:ind w:firstLineChars="200"/>
        <w:rPr>
          <w:rFonts w:ascii="宋体" w:hAnsi="宋体"/>
          <w:color w:val="auto"/>
          <w:sz w:val="21"/>
          <w:szCs w:val="21"/>
        </w:rPr>
      </w:pPr>
      <w:r>
        <w:rPr>
          <w:rFonts w:hint="eastAsia" w:ascii="宋体" w:hAnsi="宋体"/>
          <w:color w:val="auto"/>
          <w:sz w:val="21"/>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25F9B22">
      <w:pPr>
        <w:pStyle w:val="22"/>
        <w:spacing w:after="0" w:line="360" w:lineRule="auto"/>
        <w:ind w:firstLineChars="200"/>
        <w:rPr>
          <w:rFonts w:ascii="宋体" w:hAnsi="宋体"/>
          <w:color w:val="auto"/>
          <w:sz w:val="21"/>
          <w:szCs w:val="21"/>
        </w:rPr>
      </w:pPr>
      <w:r>
        <w:rPr>
          <w:rFonts w:hint="eastAsia" w:ascii="宋体" w:hAnsi="宋体"/>
          <w:color w:val="auto"/>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EBB40A4">
      <w:pPr>
        <w:pStyle w:val="22"/>
        <w:spacing w:after="0" w:line="360" w:lineRule="auto"/>
        <w:ind w:firstLineChars="200"/>
        <w:rPr>
          <w:rFonts w:ascii="宋体" w:hAnsi="宋体"/>
          <w:color w:val="auto"/>
          <w:sz w:val="21"/>
          <w:szCs w:val="21"/>
        </w:rPr>
      </w:pPr>
      <w:r>
        <w:rPr>
          <w:rFonts w:hint="eastAsia" w:ascii="宋体" w:hAnsi="宋体"/>
          <w:color w:val="auto"/>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1573E856">
      <w:pPr>
        <w:pStyle w:val="22"/>
        <w:spacing w:after="0" w:line="360" w:lineRule="auto"/>
        <w:ind w:firstLineChars="200"/>
        <w:rPr>
          <w:rFonts w:ascii="宋体" w:hAnsi="宋体"/>
          <w:color w:val="auto"/>
          <w:sz w:val="21"/>
          <w:szCs w:val="21"/>
        </w:rPr>
      </w:pPr>
      <w:r>
        <w:rPr>
          <w:rFonts w:hint="eastAsia" w:ascii="宋体" w:hAnsi="宋体"/>
          <w:color w:val="auto"/>
          <w:sz w:val="21"/>
          <w:szCs w:val="21"/>
        </w:rPr>
        <w:t>13.5.1中标的投标文件工程量清单中已有相同项目的适用综合单价，则沿用；</w:t>
      </w:r>
    </w:p>
    <w:p w14:paraId="2C9C392C">
      <w:pPr>
        <w:pStyle w:val="22"/>
        <w:spacing w:after="0" w:line="360" w:lineRule="auto"/>
        <w:ind w:firstLineChars="200"/>
        <w:rPr>
          <w:rFonts w:ascii="宋体" w:hAnsi="宋体"/>
          <w:color w:val="auto"/>
          <w:sz w:val="21"/>
          <w:szCs w:val="21"/>
        </w:rPr>
      </w:pPr>
      <w:r>
        <w:rPr>
          <w:rFonts w:hint="eastAsia" w:ascii="宋体" w:hAnsi="宋体"/>
          <w:color w:val="auto"/>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984EB5E">
      <w:pPr>
        <w:pStyle w:val="22"/>
        <w:spacing w:after="0" w:line="360" w:lineRule="auto"/>
        <w:ind w:firstLineChars="200"/>
        <w:rPr>
          <w:rFonts w:ascii="宋体" w:hAnsi="宋体"/>
          <w:color w:val="auto"/>
          <w:sz w:val="21"/>
          <w:szCs w:val="21"/>
        </w:rPr>
      </w:pPr>
      <w:r>
        <w:rPr>
          <w:rFonts w:hint="eastAsia" w:ascii="宋体" w:hAnsi="宋体"/>
          <w:color w:val="auto"/>
          <w:sz w:val="21"/>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6C0E6B85">
      <w:pPr>
        <w:pStyle w:val="22"/>
        <w:spacing w:after="0" w:line="360" w:lineRule="auto"/>
        <w:ind w:firstLineChars="200"/>
        <w:rPr>
          <w:rFonts w:ascii="宋体" w:hAnsi="宋体"/>
          <w:color w:val="auto"/>
          <w:sz w:val="21"/>
          <w:szCs w:val="21"/>
        </w:rPr>
      </w:pPr>
      <w:r>
        <w:rPr>
          <w:rFonts w:hint="eastAsia" w:ascii="宋体" w:hAnsi="宋体"/>
          <w:color w:val="auto"/>
          <w:sz w:val="21"/>
          <w:szCs w:val="21"/>
        </w:rPr>
        <w:t>13.5.4 如相关定额没有相应子目的，其计价方式由招标人在本招标文件第三章中另行规定。未规定的，中标后双方协商约定。</w:t>
      </w:r>
    </w:p>
    <w:p w14:paraId="5EFE9DAF">
      <w:pPr>
        <w:pStyle w:val="22"/>
        <w:spacing w:after="0" w:line="360" w:lineRule="auto"/>
        <w:ind w:firstLineChars="200"/>
        <w:rPr>
          <w:rFonts w:ascii="宋体" w:hAnsi="宋体"/>
          <w:color w:val="auto"/>
          <w:sz w:val="21"/>
          <w:szCs w:val="21"/>
        </w:rPr>
      </w:pPr>
      <w:r>
        <w:rPr>
          <w:rFonts w:hint="eastAsia" w:ascii="宋体" w:hAnsi="宋体"/>
          <w:color w:val="auto"/>
          <w:sz w:val="21"/>
          <w:szCs w:val="21"/>
        </w:rPr>
        <w:t>13.6暂列金额、暂估价</w:t>
      </w:r>
    </w:p>
    <w:p w14:paraId="6514B308">
      <w:pPr>
        <w:pStyle w:val="22"/>
        <w:spacing w:after="0" w:line="360" w:lineRule="auto"/>
        <w:ind w:firstLineChars="200"/>
        <w:rPr>
          <w:rFonts w:ascii="宋体" w:hAnsi="宋体"/>
          <w:color w:val="auto"/>
          <w:sz w:val="21"/>
          <w:szCs w:val="21"/>
        </w:rPr>
      </w:pPr>
      <w:r>
        <w:rPr>
          <w:rFonts w:hint="eastAsia" w:ascii="宋体" w:hAnsi="宋体"/>
          <w:color w:val="auto"/>
          <w:sz w:val="21"/>
          <w:szCs w:val="21"/>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7F8CDB9">
      <w:pPr>
        <w:pStyle w:val="22"/>
        <w:spacing w:after="0" w:line="360" w:lineRule="auto"/>
        <w:ind w:firstLineChars="200"/>
        <w:rPr>
          <w:rFonts w:ascii="宋体" w:hAnsi="宋体"/>
          <w:color w:val="auto"/>
          <w:sz w:val="21"/>
          <w:szCs w:val="21"/>
        </w:rPr>
      </w:pPr>
      <w:r>
        <w:rPr>
          <w:rFonts w:hint="eastAsia" w:ascii="宋体" w:hAnsi="宋体"/>
          <w:color w:val="auto"/>
          <w:sz w:val="21"/>
          <w:szCs w:val="21"/>
        </w:rPr>
        <w:t>暂估价是指招标人在工程量清单中提供的用于支付必然发生但暂时不能确定价格的材料的单价以及专业工程的金额。</w:t>
      </w:r>
    </w:p>
    <w:p w14:paraId="5D5011A6">
      <w:pPr>
        <w:pStyle w:val="22"/>
        <w:spacing w:after="0" w:line="360" w:lineRule="auto"/>
        <w:ind w:firstLineChars="200"/>
        <w:rPr>
          <w:rFonts w:ascii="宋体" w:hAnsi="宋体"/>
          <w:color w:val="auto"/>
          <w:sz w:val="21"/>
          <w:szCs w:val="21"/>
        </w:rPr>
      </w:pPr>
      <w:r>
        <w:rPr>
          <w:rFonts w:hint="eastAsia" w:ascii="宋体" w:hAnsi="宋体"/>
          <w:color w:val="auto"/>
          <w:sz w:val="21"/>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61D9DD5E">
      <w:pPr>
        <w:pStyle w:val="22"/>
        <w:spacing w:after="0" w:line="360" w:lineRule="auto"/>
        <w:ind w:firstLineChars="200"/>
        <w:rPr>
          <w:rFonts w:ascii="宋体" w:hAnsi="宋体"/>
          <w:color w:val="auto"/>
          <w:sz w:val="21"/>
          <w:szCs w:val="21"/>
        </w:rPr>
      </w:pPr>
      <w:r>
        <w:rPr>
          <w:rFonts w:hint="eastAsia" w:ascii="宋体" w:hAnsi="宋体"/>
          <w:color w:val="auto"/>
          <w:sz w:val="21"/>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C2AF548">
      <w:pPr>
        <w:pStyle w:val="22"/>
        <w:spacing w:after="0" w:line="360" w:lineRule="auto"/>
        <w:ind w:firstLineChars="200"/>
        <w:rPr>
          <w:rFonts w:ascii="宋体" w:hAnsi="宋体"/>
          <w:color w:val="auto"/>
          <w:sz w:val="21"/>
          <w:szCs w:val="21"/>
        </w:rPr>
      </w:pPr>
      <w:r>
        <w:rPr>
          <w:rFonts w:hint="eastAsia" w:ascii="宋体" w:hAnsi="宋体"/>
          <w:color w:val="auto"/>
          <w:sz w:val="21"/>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6A1F63DF">
      <w:pPr>
        <w:pStyle w:val="22"/>
        <w:spacing w:after="0" w:line="360" w:lineRule="auto"/>
        <w:ind w:firstLineChars="200"/>
        <w:rPr>
          <w:rFonts w:ascii="宋体" w:hAnsi="宋体"/>
          <w:color w:val="auto"/>
          <w:sz w:val="21"/>
          <w:szCs w:val="21"/>
        </w:rPr>
      </w:pPr>
      <w:r>
        <w:rPr>
          <w:rFonts w:hint="eastAsia" w:ascii="宋体" w:hAnsi="宋体"/>
          <w:color w:val="auto"/>
          <w:sz w:val="21"/>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4F6C4630">
      <w:pPr>
        <w:pStyle w:val="22"/>
        <w:spacing w:after="0" w:line="360" w:lineRule="auto"/>
        <w:ind w:firstLineChars="200"/>
        <w:rPr>
          <w:rFonts w:ascii="宋体" w:hAnsi="宋体"/>
          <w:color w:val="auto"/>
          <w:sz w:val="21"/>
          <w:szCs w:val="21"/>
        </w:rPr>
      </w:pPr>
      <w:r>
        <w:rPr>
          <w:rFonts w:hint="eastAsia" w:ascii="宋体" w:hAnsi="宋体"/>
          <w:color w:val="auto"/>
          <w:sz w:val="21"/>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0BB37759">
      <w:pPr>
        <w:pStyle w:val="22"/>
        <w:spacing w:after="0" w:line="360" w:lineRule="auto"/>
        <w:ind w:firstLineChars="200"/>
        <w:rPr>
          <w:rFonts w:ascii="宋体" w:hAnsi="宋体"/>
          <w:color w:val="auto"/>
          <w:sz w:val="21"/>
          <w:szCs w:val="21"/>
        </w:rPr>
      </w:pPr>
      <w:r>
        <w:rPr>
          <w:rFonts w:hint="eastAsia" w:ascii="宋体" w:hAnsi="宋体"/>
          <w:color w:val="auto"/>
          <w:sz w:val="21"/>
          <w:szCs w:val="21"/>
        </w:rPr>
        <w:t>13.7投标人可先到工地踏勘以充分了解工地位置、情况、道路、储存空间、装卸限制及任何其他足以影响承包价的情况，任何因忽视或误解工地情况而导致的索赔或工期延长申请将不被批准。</w:t>
      </w:r>
    </w:p>
    <w:p w14:paraId="0CF54A92">
      <w:pPr>
        <w:pStyle w:val="22"/>
        <w:spacing w:after="0" w:line="360" w:lineRule="auto"/>
        <w:ind w:firstLineChars="200"/>
        <w:rPr>
          <w:rFonts w:ascii="宋体" w:hAnsi="宋体"/>
          <w:color w:val="auto"/>
          <w:sz w:val="21"/>
          <w:szCs w:val="21"/>
        </w:rPr>
      </w:pPr>
      <w:r>
        <w:rPr>
          <w:rFonts w:hint="eastAsia" w:ascii="宋体" w:hAnsi="宋体"/>
          <w:color w:val="auto"/>
          <w:sz w:val="21"/>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27F5DD2B">
      <w:pPr>
        <w:pStyle w:val="22"/>
        <w:spacing w:after="0" w:line="360" w:lineRule="auto"/>
        <w:ind w:firstLineChars="200"/>
        <w:rPr>
          <w:rFonts w:ascii="宋体" w:hAnsi="宋体"/>
          <w:color w:val="auto"/>
          <w:sz w:val="21"/>
          <w:szCs w:val="21"/>
        </w:rPr>
      </w:pPr>
      <w:r>
        <w:rPr>
          <w:rFonts w:hint="eastAsia" w:ascii="宋体" w:hAnsi="宋体"/>
          <w:color w:val="auto"/>
          <w:sz w:val="21"/>
          <w:szCs w:val="21"/>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F34C64B">
      <w:pPr>
        <w:pStyle w:val="22"/>
        <w:spacing w:after="0" w:line="360" w:lineRule="auto"/>
        <w:ind w:firstLine="422" w:firstLineChars="200"/>
        <w:rPr>
          <w:rFonts w:ascii="宋体" w:hAnsi="宋体"/>
          <w:b/>
          <w:bCs/>
          <w:color w:val="auto"/>
          <w:sz w:val="21"/>
          <w:szCs w:val="21"/>
        </w:rPr>
      </w:pPr>
      <w:r>
        <w:rPr>
          <w:rFonts w:hint="eastAsia" w:ascii="宋体" w:hAnsi="宋体"/>
          <w:b/>
          <w:bCs/>
          <w:color w:val="auto"/>
          <w:sz w:val="21"/>
          <w:szCs w:val="21"/>
        </w:rPr>
        <w:t>14．投标货币</w:t>
      </w:r>
    </w:p>
    <w:p w14:paraId="5430C0C3">
      <w:pPr>
        <w:pStyle w:val="22"/>
        <w:spacing w:after="0" w:line="360" w:lineRule="auto"/>
        <w:ind w:firstLineChars="200"/>
        <w:rPr>
          <w:rFonts w:ascii="宋体" w:hAnsi="宋体"/>
          <w:color w:val="auto"/>
          <w:sz w:val="21"/>
          <w:szCs w:val="21"/>
        </w:rPr>
      </w:pPr>
      <w:r>
        <w:rPr>
          <w:rFonts w:hint="eastAsia" w:ascii="宋体" w:hAnsi="宋体"/>
          <w:color w:val="auto"/>
          <w:sz w:val="21"/>
          <w:szCs w:val="21"/>
        </w:rPr>
        <w:t>14.1 本工程投标报价采用的币种为人民币。</w:t>
      </w:r>
    </w:p>
    <w:p w14:paraId="2D9F122C">
      <w:pPr>
        <w:pStyle w:val="22"/>
        <w:spacing w:after="0" w:line="360" w:lineRule="auto"/>
        <w:ind w:firstLine="422" w:firstLineChars="200"/>
        <w:rPr>
          <w:rFonts w:ascii="宋体" w:hAnsi="宋体"/>
          <w:color w:val="auto"/>
          <w:sz w:val="21"/>
          <w:szCs w:val="21"/>
        </w:rPr>
      </w:pPr>
      <w:r>
        <w:rPr>
          <w:rFonts w:hint="eastAsia" w:ascii="宋体" w:hAnsi="宋体"/>
          <w:b/>
          <w:bCs/>
          <w:color w:val="auto"/>
          <w:sz w:val="21"/>
          <w:szCs w:val="21"/>
        </w:rPr>
        <w:t>15．投标有效期</w:t>
      </w:r>
    </w:p>
    <w:p w14:paraId="1DDF8E34">
      <w:pPr>
        <w:pStyle w:val="22"/>
        <w:spacing w:after="0" w:line="360" w:lineRule="auto"/>
        <w:ind w:firstLineChars="200"/>
        <w:rPr>
          <w:rFonts w:ascii="宋体" w:hAnsi="宋体"/>
          <w:color w:val="auto"/>
          <w:sz w:val="21"/>
          <w:szCs w:val="21"/>
        </w:rPr>
      </w:pPr>
      <w:r>
        <w:rPr>
          <w:rFonts w:hint="eastAsia" w:ascii="宋体" w:hAnsi="宋体"/>
          <w:color w:val="auto"/>
          <w:sz w:val="21"/>
          <w:szCs w:val="21"/>
        </w:rPr>
        <w:t>15.1 投标有效期见投标须知前附表第13项所规定的期限，在此期限内，凡符合本招标文件要求的投标文件均保持有效。</w:t>
      </w:r>
    </w:p>
    <w:p w14:paraId="395FE60E">
      <w:pPr>
        <w:pStyle w:val="22"/>
        <w:spacing w:after="0" w:line="360" w:lineRule="auto"/>
        <w:ind w:firstLineChars="200"/>
        <w:rPr>
          <w:rFonts w:ascii="宋体" w:hAnsi="宋体"/>
          <w:color w:val="auto"/>
          <w:sz w:val="21"/>
          <w:szCs w:val="21"/>
        </w:rPr>
      </w:pPr>
      <w:r>
        <w:rPr>
          <w:rFonts w:hint="eastAsia" w:ascii="宋体" w:hAnsi="宋体"/>
          <w:color w:val="auto"/>
          <w:sz w:val="21"/>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2CD78FA4">
      <w:pPr>
        <w:pStyle w:val="22"/>
        <w:spacing w:after="0" w:line="360" w:lineRule="auto"/>
        <w:ind w:firstLine="422" w:firstLineChars="200"/>
        <w:rPr>
          <w:rFonts w:ascii="宋体" w:hAnsi="宋体"/>
          <w:b/>
          <w:bCs/>
          <w:color w:val="auto"/>
          <w:sz w:val="21"/>
          <w:szCs w:val="21"/>
        </w:rPr>
      </w:pPr>
      <w:r>
        <w:rPr>
          <w:rFonts w:hint="eastAsia" w:ascii="宋体" w:hAnsi="宋体"/>
          <w:b/>
          <w:bCs/>
          <w:color w:val="auto"/>
          <w:sz w:val="21"/>
          <w:szCs w:val="21"/>
        </w:rPr>
        <w:t>16．投标保证金</w:t>
      </w:r>
    </w:p>
    <w:p w14:paraId="5E4D5CB2">
      <w:pPr>
        <w:spacing w:line="360" w:lineRule="auto"/>
        <w:ind w:firstLine="420" w:firstLineChars="200"/>
        <w:rPr>
          <w:rFonts w:ascii="宋体" w:hAnsi="宋体"/>
          <w:color w:val="auto"/>
          <w:szCs w:val="21"/>
        </w:rPr>
      </w:pPr>
      <w:r>
        <w:rPr>
          <w:rFonts w:hint="eastAsia" w:ascii="宋体" w:hAnsi="宋体"/>
          <w:color w:val="auto"/>
          <w:szCs w:val="21"/>
        </w:rPr>
        <w:t>16.1投标人应按投标须知前附表第14项所述金额和时间递交</w:t>
      </w:r>
      <w:r>
        <w:rPr>
          <w:rFonts w:hint="eastAsia" w:ascii="宋体" w:hAnsi="宋体"/>
          <w:bCs/>
          <w:color w:val="auto"/>
          <w:szCs w:val="21"/>
        </w:rPr>
        <w:t>投标保证金</w:t>
      </w:r>
      <w:r>
        <w:rPr>
          <w:rFonts w:hint="eastAsia" w:ascii="宋体" w:hAnsi="宋体"/>
          <w:color w:val="auto"/>
          <w:szCs w:val="21"/>
        </w:rPr>
        <w:t>。招标人应当允许投标人自主选择现金、银行保函、保证保险、专业工程担保公司担保等方式缴纳投标保证金。</w:t>
      </w:r>
    </w:p>
    <w:p w14:paraId="64AB7828">
      <w:pPr>
        <w:spacing w:line="360" w:lineRule="auto"/>
        <w:ind w:firstLine="420" w:firstLineChars="200"/>
        <w:rPr>
          <w:rFonts w:ascii="宋体" w:hAnsi="宋体"/>
          <w:color w:val="auto"/>
          <w:szCs w:val="21"/>
        </w:rPr>
      </w:pPr>
      <w:r>
        <w:rPr>
          <w:rFonts w:hint="eastAsia" w:ascii="宋体" w:hAnsi="宋体"/>
          <w:color w:val="auto"/>
          <w:szCs w:val="21"/>
        </w:rPr>
        <w:t>16.1.1 采用现金或者支票形式提交的，投标保证金须从投标人的银行基本账户转出。</w:t>
      </w:r>
    </w:p>
    <w:p w14:paraId="26DE2C0C">
      <w:pPr>
        <w:spacing w:line="360" w:lineRule="auto"/>
        <w:ind w:firstLine="420" w:firstLineChars="200"/>
        <w:rPr>
          <w:rFonts w:ascii="宋体" w:hAnsi="宋体"/>
          <w:color w:val="auto"/>
          <w:szCs w:val="21"/>
        </w:rPr>
      </w:pPr>
      <w:r>
        <w:rPr>
          <w:rFonts w:hint="eastAsia" w:ascii="宋体" w:hAnsi="宋体"/>
          <w:color w:val="auto"/>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6E4883C8">
      <w:pPr>
        <w:spacing w:line="360" w:lineRule="auto"/>
        <w:ind w:firstLine="420" w:firstLineChars="200"/>
        <w:rPr>
          <w:rFonts w:ascii="宋体" w:hAnsi="宋体"/>
          <w:color w:val="auto"/>
          <w:szCs w:val="21"/>
        </w:rPr>
      </w:pPr>
      <w:r>
        <w:rPr>
          <w:rFonts w:hint="eastAsia" w:ascii="宋体" w:hAnsi="宋体"/>
          <w:color w:val="auto"/>
          <w:szCs w:val="21"/>
        </w:rPr>
        <w:t>16.1.3 采用电子形式的保函、担保或保证保险提交投标保证金的，应在招标文件中明确电子递交途径。</w:t>
      </w:r>
    </w:p>
    <w:p w14:paraId="7D5EE59E">
      <w:pPr>
        <w:spacing w:line="360" w:lineRule="auto"/>
        <w:ind w:firstLine="420" w:firstLineChars="200"/>
        <w:rPr>
          <w:rFonts w:ascii="宋体" w:hAnsi="宋体"/>
          <w:color w:val="auto"/>
          <w:szCs w:val="21"/>
        </w:rPr>
      </w:pPr>
      <w:r>
        <w:rPr>
          <w:rFonts w:hint="eastAsia" w:ascii="宋体" w:hAnsi="宋体"/>
          <w:color w:val="auto"/>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555CCACD">
      <w:pPr>
        <w:spacing w:line="360" w:lineRule="auto"/>
        <w:ind w:firstLine="420" w:firstLineChars="200"/>
        <w:rPr>
          <w:rFonts w:ascii="宋体" w:hAnsi="宋体"/>
          <w:color w:val="auto"/>
          <w:szCs w:val="21"/>
        </w:rPr>
      </w:pPr>
      <w:r>
        <w:rPr>
          <w:rFonts w:hint="eastAsia" w:ascii="宋体" w:hAnsi="宋体"/>
          <w:color w:val="auto"/>
          <w:szCs w:val="21"/>
        </w:rPr>
        <w:t>16.3投标保证金应依据法律法规的相关规定退还。</w:t>
      </w:r>
    </w:p>
    <w:p w14:paraId="65176895">
      <w:pPr>
        <w:spacing w:line="360" w:lineRule="auto"/>
        <w:ind w:firstLine="420" w:firstLineChars="200"/>
        <w:rPr>
          <w:rFonts w:ascii="宋体" w:hAnsi="宋体"/>
          <w:color w:val="auto"/>
          <w:szCs w:val="21"/>
        </w:rPr>
      </w:pPr>
      <w:r>
        <w:rPr>
          <w:rFonts w:hint="eastAsia" w:ascii="宋体" w:hAnsi="宋体"/>
          <w:color w:val="auto"/>
          <w:szCs w:val="21"/>
        </w:rPr>
        <w:t>16.4如有下列情况之一的，招标人可以不予退还投标保证金（是否退还投标保证金由招标人在招标文件中规定）：</w:t>
      </w:r>
    </w:p>
    <w:p w14:paraId="305A1DC4">
      <w:pPr>
        <w:spacing w:line="360" w:lineRule="auto"/>
        <w:ind w:firstLine="420" w:firstLineChars="200"/>
        <w:rPr>
          <w:rFonts w:ascii="宋体" w:hAnsi="宋体"/>
          <w:color w:val="auto"/>
          <w:szCs w:val="21"/>
        </w:rPr>
      </w:pPr>
      <w:r>
        <w:rPr>
          <w:rFonts w:hint="eastAsia" w:ascii="宋体" w:hAnsi="宋体"/>
          <w:color w:val="auto"/>
          <w:szCs w:val="21"/>
        </w:rPr>
        <w:t>16.4.1因投标人原因造成投标文件未解密的；</w:t>
      </w:r>
    </w:p>
    <w:p w14:paraId="5F031530">
      <w:pPr>
        <w:spacing w:line="360" w:lineRule="auto"/>
        <w:ind w:firstLine="420" w:firstLineChars="200"/>
        <w:rPr>
          <w:rFonts w:ascii="宋体" w:hAnsi="宋体"/>
          <w:color w:val="auto"/>
          <w:szCs w:val="21"/>
        </w:rPr>
      </w:pPr>
      <w:r>
        <w:rPr>
          <w:rFonts w:hint="eastAsia" w:ascii="宋体" w:hAnsi="宋体"/>
          <w:color w:val="auto"/>
          <w:szCs w:val="21"/>
        </w:rPr>
        <w:t>16.4.2投标人在投标有效期内撤销投标文件；</w:t>
      </w:r>
    </w:p>
    <w:p w14:paraId="404F050B">
      <w:pPr>
        <w:spacing w:line="360" w:lineRule="auto"/>
        <w:ind w:firstLine="420" w:firstLineChars="200"/>
        <w:rPr>
          <w:rFonts w:ascii="宋体" w:hAnsi="宋体"/>
          <w:color w:val="auto"/>
          <w:szCs w:val="21"/>
        </w:rPr>
      </w:pPr>
      <w:r>
        <w:rPr>
          <w:rFonts w:hint="eastAsia" w:ascii="宋体" w:hAnsi="宋体"/>
          <w:color w:val="auto"/>
          <w:szCs w:val="21"/>
        </w:rPr>
        <w:t>16.4.3中标人未能在规定期限内按要求提交履约担保；</w:t>
      </w:r>
    </w:p>
    <w:p w14:paraId="6369E42D">
      <w:pPr>
        <w:spacing w:line="360" w:lineRule="auto"/>
        <w:ind w:firstLine="420" w:firstLineChars="200"/>
        <w:rPr>
          <w:rFonts w:ascii="宋体" w:hAnsi="宋体"/>
          <w:color w:val="auto"/>
          <w:szCs w:val="21"/>
        </w:rPr>
      </w:pPr>
      <w:r>
        <w:rPr>
          <w:rFonts w:hint="eastAsia" w:ascii="宋体" w:hAnsi="宋体"/>
          <w:color w:val="auto"/>
          <w:szCs w:val="21"/>
        </w:rPr>
        <w:t>16.4.4中标人未能在规定期限内签署合同协议。</w:t>
      </w:r>
    </w:p>
    <w:p w14:paraId="5B6B12F9">
      <w:pPr>
        <w:spacing w:line="360" w:lineRule="auto"/>
        <w:ind w:firstLine="420" w:firstLineChars="200"/>
        <w:rPr>
          <w:rFonts w:ascii="宋体" w:hAnsi="宋体"/>
          <w:color w:val="auto"/>
          <w:szCs w:val="21"/>
        </w:rPr>
      </w:pPr>
      <w:r>
        <w:rPr>
          <w:rFonts w:hint="eastAsia" w:ascii="宋体" w:hAnsi="宋体"/>
          <w:color w:val="auto"/>
          <w:szCs w:val="21"/>
        </w:rPr>
        <w:t>16.5投标人如存在下列情况之一的，将被拒绝在一定时期内参与招标人后续工程投标（拒绝时限需在招标文件中明确）：</w:t>
      </w:r>
    </w:p>
    <w:p w14:paraId="40EC023A">
      <w:pPr>
        <w:spacing w:line="360" w:lineRule="auto"/>
        <w:ind w:firstLine="420" w:firstLineChars="200"/>
        <w:rPr>
          <w:rFonts w:ascii="宋体" w:hAnsi="宋体"/>
          <w:color w:val="auto"/>
          <w:szCs w:val="21"/>
        </w:rPr>
      </w:pPr>
      <w:r>
        <w:rPr>
          <w:rFonts w:hint="eastAsia" w:ascii="宋体" w:hAnsi="宋体"/>
          <w:color w:val="auto"/>
          <w:szCs w:val="21"/>
        </w:rPr>
        <w:t>16.5.1投标人存在16.4条款所列情形且投标人提交的保函、担保或保证保险无法兑付的；</w:t>
      </w:r>
    </w:p>
    <w:p w14:paraId="47C86247">
      <w:pPr>
        <w:spacing w:line="360" w:lineRule="auto"/>
        <w:ind w:firstLine="420" w:firstLineChars="200"/>
        <w:rPr>
          <w:rFonts w:ascii="宋体" w:hAnsi="宋体"/>
          <w:color w:val="auto"/>
          <w:szCs w:val="21"/>
        </w:rPr>
      </w:pPr>
      <w:r>
        <w:rPr>
          <w:rFonts w:hint="eastAsia" w:ascii="宋体" w:hAnsi="宋体"/>
          <w:color w:val="auto"/>
          <w:szCs w:val="21"/>
        </w:rPr>
        <w:t>16.5.2采用非电子形式提交投标保证金的投标人存在16.4条款所列情形，且未按招标人要求补交银行保函、专业工程担保公司担保或保证保险原件的；</w:t>
      </w:r>
    </w:p>
    <w:p w14:paraId="61C0E23F">
      <w:pPr>
        <w:spacing w:line="360" w:lineRule="auto"/>
        <w:ind w:firstLine="420" w:firstLineChars="200"/>
        <w:rPr>
          <w:rFonts w:ascii="宋体" w:hAnsi="宋体"/>
          <w:color w:val="auto"/>
          <w:szCs w:val="21"/>
        </w:rPr>
      </w:pPr>
      <w:r>
        <w:rPr>
          <w:rFonts w:hint="eastAsia" w:ascii="宋体" w:hAnsi="宋体"/>
          <w:color w:val="auto"/>
          <w:szCs w:val="21"/>
        </w:rPr>
        <w:t>16.5.3按招标文件要求免于提供投标保证金的投标人存在16.4条款所列情形，且未按招标人要求补交投标保证金的；</w:t>
      </w:r>
    </w:p>
    <w:p w14:paraId="70613493">
      <w:pPr>
        <w:spacing w:line="360" w:lineRule="auto"/>
        <w:ind w:firstLine="420" w:firstLineChars="200"/>
        <w:rPr>
          <w:rFonts w:ascii="宋体" w:hAnsi="宋体"/>
          <w:color w:val="auto"/>
          <w:szCs w:val="21"/>
        </w:rPr>
      </w:pPr>
      <w:r>
        <w:rPr>
          <w:rFonts w:hint="eastAsia" w:ascii="宋体" w:hAnsi="宋体"/>
          <w:color w:val="auto"/>
          <w:szCs w:val="21"/>
        </w:rPr>
        <w:t>16.5.3按招标文件要求免于提供投标保证金的投标人存在16.4条款所列情形的。</w:t>
      </w:r>
    </w:p>
    <w:p w14:paraId="73979ABC">
      <w:pPr>
        <w:spacing w:line="360" w:lineRule="auto"/>
        <w:ind w:firstLine="420" w:firstLineChars="200"/>
        <w:rPr>
          <w:rFonts w:ascii="宋体" w:hAnsi="宋体"/>
          <w:color w:val="auto"/>
          <w:szCs w:val="21"/>
        </w:rPr>
      </w:pPr>
      <w:r>
        <w:rPr>
          <w:rFonts w:hint="eastAsia" w:ascii="宋体" w:hAnsi="宋体"/>
          <w:color w:val="auto"/>
          <w:szCs w:val="21"/>
        </w:rPr>
        <w:t>注：16.5.3款由招标人二选一，需在招标文件中明确。</w:t>
      </w:r>
    </w:p>
    <w:p w14:paraId="0849C820">
      <w:pPr>
        <w:pStyle w:val="22"/>
        <w:spacing w:after="0" w:line="360" w:lineRule="auto"/>
        <w:ind w:firstLine="422" w:firstLineChars="200"/>
        <w:rPr>
          <w:rFonts w:ascii="宋体" w:hAnsi="宋体"/>
          <w:b/>
          <w:bCs/>
          <w:color w:val="auto"/>
          <w:sz w:val="21"/>
          <w:szCs w:val="21"/>
        </w:rPr>
      </w:pPr>
      <w:r>
        <w:rPr>
          <w:rFonts w:hint="eastAsia" w:ascii="宋体" w:hAnsi="宋体"/>
          <w:b/>
          <w:bCs/>
          <w:color w:val="auto"/>
          <w:sz w:val="21"/>
          <w:szCs w:val="21"/>
        </w:rPr>
        <w:t>17．投标文件的签署</w:t>
      </w:r>
    </w:p>
    <w:p w14:paraId="2C213632">
      <w:pPr>
        <w:spacing w:line="360" w:lineRule="auto"/>
        <w:ind w:firstLine="420" w:firstLineChars="200"/>
        <w:rPr>
          <w:rFonts w:ascii="宋体" w:hAnsi="宋体"/>
          <w:color w:val="auto"/>
          <w:szCs w:val="21"/>
        </w:rPr>
      </w:pPr>
      <w:r>
        <w:rPr>
          <w:rFonts w:hint="eastAsia" w:ascii="宋体" w:hAnsi="宋体"/>
          <w:color w:val="auto"/>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u w:val="single"/>
        </w:rPr>
        <w:t xml:space="preserve">            </w:t>
      </w:r>
      <w:r>
        <w:rPr>
          <w:rFonts w:hint="eastAsia" w:ascii="宋体" w:hAnsi="宋体"/>
          <w:color w:val="auto"/>
          <w:szCs w:val="21"/>
        </w:rPr>
        <w:t xml:space="preserve"> 。</w:t>
      </w:r>
    </w:p>
    <w:p w14:paraId="686589F9">
      <w:pPr>
        <w:pStyle w:val="3"/>
        <w:spacing w:before="156" w:beforeAutospacing="0" w:after="156" w:afterAutospacing="0" w:line="360" w:lineRule="auto"/>
        <w:rPr>
          <w:b/>
          <w:bCs/>
          <w:color w:val="auto"/>
          <w:sz w:val="21"/>
          <w:szCs w:val="21"/>
        </w:rPr>
      </w:pPr>
      <w:bookmarkStart w:id="18" w:name="_Toc105014627"/>
      <w:bookmarkStart w:id="19" w:name="_Toc185324321"/>
      <w:bookmarkStart w:id="20" w:name="_Toc16997"/>
      <w:r>
        <w:rPr>
          <w:rFonts w:hint="eastAsia"/>
          <w:b/>
          <w:bCs/>
          <w:color w:val="auto"/>
          <w:sz w:val="21"/>
          <w:szCs w:val="21"/>
        </w:rPr>
        <w:t>（四）投标文件的提交</w:t>
      </w:r>
      <w:bookmarkEnd w:id="18"/>
      <w:bookmarkEnd w:id="19"/>
      <w:bookmarkEnd w:id="20"/>
    </w:p>
    <w:p w14:paraId="1F60C992">
      <w:pPr>
        <w:pStyle w:val="22"/>
        <w:spacing w:after="0" w:line="360" w:lineRule="auto"/>
        <w:ind w:firstLine="422" w:firstLineChars="200"/>
        <w:rPr>
          <w:rFonts w:ascii="宋体" w:hAnsi="宋体"/>
          <w:b/>
          <w:bCs/>
          <w:color w:val="auto"/>
          <w:sz w:val="21"/>
          <w:szCs w:val="21"/>
        </w:rPr>
      </w:pPr>
      <w:r>
        <w:rPr>
          <w:rFonts w:hint="eastAsia" w:ascii="宋体" w:hAnsi="宋体"/>
          <w:b/>
          <w:bCs/>
          <w:color w:val="auto"/>
          <w:sz w:val="21"/>
          <w:szCs w:val="21"/>
        </w:rPr>
        <w:t>18．</w:t>
      </w:r>
      <w:r>
        <w:rPr>
          <w:rFonts w:hint="eastAsia" w:ascii="宋体" w:hAnsi="宋体"/>
          <w:b/>
          <w:color w:val="auto"/>
          <w:sz w:val="21"/>
          <w:szCs w:val="21"/>
        </w:rPr>
        <w:t>投标文件的密封和标记</w:t>
      </w:r>
    </w:p>
    <w:p w14:paraId="0D817D49">
      <w:pPr>
        <w:spacing w:line="360" w:lineRule="auto"/>
        <w:ind w:firstLine="420" w:firstLineChars="200"/>
        <w:rPr>
          <w:rFonts w:ascii="宋体" w:hAnsi="宋体"/>
          <w:bCs/>
          <w:color w:val="auto"/>
          <w:szCs w:val="21"/>
        </w:rPr>
      </w:pPr>
      <w:r>
        <w:rPr>
          <w:rFonts w:hint="eastAsia" w:ascii="宋体" w:hAnsi="宋体"/>
          <w:bCs/>
          <w:color w:val="auto"/>
          <w:szCs w:val="21"/>
        </w:rPr>
        <w:t>18.1递交的电子投标文件（不含备用光盘）必须进行加密。按照交易平台关于</w:t>
      </w:r>
      <w:r>
        <w:rPr>
          <w:rFonts w:hint="eastAsia" w:ascii="宋体" w:hAnsi="宋体"/>
          <w:color w:val="auto"/>
          <w:szCs w:val="21"/>
        </w:rPr>
        <w:t>全流程电子化项目的相关指南进行操作。详见：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 xml:space="preserve"> 。</w:t>
      </w:r>
    </w:p>
    <w:p w14:paraId="5DA02A23">
      <w:pPr>
        <w:spacing w:line="360" w:lineRule="auto"/>
        <w:ind w:firstLine="420" w:firstLineChars="200"/>
        <w:rPr>
          <w:rFonts w:ascii="宋体" w:hAnsi="宋体"/>
          <w:bCs/>
          <w:color w:val="auto"/>
          <w:szCs w:val="21"/>
        </w:rPr>
      </w:pPr>
      <w:r>
        <w:rPr>
          <w:rFonts w:hint="eastAsia" w:ascii="宋体" w:hAnsi="宋体"/>
          <w:bCs/>
          <w:color w:val="auto"/>
          <w:szCs w:val="21"/>
        </w:rPr>
        <w:t>18.2 未按要求加密的投标文件，</w:t>
      </w:r>
      <w:r>
        <w:rPr>
          <w:rFonts w:ascii="宋体" w:hAnsi="宋体"/>
          <w:color w:val="auto"/>
          <w:szCs w:val="21"/>
          <w:u w:val="single"/>
        </w:rPr>
        <w:t xml:space="preserve">        </w:t>
      </w:r>
      <w:r>
        <w:rPr>
          <w:rFonts w:hint="eastAsia" w:ascii="宋体" w:hAnsi="宋体"/>
          <w:color w:val="auto"/>
          <w:szCs w:val="21"/>
        </w:rPr>
        <w:t>交易平台</w:t>
      </w:r>
      <w:r>
        <w:rPr>
          <w:rFonts w:hint="eastAsia" w:ascii="宋体" w:hAnsi="宋体"/>
          <w:bCs/>
          <w:color w:val="auto"/>
          <w:szCs w:val="21"/>
        </w:rPr>
        <w:t>将予以拒收。</w:t>
      </w:r>
    </w:p>
    <w:p w14:paraId="27337508">
      <w:pPr>
        <w:spacing w:line="360" w:lineRule="auto"/>
        <w:ind w:firstLine="422" w:firstLineChars="200"/>
        <w:rPr>
          <w:rFonts w:ascii="宋体" w:hAnsi="宋体"/>
          <w:b/>
          <w:bCs/>
          <w:color w:val="auto"/>
          <w:szCs w:val="21"/>
        </w:rPr>
      </w:pPr>
      <w:r>
        <w:rPr>
          <w:rFonts w:hint="eastAsia" w:ascii="宋体" w:hAnsi="宋体"/>
          <w:b/>
          <w:bCs/>
          <w:color w:val="auto"/>
          <w:szCs w:val="21"/>
        </w:rPr>
        <w:t>19．投标文件的递交和接收</w:t>
      </w:r>
    </w:p>
    <w:p w14:paraId="5F4E713B">
      <w:pPr>
        <w:spacing w:line="360" w:lineRule="auto"/>
        <w:ind w:firstLine="420" w:firstLineChars="200"/>
        <w:rPr>
          <w:rFonts w:ascii="宋体" w:hAnsi="宋体"/>
          <w:bCs/>
          <w:color w:val="auto"/>
          <w:szCs w:val="21"/>
        </w:rPr>
      </w:pPr>
      <w:r>
        <w:rPr>
          <w:rFonts w:hint="eastAsia" w:ascii="宋体" w:hAnsi="宋体"/>
          <w:bCs/>
          <w:color w:val="auto"/>
          <w:szCs w:val="21"/>
        </w:rPr>
        <w:t>19.1投标人通过</w:t>
      </w:r>
      <w:r>
        <w:rPr>
          <w:rFonts w:ascii="宋体" w:hAnsi="宋体"/>
          <w:color w:val="auto"/>
          <w:szCs w:val="21"/>
          <w:u w:val="single"/>
        </w:rPr>
        <w:t xml:space="preserve">        </w:t>
      </w:r>
      <w:r>
        <w:rPr>
          <w:rFonts w:hint="eastAsia" w:ascii="宋体" w:hAnsi="宋体"/>
          <w:color w:val="auto"/>
          <w:szCs w:val="21"/>
        </w:rPr>
        <w:t>交易平台递交电子投标文件。</w:t>
      </w:r>
    </w:p>
    <w:p w14:paraId="779E6093">
      <w:pPr>
        <w:spacing w:line="360" w:lineRule="auto"/>
        <w:ind w:firstLine="420" w:firstLineChars="200"/>
        <w:rPr>
          <w:rFonts w:ascii="宋体" w:hAnsi="宋体"/>
          <w:bCs/>
          <w:color w:val="auto"/>
          <w:szCs w:val="21"/>
        </w:rPr>
      </w:pPr>
      <w:r>
        <w:rPr>
          <w:rFonts w:hint="eastAsia" w:ascii="宋体" w:hAnsi="宋体"/>
          <w:bCs/>
          <w:color w:val="auto"/>
          <w:szCs w:val="21"/>
        </w:rPr>
        <w:t>19.2投标人完成电子</w:t>
      </w:r>
      <w:r>
        <w:rPr>
          <w:rFonts w:hint="eastAsia" w:ascii="宋体" w:hAnsi="宋体"/>
          <w:color w:val="auto"/>
          <w:szCs w:val="21"/>
        </w:rPr>
        <w:t>投标文件</w:t>
      </w:r>
      <w:r>
        <w:rPr>
          <w:rFonts w:hint="eastAsia" w:ascii="宋体" w:hAnsi="宋体"/>
          <w:bCs/>
          <w:color w:val="auto"/>
          <w:szCs w:val="21"/>
        </w:rPr>
        <w:t>上传后，</w:t>
      </w:r>
      <w:r>
        <w:rPr>
          <w:rFonts w:ascii="宋体" w:hAnsi="宋体"/>
          <w:color w:val="auto"/>
          <w:szCs w:val="21"/>
          <w:u w:val="single"/>
        </w:rPr>
        <w:t xml:space="preserve">        </w:t>
      </w:r>
      <w:r>
        <w:rPr>
          <w:rFonts w:hint="eastAsia" w:ascii="宋体" w:hAnsi="宋体"/>
          <w:color w:val="auto"/>
          <w:szCs w:val="21"/>
        </w:rPr>
        <w:t>交易平台即时向投标人发出递交回执通知。递交时间以递交回执通知载明的传输完成时间为准。</w:t>
      </w:r>
    </w:p>
    <w:p w14:paraId="471F6176">
      <w:pPr>
        <w:spacing w:line="360" w:lineRule="auto"/>
        <w:ind w:firstLine="420" w:firstLineChars="200"/>
        <w:rPr>
          <w:rFonts w:ascii="宋体" w:hAnsi="宋体"/>
          <w:color w:val="auto"/>
          <w:szCs w:val="21"/>
        </w:rPr>
      </w:pPr>
      <w:r>
        <w:rPr>
          <w:rFonts w:hint="eastAsia" w:ascii="宋体" w:hAnsi="宋体"/>
          <w:bCs/>
          <w:color w:val="auto"/>
          <w:szCs w:val="21"/>
        </w:rPr>
        <w:t>19.3逾期送达的电子投标文件，</w:t>
      </w:r>
      <w:r>
        <w:rPr>
          <w:rFonts w:ascii="宋体" w:hAnsi="宋体"/>
          <w:color w:val="auto"/>
          <w:szCs w:val="21"/>
          <w:u w:val="single"/>
        </w:rPr>
        <w:t xml:space="preserve">        </w:t>
      </w:r>
      <w:r>
        <w:rPr>
          <w:rFonts w:hint="eastAsia" w:ascii="宋体" w:hAnsi="宋体"/>
          <w:color w:val="auto"/>
          <w:szCs w:val="21"/>
        </w:rPr>
        <w:t>交易平台将予以拒收。</w:t>
      </w:r>
    </w:p>
    <w:p w14:paraId="2942ABCD">
      <w:pPr>
        <w:spacing w:line="360" w:lineRule="auto"/>
        <w:ind w:firstLine="420" w:firstLineChars="200"/>
        <w:rPr>
          <w:rFonts w:ascii="宋体" w:hAnsi="宋体"/>
          <w:color w:val="auto"/>
          <w:szCs w:val="21"/>
        </w:rPr>
      </w:pPr>
      <w:r>
        <w:rPr>
          <w:rFonts w:hint="eastAsia" w:ascii="宋体" w:hAnsi="宋体"/>
          <w:color w:val="auto"/>
          <w:szCs w:val="21"/>
        </w:rPr>
        <w:t>19.4 投标截止前，招标人拒绝接收符合条件的投标文件，投标人可向招标投标监督机构投诉。</w:t>
      </w:r>
    </w:p>
    <w:p w14:paraId="74333A8E">
      <w:pPr>
        <w:spacing w:line="360" w:lineRule="auto"/>
        <w:ind w:firstLine="420" w:firstLineChars="200"/>
        <w:rPr>
          <w:rFonts w:ascii="宋体" w:hAnsi="宋体"/>
          <w:color w:val="auto"/>
          <w:szCs w:val="21"/>
        </w:rPr>
      </w:pPr>
      <w:r>
        <w:rPr>
          <w:rFonts w:hint="eastAsia" w:ascii="宋体" w:hAnsi="宋体"/>
          <w:color w:val="auto"/>
          <w:szCs w:val="21"/>
        </w:rPr>
        <w:t>19.5如技术标和经济标先后分别开启，</w:t>
      </w:r>
      <w:r>
        <w:rPr>
          <w:rFonts w:ascii="宋体" w:hAnsi="宋体"/>
          <w:color w:val="auto"/>
          <w:szCs w:val="21"/>
          <w:u w:val="single"/>
        </w:rPr>
        <w:t xml:space="preserve">        </w:t>
      </w:r>
      <w:r>
        <w:rPr>
          <w:rFonts w:hint="eastAsia" w:ascii="宋体" w:hAnsi="宋体"/>
          <w:color w:val="auto"/>
          <w:szCs w:val="21"/>
        </w:rPr>
        <w:t>交易平台将按招标文件规定的时间分别开启技术标和经济标。</w:t>
      </w:r>
    </w:p>
    <w:p w14:paraId="1C480FFF">
      <w:pPr>
        <w:spacing w:line="360" w:lineRule="auto"/>
        <w:ind w:firstLine="422" w:firstLineChars="200"/>
        <w:rPr>
          <w:rFonts w:ascii="宋体" w:hAnsi="宋体"/>
          <w:b/>
          <w:bCs/>
          <w:color w:val="auto"/>
          <w:szCs w:val="21"/>
        </w:rPr>
      </w:pPr>
      <w:r>
        <w:rPr>
          <w:rFonts w:hint="eastAsia" w:ascii="宋体" w:hAnsi="宋体"/>
          <w:b/>
          <w:bCs/>
          <w:color w:val="auto"/>
          <w:szCs w:val="21"/>
        </w:rPr>
        <w:t>20．投标文件提交的截止时间</w:t>
      </w:r>
    </w:p>
    <w:p w14:paraId="49527B34">
      <w:pPr>
        <w:spacing w:line="360" w:lineRule="auto"/>
        <w:ind w:firstLine="420" w:firstLineChars="200"/>
        <w:rPr>
          <w:rFonts w:ascii="宋体" w:hAnsi="宋体"/>
          <w:b/>
          <w:bCs/>
          <w:color w:val="auto"/>
          <w:szCs w:val="21"/>
        </w:rPr>
      </w:pPr>
      <w:r>
        <w:rPr>
          <w:rFonts w:hint="eastAsia" w:ascii="宋体" w:hAnsi="宋体"/>
          <w:color w:val="auto"/>
          <w:szCs w:val="21"/>
        </w:rPr>
        <w:t>20.1投标人应在投标须知前附表第17项所述的时间前提交投标文件。</w:t>
      </w:r>
    </w:p>
    <w:p w14:paraId="36F1BE60">
      <w:pPr>
        <w:spacing w:line="360" w:lineRule="auto"/>
        <w:ind w:firstLine="420" w:firstLineChars="200"/>
        <w:rPr>
          <w:rFonts w:ascii="宋体" w:hAnsi="宋体"/>
          <w:color w:val="auto"/>
          <w:szCs w:val="21"/>
        </w:rPr>
      </w:pPr>
      <w:r>
        <w:rPr>
          <w:rFonts w:hint="eastAsia" w:ascii="宋体" w:hAnsi="宋体"/>
          <w:color w:val="auto"/>
          <w:szCs w:val="21"/>
        </w:rPr>
        <w:t>20.2招标人可按本须知第9条规定以招标文件修改的方式，酌情延长提交投标文件的截止时间。在此情况下，投标人的所有权利和义务以及投标人受制约的截止时间，均以延长后新的投标截止时间为准。</w:t>
      </w:r>
    </w:p>
    <w:p w14:paraId="0257C6AE">
      <w:pPr>
        <w:spacing w:line="360" w:lineRule="auto"/>
        <w:ind w:firstLine="420" w:firstLineChars="200"/>
        <w:rPr>
          <w:rFonts w:ascii="宋体" w:hAnsi="宋体"/>
          <w:color w:val="auto"/>
          <w:szCs w:val="21"/>
        </w:rPr>
      </w:pPr>
      <w:r>
        <w:rPr>
          <w:rFonts w:hint="eastAsia" w:ascii="宋体" w:hAnsi="宋体"/>
          <w:color w:val="auto"/>
          <w:szCs w:val="21"/>
        </w:rPr>
        <w:t>20.3 到投标截止时间止，招标人收到的投标文件少于3家的，招标人将重新组织招标（当N个标段同时招标且不允许兼中时，若有效投标人不足N+2家，则重新组织招标）。</w:t>
      </w:r>
    </w:p>
    <w:p w14:paraId="53052852">
      <w:pPr>
        <w:spacing w:line="360" w:lineRule="auto"/>
        <w:ind w:firstLine="422" w:firstLineChars="200"/>
        <w:rPr>
          <w:rFonts w:ascii="宋体" w:hAnsi="宋体"/>
          <w:b/>
          <w:bCs/>
          <w:color w:val="auto"/>
          <w:szCs w:val="21"/>
        </w:rPr>
      </w:pPr>
      <w:r>
        <w:rPr>
          <w:rFonts w:hint="eastAsia" w:ascii="宋体" w:hAnsi="宋体"/>
          <w:b/>
          <w:bCs/>
          <w:color w:val="auto"/>
          <w:szCs w:val="21"/>
        </w:rPr>
        <w:t>21．迟交的投标文件</w:t>
      </w:r>
    </w:p>
    <w:p w14:paraId="38DEE5C2">
      <w:pPr>
        <w:spacing w:line="360" w:lineRule="auto"/>
        <w:ind w:firstLine="420" w:firstLineChars="200"/>
        <w:rPr>
          <w:rFonts w:ascii="宋体" w:hAnsi="宋体"/>
          <w:color w:val="auto"/>
          <w:szCs w:val="21"/>
        </w:rPr>
      </w:pPr>
      <w:r>
        <w:rPr>
          <w:rFonts w:hint="eastAsia" w:ascii="宋体" w:hAnsi="宋体"/>
          <w:color w:val="auto"/>
          <w:szCs w:val="21"/>
        </w:rPr>
        <w:t>21.1 本须知前附表第17项规定的投标截止时间</w:t>
      </w:r>
      <w:r>
        <w:rPr>
          <w:rFonts w:hint="eastAsia" w:ascii="宋体" w:hAnsi="宋体"/>
          <w:bCs/>
          <w:color w:val="auto"/>
          <w:szCs w:val="21"/>
        </w:rPr>
        <w:t>后送达的电子投标文件，</w:t>
      </w:r>
      <w:r>
        <w:rPr>
          <w:rFonts w:ascii="宋体" w:hAnsi="宋体"/>
          <w:color w:val="auto"/>
          <w:szCs w:val="21"/>
          <w:u w:val="single"/>
        </w:rPr>
        <w:t xml:space="preserve">       </w:t>
      </w:r>
      <w:r>
        <w:rPr>
          <w:rFonts w:hint="eastAsia" w:ascii="宋体" w:hAnsi="宋体"/>
          <w:color w:val="auto"/>
          <w:szCs w:val="21"/>
        </w:rPr>
        <w:t>交易平台将予以拒收。</w:t>
      </w:r>
    </w:p>
    <w:p w14:paraId="3D1989BB">
      <w:pPr>
        <w:spacing w:line="360" w:lineRule="auto"/>
        <w:ind w:firstLine="422" w:firstLineChars="200"/>
        <w:rPr>
          <w:rFonts w:ascii="宋体" w:hAnsi="宋体"/>
          <w:b/>
          <w:bCs/>
          <w:color w:val="auto"/>
          <w:szCs w:val="21"/>
        </w:rPr>
      </w:pPr>
      <w:r>
        <w:rPr>
          <w:rFonts w:hint="eastAsia" w:ascii="宋体" w:hAnsi="宋体"/>
          <w:b/>
          <w:bCs/>
          <w:color w:val="auto"/>
          <w:szCs w:val="21"/>
        </w:rPr>
        <w:t>22．投标文件的修改与撤回</w:t>
      </w:r>
    </w:p>
    <w:p w14:paraId="6997A32D">
      <w:pPr>
        <w:spacing w:line="360" w:lineRule="auto"/>
        <w:ind w:firstLine="420" w:firstLineChars="200"/>
        <w:rPr>
          <w:rFonts w:ascii="宋体" w:hAnsi="宋体"/>
          <w:color w:val="auto"/>
          <w:szCs w:val="21"/>
        </w:rPr>
      </w:pPr>
      <w:r>
        <w:rPr>
          <w:rFonts w:hint="eastAsia" w:ascii="宋体" w:hAnsi="宋体"/>
          <w:color w:val="auto"/>
          <w:szCs w:val="21"/>
        </w:rPr>
        <w:t>22.1在规定的投标截止时间前，投标人可以修改或撤回已递交的投标文件，但应以书面形式通知招标人。</w:t>
      </w:r>
    </w:p>
    <w:p w14:paraId="569CC3FD">
      <w:pPr>
        <w:spacing w:line="360" w:lineRule="auto"/>
        <w:ind w:firstLine="420" w:firstLineChars="200"/>
        <w:rPr>
          <w:rFonts w:ascii="宋体" w:hAnsi="宋体"/>
          <w:color w:val="auto"/>
          <w:szCs w:val="21"/>
        </w:rPr>
      </w:pPr>
      <w:r>
        <w:rPr>
          <w:rFonts w:hint="eastAsia" w:ascii="宋体" w:hAnsi="宋体"/>
          <w:color w:val="auto"/>
          <w:szCs w:val="21"/>
        </w:rPr>
        <w:t>22.2</w:t>
      </w:r>
      <w:r>
        <w:rPr>
          <w:rFonts w:ascii="宋体" w:hAnsi="宋体"/>
          <w:color w:val="auto"/>
          <w:szCs w:val="21"/>
        </w:rPr>
        <w:t>投标人修改或撤回已递交</w:t>
      </w:r>
      <w:r>
        <w:rPr>
          <w:rFonts w:hint="eastAsia" w:ascii="宋体" w:hAnsi="宋体"/>
          <w:color w:val="auto"/>
          <w:szCs w:val="21"/>
        </w:rPr>
        <w:t>的</w:t>
      </w:r>
      <w:r>
        <w:rPr>
          <w:rFonts w:ascii="宋体" w:hAnsi="宋体"/>
          <w:color w:val="auto"/>
          <w:szCs w:val="21"/>
        </w:rPr>
        <w:t>投标文件</w:t>
      </w:r>
      <w:r>
        <w:rPr>
          <w:rFonts w:hint="eastAsia" w:ascii="宋体" w:hAnsi="宋体"/>
          <w:color w:val="auto"/>
          <w:szCs w:val="21"/>
        </w:rPr>
        <w:t>，需在交易平台发出修改或撤回</w:t>
      </w:r>
      <w:r>
        <w:rPr>
          <w:rFonts w:ascii="宋体" w:hAnsi="宋体"/>
          <w:color w:val="auto"/>
          <w:szCs w:val="21"/>
        </w:rPr>
        <w:t>通知，</w:t>
      </w:r>
      <w:r>
        <w:rPr>
          <w:rFonts w:hint="eastAsia" w:ascii="宋体" w:hAnsi="宋体"/>
          <w:color w:val="auto"/>
          <w:szCs w:val="21"/>
        </w:rPr>
        <w:t>并按</w:t>
      </w:r>
      <w:r>
        <w:rPr>
          <w:rFonts w:ascii="宋体" w:hAnsi="宋体"/>
          <w:color w:val="auto"/>
          <w:szCs w:val="21"/>
        </w:rPr>
        <w:t>要求加盖电子印章。</w:t>
      </w:r>
      <w:r>
        <w:rPr>
          <w:rFonts w:ascii="宋体" w:hAnsi="宋体"/>
          <w:bCs/>
          <w:iCs/>
          <w:color w:val="auto"/>
          <w:szCs w:val="21"/>
        </w:rPr>
        <w:t>电子招标投标交易平台收到通知后，</w:t>
      </w:r>
      <w:r>
        <w:rPr>
          <w:rFonts w:ascii="宋体" w:hAnsi="宋体"/>
          <w:color w:val="auto"/>
          <w:szCs w:val="21"/>
        </w:rPr>
        <w:t>即时向投标人发出确认回执通知。</w:t>
      </w:r>
    </w:p>
    <w:p w14:paraId="003B0174">
      <w:pPr>
        <w:spacing w:line="360" w:lineRule="auto"/>
        <w:ind w:firstLine="420" w:firstLineChars="200"/>
        <w:rPr>
          <w:rFonts w:ascii="宋体" w:hAnsi="宋体"/>
          <w:color w:val="auto"/>
          <w:szCs w:val="21"/>
        </w:rPr>
      </w:pPr>
      <w:r>
        <w:rPr>
          <w:rFonts w:hint="eastAsia" w:ascii="宋体" w:hAnsi="宋体"/>
          <w:color w:val="auto"/>
          <w:szCs w:val="21"/>
        </w:rPr>
        <w:t>22.3修改后再次递交的，按19点的规定执行。</w:t>
      </w:r>
    </w:p>
    <w:p w14:paraId="7939CD13">
      <w:pPr>
        <w:spacing w:line="360" w:lineRule="auto"/>
        <w:ind w:firstLine="420" w:firstLineChars="200"/>
        <w:rPr>
          <w:rFonts w:ascii="宋体" w:hAnsi="宋体"/>
          <w:color w:val="auto"/>
          <w:szCs w:val="21"/>
        </w:rPr>
      </w:pPr>
      <w:r>
        <w:rPr>
          <w:rFonts w:hint="eastAsia" w:ascii="宋体" w:hAnsi="宋体"/>
          <w:color w:val="auto"/>
          <w:szCs w:val="21"/>
        </w:rPr>
        <w:t>22.4 在投标截止时间之后，投标人不得补充、修改和更换投标文件。</w:t>
      </w:r>
    </w:p>
    <w:p w14:paraId="12779BFE">
      <w:pPr>
        <w:pStyle w:val="3"/>
        <w:spacing w:before="156" w:beforeAutospacing="0" w:after="156" w:afterAutospacing="0" w:line="360" w:lineRule="auto"/>
        <w:rPr>
          <w:b/>
          <w:bCs/>
          <w:color w:val="auto"/>
          <w:sz w:val="21"/>
          <w:szCs w:val="21"/>
        </w:rPr>
      </w:pPr>
      <w:bookmarkStart w:id="21" w:name="_Toc28222"/>
      <w:bookmarkStart w:id="22" w:name="_Toc105014628"/>
      <w:bookmarkStart w:id="23" w:name="_Toc185324322"/>
      <w:r>
        <w:rPr>
          <w:rFonts w:hint="eastAsia"/>
          <w:b/>
          <w:bCs/>
          <w:color w:val="auto"/>
          <w:sz w:val="21"/>
          <w:szCs w:val="21"/>
        </w:rPr>
        <w:t>（五）开标、评标、定标及合同签定</w:t>
      </w:r>
      <w:bookmarkEnd w:id="21"/>
      <w:bookmarkEnd w:id="22"/>
      <w:bookmarkEnd w:id="23"/>
    </w:p>
    <w:p w14:paraId="08F9B99E">
      <w:pPr>
        <w:spacing w:line="360" w:lineRule="auto"/>
        <w:ind w:firstLine="422" w:firstLineChars="200"/>
        <w:rPr>
          <w:rFonts w:ascii="宋体" w:hAnsi="宋体"/>
          <w:b/>
          <w:bCs/>
          <w:color w:val="auto"/>
          <w:szCs w:val="21"/>
        </w:rPr>
      </w:pPr>
      <w:r>
        <w:rPr>
          <w:rFonts w:hint="eastAsia" w:ascii="宋体" w:hAnsi="宋体"/>
          <w:b/>
          <w:bCs/>
          <w:color w:val="auto"/>
          <w:szCs w:val="21"/>
        </w:rPr>
        <w:t>2</w:t>
      </w:r>
      <w:r>
        <w:rPr>
          <w:rFonts w:ascii="宋体" w:hAnsi="宋体"/>
          <w:b/>
          <w:bCs/>
          <w:color w:val="auto"/>
          <w:szCs w:val="21"/>
        </w:rPr>
        <w:t xml:space="preserve">3. </w:t>
      </w:r>
      <w:r>
        <w:rPr>
          <w:rFonts w:hint="eastAsia" w:ascii="宋体" w:hAnsi="宋体"/>
          <w:b/>
          <w:bCs/>
          <w:color w:val="auto"/>
          <w:szCs w:val="21"/>
        </w:rPr>
        <w:t>开标</w:t>
      </w:r>
    </w:p>
    <w:p w14:paraId="65245B0B">
      <w:pPr>
        <w:spacing w:line="360" w:lineRule="auto"/>
        <w:ind w:firstLine="420" w:firstLineChars="200"/>
        <w:rPr>
          <w:rFonts w:ascii="宋体" w:hAnsi="宋体"/>
          <w:color w:val="auto"/>
          <w:szCs w:val="21"/>
        </w:rPr>
      </w:pPr>
      <w:r>
        <w:rPr>
          <w:rFonts w:hint="eastAsia" w:ascii="宋体" w:hAnsi="宋体"/>
          <w:color w:val="auto"/>
          <w:szCs w:val="21"/>
        </w:rPr>
        <w:t>详见第二章开标、评标及定标办法。</w:t>
      </w:r>
    </w:p>
    <w:p w14:paraId="336C9FA5">
      <w:pPr>
        <w:spacing w:line="360" w:lineRule="auto"/>
        <w:ind w:firstLine="422" w:firstLineChars="200"/>
        <w:rPr>
          <w:rFonts w:ascii="宋体" w:hAnsi="宋体"/>
          <w:b/>
          <w:bCs/>
          <w:color w:val="auto"/>
          <w:szCs w:val="21"/>
        </w:rPr>
      </w:pPr>
      <w:r>
        <w:rPr>
          <w:rFonts w:hint="eastAsia" w:ascii="宋体" w:hAnsi="宋体"/>
          <w:b/>
          <w:bCs/>
          <w:color w:val="auto"/>
          <w:szCs w:val="21"/>
        </w:rPr>
        <w:t>24．评标过程的保密</w:t>
      </w:r>
    </w:p>
    <w:p w14:paraId="34B96A56">
      <w:pPr>
        <w:spacing w:line="360" w:lineRule="auto"/>
        <w:ind w:firstLine="420" w:firstLineChars="200"/>
        <w:rPr>
          <w:rFonts w:ascii="宋体" w:hAnsi="宋体"/>
          <w:color w:val="auto"/>
          <w:szCs w:val="21"/>
        </w:rPr>
      </w:pPr>
      <w:r>
        <w:rPr>
          <w:rFonts w:hint="eastAsia" w:ascii="宋体" w:hAnsi="宋体"/>
          <w:color w:val="auto"/>
          <w:szCs w:val="21"/>
        </w:rPr>
        <w:t>24.1 开标后，直至中标公示为止，凡属于对投标文件的审查、澄清、评价和比较有关的资料以及中标候选人的推荐情况，与评标有关的其他任何情况均严格保密。</w:t>
      </w:r>
    </w:p>
    <w:p w14:paraId="09AFF8EB">
      <w:pPr>
        <w:spacing w:line="360" w:lineRule="auto"/>
        <w:ind w:firstLine="420" w:firstLineChars="200"/>
        <w:rPr>
          <w:rFonts w:ascii="宋体" w:hAnsi="宋体"/>
          <w:color w:val="auto"/>
          <w:szCs w:val="21"/>
        </w:rPr>
      </w:pPr>
      <w:r>
        <w:rPr>
          <w:rFonts w:hint="eastAsia" w:ascii="宋体" w:hAnsi="宋体"/>
          <w:color w:val="auto"/>
          <w:szCs w:val="21"/>
        </w:rPr>
        <w:t>24.2 在投标文件的评审和比较、中标候选人推荐以及授予合同的过程中，投标人向招标人和评标委员会施加不公正影响的任何行为，都将会导致其投标被拒绝。</w:t>
      </w:r>
    </w:p>
    <w:p w14:paraId="10BBA008">
      <w:pPr>
        <w:spacing w:line="360" w:lineRule="auto"/>
        <w:ind w:firstLine="422" w:firstLineChars="200"/>
        <w:rPr>
          <w:rFonts w:ascii="宋体" w:hAnsi="宋体"/>
          <w:b/>
          <w:bCs/>
          <w:color w:val="auto"/>
          <w:szCs w:val="21"/>
        </w:rPr>
      </w:pPr>
      <w:r>
        <w:rPr>
          <w:rFonts w:hint="eastAsia" w:ascii="宋体" w:hAnsi="宋体"/>
          <w:b/>
          <w:bCs/>
          <w:color w:val="auto"/>
          <w:szCs w:val="21"/>
        </w:rPr>
        <w:t>25．投标文件的澄清，计算错误的修正</w:t>
      </w:r>
    </w:p>
    <w:p w14:paraId="770AAE80">
      <w:pPr>
        <w:spacing w:line="360" w:lineRule="auto"/>
        <w:ind w:firstLine="420" w:firstLineChars="200"/>
        <w:rPr>
          <w:rFonts w:ascii="宋体" w:hAnsi="宋体"/>
          <w:color w:val="auto"/>
          <w:szCs w:val="21"/>
        </w:rPr>
      </w:pPr>
      <w:r>
        <w:rPr>
          <w:rFonts w:hint="eastAsia" w:ascii="宋体" w:hAnsi="宋体"/>
          <w:color w:val="auto"/>
          <w:szCs w:val="21"/>
        </w:rPr>
        <w:t>详见招标文件第二章开标、评标及定标办法。</w:t>
      </w:r>
    </w:p>
    <w:p w14:paraId="42B6E021">
      <w:pPr>
        <w:spacing w:line="360" w:lineRule="auto"/>
        <w:ind w:firstLine="422" w:firstLineChars="200"/>
        <w:rPr>
          <w:rFonts w:ascii="宋体" w:hAnsi="宋体"/>
          <w:b/>
          <w:bCs/>
          <w:color w:val="auto"/>
          <w:szCs w:val="21"/>
        </w:rPr>
      </w:pPr>
      <w:r>
        <w:rPr>
          <w:rFonts w:hint="eastAsia" w:ascii="宋体" w:hAnsi="宋体"/>
          <w:b/>
          <w:bCs/>
          <w:color w:val="auto"/>
          <w:szCs w:val="21"/>
        </w:rPr>
        <w:t>26．投标文件的评审、比较和否决</w:t>
      </w:r>
    </w:p>
    <w:p w14:paraId="1ADECAFF">
      <w:pPr>
        <w:spacing w:line="360" w:lineRule="auto"/>
        <w:ind w:firstLine="420" w:firstLineChars="200"/>
        <w:rPr>
          <w:rFonts w:ascii="宋体" w:hAnsi="宋体"/>
          <w:bCs/>
          <w:color w:val="auto"/>
          <w:szCs w:val="21"/>
        </w:rPr>
      </w:pPr>
      <w:r>
        <w:rPr>
          <w:rFonts w:hint="eastAsia" w:ascii="宋体" w:hAnsi="宋体"/>
          <w:color w:val="auto"/>
          <w:szCs w:val="21"/>
        </w:rPr>
        <w:t>详见招标文件第二章开标、评标及定标办法。</w:t>
      </w:r>
    </w:p>
    <w:p w14:paraId="22D9031C">
      <w:pPr>
        <w:spacing w:line="360" w:lineRule="auto"/>
        <w:ind w:firstLine="422" w:firstLineChars="200"/>
        <w:rPr>
          <w:rFonts w:ascii="宋体" w:hAnsi="宋体"/>
          <w:b/>
          <w:bCs/>
          <w:color w:val="auto"/>
          <w:szCs w:val="21"/>
        </w:rPr>
      </w:pPr>
      <w:r>
        <w:rPr>
          <w:rFonts w:hint="eastAsia" w:ascii="宋体" w:hAnsi="宋体"/>
          <w:b/>
          <w:bCs/>
          <w:color w:val="auto"/>
          <w:szCs w:val="21"/>
        </w:rPr>
        <w:t>27．中标通知书</w:t>
      </w:r>
    </w:p>
    <w:p w14:paraId="0396F7FB">
      <w:pPr>
        <w:spacing w:line="360" w:lineRule="auto"/>
        <w:ind w:firstLine="420" w:firstLineChars="200"/>
        <w:rPr>
          <w:rFonts w:ascii="宋体" w:hAnsi="宋体"/>
          <w:color w:val="auto"/>
          <w:szCs w:val="21"/>
        </w:rPr>
      </w:pPr>
      <w:r>
        <w:rPr>
          <w:rFonts w:hint="eastAsia" w:ascii="宋体" w:hAnsi="宋体"/>
          <w:color w:val="auto"/>
          <w:szCs w:val="21"/>
        </w:rPr>
        <w:t>27.1招标人将在</w:t>
      </w:r>
      <w:r>
        <w:rPr>
          <w:rFonts w:hint="eastAsia" w:ascii="宋体" w:hAnsi="宋体"/>
          <w:color w:val="auto"/>
          <w:szCs w:val="21"/>
          <w:u w:val="single"/>
        </w:rPr>
        <w:t xml:space="preserve">        </w:t>
      </w:r>
      <w:r>
        <w:rPr>
          <w:rFonts w:hint="eastAsia" w:ascii="宋体" w:hAnsi="宋体"/>
          <w:color w:val="auto"/>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59BB2D6">
      <w:pPr>
        <w:spacing w:line="360" w:lineRule="auto"/>
        <w:ind w:firstLine="420" w:firstLineChars="200"/>
        <w:rPr>
          <w:rFonts w:ascii="宋体" w:hAnsi="宋体"/>
          <w:color w:val="auto"/>
          <w:szCs w:val="21"/>
        </w:rPr>
      </w:pPr>
      <w:r>
        <w:rPr>
          <w:rFonts w:hint="eastAsia" w:ascii="宋体" w:hAnsi="宋体"/>
          <w:color w:val="auto"/>
          <w:szCs w:val="21"/>
        </w:rPr>
        <w:t>27.2招标人应当自确定中标人后，向招标投标监管机构提交招标投标情况的书面报告；经招投标监管机构备案后，方可发出中标通知书。</w:t>
      </w:r>
    </w:p>
    <w:p w14:paraId="383F5E7A">
      <w:pPr>
        <w:spacing w:line="360" w:lineRule="auto"/>
        <w:ind w:firstLine="420" w:firstLineChars="200"/>
        <w:rPr>
          <w:rFonts w:ascii="宋体" w:hAnsi="宋体"/>
          <w:color w:val="auto"/>
          <w:szCs w:val="21"/>
        </w:rPr>
      </w:pPr>
      <w:r>
        <w:rPr>
          <w:rFonts w:hint="eastAsia" w:ascii="宋体" w:hAnsi="宋体"/>
          <w:color w:val="auto"/>
          <w:szCs w:val="21"/>
        </w:rPr>
        <w:t>27.3中标人必须在收到中标通知书后24小时之内以书面形式回复招标人，确认收到。</w:t>
      </w:r>
    </w:p>
    <w:p w14:paraId="337597D0">
      <w:pPr>
        <w:spacing w:line="360" w:lineRule="auto"/>
        <w:ind w:firstLine="420" w:firstLineChars="200"/>
        <w:rPr>
          <w:rFonts w:ascii="宋体" w:hAnsi="宋体"/>
          <w:color w:val="auto"/>
          <w:szCs w:val="21"/>
        </w:rPr>
      </w:pPr>
      <w:r>
        <w:rPr>
          <w:rFonts w:hint="eastAsia" w:ascii="宋体" w:hAnsi="宋体"/>
          <w:color w:val="auto"/>
          <w:szCs w:val="21"/>
        </w:rPr>
        <w:t>27.4在产生中标候选人后，招标人将中标候选人的投标文件商务部分文件的所有内容（包括人员、业绩、奖项等资料）在</w:t>
      </w:r>
      <w:r>
        <w:rPr>
          <w:rFonts w:hint="eastAsia" w:ascii="宋体" w:hAnsi="宋体"/>
          <w:color w:val="auto"/>
          <w:szCs w:val="21"/>
          <w:u w:val="single"/>
        </w:rPr>
        <w:t xml:space="preserve">       </w:t>
      </w:r>
      <w:r>
        <w:rPr>
          <w:rFonts w:hint="eastAsia" w:ascii="宋体" w:hAnsi="宋体"/>
          <w:color w:val="auto"/>
          <w:szCs w:val="21"/>
        </w:rPr>
        <w:t xml:space="preserve"> 交易平台和广东省招标投标监管网公开。</w:t>
      </w:r>
    </w:p>
    <w:p w14:paraId="528E8EA8">
      <w:pPr>
        <w:spacing w:line="360" w:lineRule="auto"/>
        <w:ind w:firstLine="422" w:firstLineChars="200"/>
        <w:rPr>
          <w:rFonts w:ascii="宋体" w:hAnsi="宋体"/>
          <w:b/>
          <w:bCs/>
          <w:color w:val="auto"/>
          <w:szCs w:val="21"/>
        </w:rPr>
      </w:pPr>
      <w:r>
        <w:rPr>
          <w:rFonts w:hint="eastAsia" w:ascii="宋体" w:hAnsi="宋体"/>
          <w:b/>
          <w:bCs/>
          <w:color w:val="auto"/>
          <w:szCs w:val="21"/>
        </w:rPr>
        <w:t>28．合同协议书的签订</w:t>
      </w:r>
    </w:p>
    <w:p w14:paraId="3CD7DB62">
      <w:pPr>
        <w:spacing w:line="360" w:lineRule="auto"/>
        <w:ind w:firstLine="420" w:firstLineChars="200"/>
        <w:rPr>
          <w:rFonts w:ascii="宋体" w:hAnsi="宋体"/>
          <w:color w:val="auto"/>
          <w:szCs w:val="21"/>
        </w:rPr>
      </w:pPr>
      <w:r>
        <w:rPr>
          <w:rFonts w:hint="eastAsia" w:ascii="宋体" w:hAnsi="宋体"/>
          <w:color w:val="auto"/>
          <w:szCs w:val="21"/>
        </w:rPr>
        <w:t>28.1 招标人与中标人将于中标通知书发出之日起30日内，按照招标文件和中标人的投标文件商定和签订合同，招标人和中标人不得再行订立背离合同实质性内容的其他协议。</w:t>
      </w:r>
    </w:p>
    <w:p w14:paraId="5E9ACE97">
      <w:pPr>
        <w:spacing w:line="360" w:lineRule="auto"/>
        <w:ind w:firstLine="420" w:firstLineChars="200"/>
        <w:rPr>
          <w:rFonts w:ascii="宋体" w:hAnsi="宋体"/>
          <w:color w:val="auto"/>
          <w:szCs w:val="21"/>
        </w:rPr>
      </w:pPr>
      <w:r>
        <w:rPr>
          <w:rFonts w:hint="eastAsia" w:ascii="宋体" w:hAnsi="宋体"/>
          <w:color w:val="auto"/>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B7549B6">
      <w:pPr>
        <w:spacing w:line="360" w:lineRule="auto"/>
        <w:ind w:firstLine="420" w:firstLineChars="200"/>
        <w:rPr>
          <w:rFonts w:ascii="宋体" w:hAnsi="宋体"/>
          <w:color w:val="auto"/>
          <w:szCs w:val="21"/>
        </w:rPr>
      </w:pPr>
      <w:r>
        <w:rPr>
          <w:rFonts w:hint="eastAsia" w:ascii="宋体" w:hAnsi="宋体"/>
          <w:color w:val="auto"/>
          <w:szCs w:val="21"/>
        </w:rPr>
        <w:t>28.3非经招标人同意，中标人在投标过程中使用的银行名称及账号至完成竣工结算不得变更，否则招标人有权停止工程款项的拨付及至解除合同，由此造成的一切责任由中标人承担。</w:t>
      </w:r>
    </w:p>
    <w:p w14:paraId="4DCDF0DF">
      <w:pPr>
        <w:spacing w:line="360" w:lineRule="auto"/>
        <w:ind w:firstLine="420" w:firstLineChars="200"/>
        <w:rPr>
          <w:rFonts w:ascii="宋体" w:hAnsi="宋体"/>
          <w:color w:val="auto"/>
          <w:szCs w:val="21"/>
        </w:rPr>
      </w:pPr>
      <w:r>
        <w:rPr>
          <w:rFonts w:hint="eastAsia" w:ascii="宋体" w:hAnsi="宋体"/>
          <w:color w:val="auto"/>
          <w:szCs w:val="21"/>
        </w:rPr>
        <w:t>28.4招标人支付工程款时，中标人应按规定开具发票。</w:t>
      </w:r>
    </w:p>
    <w:p w14:paraId="33D7574A">
      <w:pPr>
        <w:spacing w:line="360" w:lineRule="auto"/>
        <w:ind w:firstLine="422" w:firstLineChars="200"/>
        <w:rPr>
          <w:rFonts w:ascii="宋体" w:hAnsi="宋体"/>
          <w:b/>
          <w:bCs/>
          <w:color w:val="auto"/>
          <w:szCs w:val="21"/>
        </w:rPr>
      </w:pPr>
      <w:r>
        <w:rPr>
          <w:rFonts w:hint="eastAsia" w:ascii="宋体" w:hAnsi="宋体"/>
          <w:b/>
          <w:bCs/>
          <w:color w:val="auto"/>
          <w:szCs w:val="21"/>
        </w:rPr>
        <w:t>29．履约担保</w:t>
      </w:r>
    </w:p>
    <w:p w14:paraId="7418C2A7">
      <w:pPr>
        <w:snapToGrid w:val="0"/>
        <w:spacing w:line="360" w:lineRule="auto"/>
        <w:ind w:firstLine="420" w:firstLineChars="200"/>
        <w:rPr>
          <w:rFonts w:ascii="宋体" w:hAnsi="宋体"/>
          <w:color w:val="auto"/>
          <w:szCs w:val="21"/>
        </w:rPr>
      </w:pPr>
      <w:r>
        <w:rPr>
          <w:rFonts w:hint="eastAsia" w:ascii="宋体" w:hAnsi="宋体"/>
          <w:color w:val="auto"/>
          <w:szCs w:val="21"/>
        </w:rPr>
        <w:t>29.1 在收到中标通知书后的15日内，中标人应按本须知前附表第20项的规定向招标人提交履约担保。</w:t>
      </w:r>
    </w:p>
    <w:p w14:paraId="65D24E78">
      <w:pPr>
        <w:snapToGrid w:val="0"/>
        <w:spacing w:line="360" w:lineRule="auto"/>
        <w:ind w:firstLine="420" w:firstLineChars="200"/>
        <w:rPr>
          <w:rFonts w:ascii="宋体" w:hAnsi="宋体"/>
          <w:color w:val="auto"/>
          <w:szCs w:val="21"/>
        </w:rPr>
      </w:pPr>
      <w:r>
        <w:rPr>
          <w:rFonts w:hint="eastAsia" w:ascii="宋体" w:hAnsi="宋体"/>
          <w:color w:val="auto"/>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8692665">
      <w:pPr>
        <w:spacing w:line="360" w:lineRule="auto"/>
        <w:ind w:firstLine="422" w:firstLineChars="200"/>
        <w:rPr>
          <w:rFonts w:ascii="宋体" w:hAnsi="宋体"/>
          <w:b/>
          <w:bCs/>
          <w:color w:val="auto"/>
          <w:szCs w:val="21"/>
        </w:rPr>
      </w:pPr>
      <w:r>
        <w:rPr>
          <w:rFonts w:hint="eastAsia" w:ascii="宋体" w:hAnsi="宋体"/>
          <w:b/>
          <w:bCs/>
          <w:color w:val="auto"/>
          <w:szCs w:val="21"/>
        </w:rPr>
        <w:t>30．合同生效</w:t>
      </w:r>
    </w:p>
    <w:p w14:paraId="70BC82BA">
      <w:pPr>
        <w:spacing w:line="360" w:lineRule="auto"/>
        <w:ind w:firstLine="420" w:firstLineChars="200"/>
        <w:rPr>
          <w:rFonts w:ascii="宋体" w:hAnsi="宋体"/>
          <w:color w:val="auto"/>
          <w:szCs w:val="21"/>
        </w:rPr>
      </w:pPr>
      <w:r>
        <w:rPr>
          <w:rFonts w:hint="eastAsia" w:ascii="宋体" w:hAnsi="宋体"/>
          <w:color w:val="auto"/>
          <w:szCs w:val="21"/>
        </w:rPr>
        <w:t>30.1在合同双方全权代表在合同协议书上签字，并分别加盖双方单位的公章后，合同正式生效。</w:t>
      </w:r>
    </w:p>
    <w:p w14:paraId="33BD9ACD">
      <w:pPr>
        <w:spacing w:line="360" w:lineRule="auto"/>
        <w:ind w:firstLine="422" w:firstLineChars="200"/>
        <w:rPr>
          <w:rFonts w:ascii="宋体" w:hAnsi="宋体"/>
          <w:b/>
          <w:bCs/>
          <w:color w:val="auto"/>
          <w:szCs w:val="21"/>
        </w:rPr>
      </w:pPr>
      <w:r>
        <w:rPr>
          <w:rFonts w:hint="eastAsia" w:ascii="宋体" w:hAnsi="宋体"/>
          <w:b/>
          <w:bCs/>
          <w:color w:val="auto"/>
          <w:szCs w:val="21"/>
        </w:rPr>
        <w:t>31．其它费用</w:t>
      </w:r>
    </w:p>
    <w:p w14:paraId="5D048429">
      <w:pPr>
        <w:pStyle w:val="22"/>
        <w:spacing w:after="0" w:line="360" w:lineRule="auto"/>
        <w:ind w:firstLine="422" w:firstLineChars="200"/>
        <w:rPr>
          <w:rFonts w:ascii="宋体" w:hAnsi="宋体"/>
          <w:b/>
          <w:bCs/>
          <w:color w:val="auto"/>
          <w:sz w:val="21"/>
          <w:szCs w:val="21"/>
        </w:rPr>
      </w:pPr>
      <w:r>
        <w:rPr>
          <w:rFonts w:hint="eastAsia" w:ascii="宋体" w:hAnsi="宋体"/>
          <w:b/>
          <w:bCs/>
          <w:color w:val="auto"/>
          <w:sz w:val="21"/>
          <w:szCs w:val="21"/>
        </w:rPr>
        <w:t>32．腐败与欺诈行为</w:t>
      </w:r>
    </w:p>
    <w:p w14:paraId="57AC0E85">
      <w:pPr>
        <w:pStyle w:val="22"/>
        <w:spacing w:after="0" w:line="360" w:lineRule="auto"/>
        <w:ind w:firstLineChars="200"/>
        <w:rPr>
          <w:rFonts w:ascii="宋体" w:hAnsi="宋体"/>
          <w:color w:val="auto"/>
          <w:sz w:val="21"/>
          <w:szCs w:val="21"/>
        </w:rPr>
      </w:pPr>
      <w:r>
        <w:rPr>
          <w:rFonts w:hint="eastAsia" w:ascii="宋体" w:hAnsi="宋体"/>
          <w:color w:val="auto"/>
          <w:sz w:val="21"/>
          <w:szCs w:val="21"/>
        </w:rPr>
        <w:t>在招标和合同实施期间，招标人要求投标人和承包人遵守最高的道德标准。</w:t>
      </w:r>
    </w:p>
    <w:p w14:paraId="770EB050">
      <w:pPr>
        <w:pStyle w:val="22"/>
        <w:spacing w:after="0" w:line="360" w:lineRule="auto"/>
        <w:ind w:firstLineChars="200"/>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2.1</w:t>
      </w:r>
      <w:r>
        <w:rPr>
          <w:rFonts w:hint="eastAsia" w:ascii="宋体" w:hAnsi="宋体"/>
          <w:color w:val="auto"/>
          <w:sz w:val="21"/>
          <w:szCs w:val="21"/>
        </w:rPr>
        <w:t>对本条款的规定，特定义如下词汇：</w:t>
      </w:r>
    </w:p>
    <w:p w14:paraId="4D93499C">
      <w:pPr>
        <w:pStyle w:val="22"/>
        <w:spacing w:after="0" w:line="360" w:lineRule="auto"/>
        <w:ind w:firstLineChars="200"/>
        <w:rPr>
          <w:rFonts w:ascii="宋体" w:hAnsi="宋体"/>
          <w:color w:val="auto"/>
          <w:sz w:val="21"/>
          <w:szCs w:val="21"/>
        </w:rPr>
      </w:pPr>
      <w:r>
        <w:rPr>
          <w:rFonts w:hint="eastAsia" w:ascii="宋体" w:hAnsi="宋体"/>
          <w:color w:val="auto"/>
          <w:sz w:val="21"/>
          <w:szCs w:val="21"/>
        </w:rPr>
        <w:t>1）“腐败行为”是指在招标或合同执行期间，通过提供、给予、接受或索要任何有价值的东西，从而影响招标人有关人员工作的行为；</w:t>
      </w:r>
    </w:p>
    <w:p w14:paraId="40AF96B5">
      <w:pPr>
        <w:pStyle w:val="22"/>
        <w:spacing w:after="0" w:line="360" w:lineRule="auto"/>
        <w:ind w:firstLineChars="200"/>
        <w:rPr>
          <w:rFonts w:ascii="宋体" w:hAnsi="宋体"/>
          <w:color w:val="auto"/>
          <w:sz w:val="21"/>
          <w:szCs w:val="21"/>
        </w:rPr>
      </w:pPr>
      <w:r>
        <w:rPr>
          <w:rFonts w:hint="eastAsia" w:ascii="宋体" w:hAnsi="宋体"/>
          <w:color w:val="auto"/>
          <w:sz w:val="21"/>
          <w:szCs w:val="21"/>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33914ED">
      <w:pPr>
        <w:pStyle w:val="22"/>
        <w:spacing w:after="0" w:line="360" w:lineRule="auto"/>
        <w:ind w:firstLineChars="200"/>
        <w:rPr>
          <w:rFonts w:ascii="宋体" w:hAnsi="宋体"/>
          <w:color w:val="auto"/>
          <w:sz w:val="21"/>
          <w:szCs w:val="21"/>
        </w:rPr>
      </w:pPr>
      <w:r>
        <w:rPr>
          <w:rFonts w:ascii="宋体" w:hAnsi="宋体"/>
          <w:color w:val="auto"/>
          <w:sz w:val="21"/>
          <w:szCs w:val="21"/>
        </w:rPr>
        <w:t xml:space="preserve">32.2 </w:t>
      </w:r>
      <w:r>
        <w:rPr>
          <w:rFonts w:hint="eastAsia" w:ascii="宋体" w:hAnsi="宋体"/>
          <w:color w:val="auto"/>
          <w:sz w:val="21"/>
          <w:szCs w:val="21"/>
        </w:rPr>
        <w:t>如果投标人被认定在本招标的竞争中有腐败或欺诈行为，则会被取消投标资格。</w:t>
      </w:r>
    </w:p>
    <w:p w14:paraId="4E9EAEBB">
      <w:pPr>
        <w:pStyle w:val="22"/>
        <w:spacing w:after="0" w:line="360" w:lineRule="auto"/>
        <w:ind w:firstLineChars="200"/>
        <w:rPr>
          <w:rFonts w:ascii="宋体" w:hAnsi="宋体"/>
          <w:color w:val="auto"/>
          <w:sz w:val="21"/>
          <w:szCs w:val="21"/>
        </w:rPr>
      </w:pPr>
      <w:r>
        <w:rPr>
          <w:rFonts w:hint="eastAsia" w:ascii="宋体" w:hAnsi="宋体"/>
          <w:color w:val="auto"/>
          <w:sz w:val="21"/>
          <w:szCs w:val="21"/>
        </w:rPr>
        <w:t>32.3投标人如在本项目中存在串通投标、弄虚作假骗取中标、行贿情形的，中标无效，行政监督部门将对其违法行为进行政处罚。该投标人将被招标人列入黑名单并限制其参与招标人后续项目的投标。</w:t>
      </w:r>
    </w:p>
    <w:p w14:paraId="71156647">
      <w:pPr>
        <w:pStyle w:val="115"/>
        <w:spacing w:after="0" w:line="276" w:lineRule="auto"/>
        <w:ind w:firstLineChars="200"/>
        <w:rPr>
          <w:rStyle w:val="122"/>
          <w:rFonts w:ascii="宋体" w:hAnsi="宋体"/>
          <w:color w:val="auto"/>
          <w:sz w:val="21"/>
          <w:szCs w:val="21"/>
        </w:rPr>
      </w:pPr>
    </w:p>
    <w:p w14:paraId="67C150BF">
      <w:pPr>
        <w:pStyle w:val="132"/>
        <w:outlineLvl w:val="0"/>
        <w:rPr>
          <w:rStyle w:val="122"/>
          <w:rFonts w:ascii="宋体" w:hAnsi="宋体"/>
          <w:bCs/>
          <w:color w:val="auto"/>
        </w:rPr>
      </w:pPr>
      <w:r>
        <w:rPr>
          <w:rStyle w:val="122"/>
          <w:rFonts w:ascii="宋体" w:hAnsi="宋体"/>
          <w:b w:val="0"/>
          <w:color w:val="auto"/>
          <w:sz w:val="24"/>
        </w:rPr>
        <w:br w:type="page"/>
      </w:r>
      <w:bookmarkStart w:id="24" w:name="_Toc21525"/>
      <w:r>
        <w:rPr>
          <w:rStyle w:val="122"/>
          <w:rFonts w:ascii="宋体" w:hAnsi="宋体"/>
          <w:bCs/>
          <w:color w:val="auto"/>
        </w:rPr>
        <w:t>第二章  开标、评标及定标办法</w:t>
      </w:r>
      <w:bookmarkEnd w:id="24"/>
    </w:p>
    <w:p w14:paraId="7C97DA39">
      <w:pPr>
        <w:pStyle w:val="139"/>
        <w:spacing w:line="276" w:lineRule="auto"/>
        <w:outlineLvl w:val="1"/>
        <w:rPr>
          <w:rStyle w:val="122"/>
          <w:rFonts w:ascii="宋体" w:hAnsi="宋体"/>
          <w:b/>
          <w:color w:val="auto"/>
          <w:sz w:val="21"/>
          <w:szCs w:val="21"/>
        </w:rPr>
      </w:pPr>
      <w:bookmarkStart w:id="25" w:name="_Toc20398"/>
      <w:bookmarkStart w:id="26" w:name="_Toc4188"/>
      <w:r>
        <w:rPr>
          <w:rStyle w:val="122"/>
          <w:rFonts w:hint="eastAsia" w:ascii="宋体" w:hAnsi="宋体"/>
          <w:b/>
          <w:color w:val="auto"/>
          <w:sz w:val="21"/>
          <w:szCs w:val="21"/>
        </w:rPr>
        <w:t>一、开标、评标及定标办法修改表</w:t>
      </w:r>
      <w:bookmarkEnd w:id="25"/>
      <w:bookmarkEnd w:id="26"/>
    </w:p>
    <w:p w14:paraId="0C25B32B">
      <w:pPr>
        <w:widowControl w:val="0"/>
        <w:spacing w:line="360" w:lineRule="auto"/>
        <w:ind w:firstLine="420"/>
        <w:rPr>
          <w:rFonts w:ascii="宋体" w:hAnsi="宋体" w:cs="宋体"/>
          <w:b/>
          <w:color w:val="auto"/>
          <w:kern w:val="0"/>
          <w:sz w:val="20"/>
          <w:szCs w:val="21"/>
        </w:rPr>
      </w:pPr>
      <w:r>
        <w:rPr>
          <w:rFonts w:hint="eastAsia" w:ascii="宋体" w:hAnsi="宋体" w:cs="宋体"/>
          <w:b/>
          <w:color w:val="auto"/>
          <w:kern w:val="0"/>
          <w:sz w:val="20"/>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65AB1DA3">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条款号：</w:t>
      </w:r>
      <w:r>
        <w:rPr>
          <w:rFonts w:hint="eastAsia" w:ascii="宋体" w:hAnsi="宋体" w:cs="宋体"/>
          <w:color w:val="auto"/>
          <w:sz w:val="24"/>
          <w:szCs w:val="24"/>
        </w:rPr>
        <w:t xml:space="preserve">36.1            </w:t>
      </w:r>
      <w:r>
        <w:rPr>
          <w:rFonts w:hint="eastAsia" w:ascii="宋体" w:hAnsi="宋体" w:cs="宋体"/>
          <w:b/>
          <w:color w:val="auto"/>
          <w:sz w:val="24"/>
          <w:szCs w:val="24"/>
        </w:rPr>
        <w:t>修改类型：修改</w:t>
      </w:r>
    </w:p>
    <w:p w14:paraId="372BF161">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原文：</w:t>
      </w:r>
      <w:r>
        <w:rPr>
          <w:rFonts w:hint="eastAsia" w:ascii="宋体" w:hAnsi="宋体" w:cs="宋体"/>
          <w:color w:val="auto"/>
          <w:sz w:val="24"/>
          <w:szCs w:val="24"/>
        </w:rPr>
        <w:t>36.1 招标人按投标须知前附表第18项所规定的时间和地点公开开标，并邀请所有投标人参加。截标后，开标开始时间因故推迟的，相关评标信息仍以原定的开标开始时间的信息为准。</w:t>
      </w:r>
    </w:p>
    <w:p w14:paraId="7E608E2F">
      <w:pPr>
        <w:widowControl w:val="0"/>
        <w:pBdr>
          <w:bottom w:val="single" w:color="auto" w:sz="6" w:space="1"/>
        </w:pBdr>
        <w:spacing w:line="360" w:lineRule="auto"/>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现文：</w:t>
      </w:r>
      <w:r>
        <w:rPr>
          <w:rFonts w:hint="eastAsia" w:ascii="宋体" w:hAnsi="宋体" w:cs="宋体"/>
          <w:color w:val="auto"/>
          <w:sz w:val="24"/>
          <w:szCs w:val="24"/>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u w:val="single"/>
        </w:rPr>
        <w:t>若投标人不参加开标会的，其投标文件在开标现场的投标人或招标人代表、招标代理机构代表及交易中心代表见证下公开开启、解密、公布，并视同该投标人认可开标结果。</w:t>
      </w:r>
    </w:p>
    <w:p w14:paraId="1F9A797E">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条款号：</w:t>
      </w:r>
      <w:r>
        <w:rPr>
          <w:rFonts w:hint="eastAsia" w:ascii="宋体" w:hAnsi="宋体" w:cs="宋体"/>
          <w:color w:val="auto"/>
          <w:sz w:val="24"/>
          <w:szCs w:val="24"/>
        </w:rPr>
        <w:t xml:space="preserve">36.3                </w:t>
      </w:r>
      <w:r>
        <w:rPr>
          <w:rFonts w:hint="eastAsia" w:ascii="宋体" w:hAnsi="宋体" w:cs="宋体"/>
          <w:b/>
          <w:color w:val="auto"/>
          <w:sz w:val="24"/>
          <w:szCs w:val="24"/>
        </w:rPr>
        <w:t>修改类型：删除</w:t>
      </w:r>
    </w:p>
    <w:p w14:paraId="375F873D">
      <w:pPr>
        <w:widowControl w:val="0"/>
        <w:spacing w:line="360" w:lineRule="auto"/>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原文：</w:t>
      </w:r>
      <w:r>
        <w:rPr>
          <w:rFonts w:hint="eastAsia" w:ascii="宋体" w:hAnsi="宋体" w:cs="宋体"/>
          <w:color w:val="auto"/>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A1BB0FB">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条款号：36.4                修改类型：修改</w:t>
      </w:r>
    </w:p>
    <w:p w14:paraId="4776A536">
      <w:pPr>
        <w:widowControl w:val="0"/>
        <w:spacing w:line="360" w:lineRule="auto"/>
        <w:ind w:firstLine="482" w:firstLineChars="200"/>
        <w:textAlignment w:val="auto"/>
        <w:rPr>
          <w:rFonts w:ascii="宋体" w:hAnsi="宋体" w:cs="宋体"/>
          <w:bCs/>
          <w:color w:val="auto"/>
          <w:sz w:val="24"/>
          <w:szCs w:val="24"/>
        </w:rPr>
      </w:pPr>
      <w:r>
        <w:rPr>
          <w:rFonts w:hint="eastAsia" w:ascii="宋体" w:hAnsi="宋体" w:cs="宋体"/>
          <w:b/>
          <w:color w:val="auto"/>
          <w:sz w:val="24"/>
          <w:szCs w:val="24"/>
        </w:rPr>
        <w:t>原文：</w:t>
      </w:r>
      <w:r>
        <w:rPr>
          <w:rFonts w:hint="eastAsia" w:ascii="宋体" w:hAnsi="宋体" w:cs="宋体"/>
          <w:bCs/>
          <w:color w:val="auto"/>
          <w:sz w:val="24"/>
          <w:szCs w:val="24"/>
        </w:rPr>
        <w:t>36.4若递交投标文件的投标人不足3家，则重新组织招标。（当N个标段同时招标且不允许兼中时，若有效投标人不足N+2家，则重新组织招标）。</w:t>
      </w:r>
    </w:p>
    <w:p w14:paraId="6C6C3168">
      <w:pPr>
        <w:widowControl w:val="0"/>
        <w:pBdr>
          <w:bottom w:val="single" w:color="auto" w:sz="6" w:space="1"/>
        </w:pBdr>
        <w:spacing w:line="360" w:lineRule="auto"/>
        <w:ind w:firstLine="540" w:firstLineChars="224"/>
        <w:textAlignment w:val="auto"/>
        <w:rPr>
          <w:rFonts w:ascii="宋体" w:hAnsi="宋体" w:cs="宋体"/>
          <w:bCs/>
          <w:color w:val="auto"/>
          <w:sz w:val="24"/>
          <w:szCs w:val="24"/>
        </w:rPr>
      </w:pPr>
      <w:r>
        <w:rPr>
          <w:rFonts w:hint="eastAsia" w:ascii="宋体" w:hAnsi="宋体" w:cs="宋体"/>
          <w:b/>
          <w:color w:val="auto"/>
          <w:sz w:val="24"/>
          <w:szCs w:val="24"/>
        </w:rPr>
        <w:t>现文：</w:t>
      </w:r>
      <w:r>
        <w:rPr>
          <w:rFonts w:hint="eastAsia" w:ascii="宋体" w:hAnsi="宋体" w:cs="宋体"/>
          <w:bCs/>
          <w:color w:val="auto"/>
          <w:sz w:val="24"/>
          <w:szCs w:val="24"/>
        </w:rPr>
        <w:t>36.4若递交投标文件的投标人不足3家，则重新组织招标。</w:t>
      </w:r>
    </w:p>
    <w:p w14:paraId="1026DF22">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条款号：</w:t>
      </w:r>
      <w:r>
        <w:rPr>
          <w:rFonts w:hint="eastAsia" w:ascii="宋体" w:hAnsi="宋体" w:cs="宋体"/>
          <w:bCs/>
          <w:color w:val="auto"/>
          <w:sz w:val="24"/>
          <w:szCs w:val="24"/>
        </w:rPr>
        <w:t xml:space="preserve">36.5.1              </w:t>
      </w:r>
      <w:r>
        <w:rPr>
          <w:rFonts w:hint="eastAsia" w:ascii="宋体" w:hAnsi="宋体" w:cs="宋体"/>
          <w:b/>
          <w:color w:val="auto"/>
          <w:sz w:val="24"/>
          <w:szCs w:val="24"/>
        </w:rPr>
        <w:t>修改类型：修改</w:t>
      </w:r>
    </w:p>
    <w:p w14:paraId="77E5EF53">
      <w:pPr>
        <w:widowControl w:val="0"/>
        <w:spacing w:line="360" w:lineRule="auto"/>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原文：</w:t>
      </w:r>
      <w:r>
        <w:rPr>
          <w:rFonts w:hint="eastAsia" w:ascii="宋体" w:hAnsi="宋体" w:cs="宋体"/>
          <w:color w:val="auto"/>
          <w:sz w:val="24"/>
          <w:szCs w:val="24"/>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5834FCF9">
      <w:pPr>
        <w:widowControl w:val="0"/>
        <w:pBdr>
          <w:bottom w:val="single" w:color="auto" w:sz="6" w:space="1"/>
        </w:pBdr>
        <w:spacing w:line="360" w:lineRule="auto"/>
        <w:ind w:firstLine="602" w:firstLineChars="250"/>
        <w:textAlignment w:val="auto"/>
        <w:rPr>
          <w:rFonts w:ascii="宋体" w:hAnsi="宋体" w:cs="宋体"/>
          <w:b/>
          <w:color w:val="auto"/>
          <w:sz w:val="24"/>
          <w:szCs w:val="24"/>
        </w:rPr>
      </w:pPr>
      <w:r>
        <w:rPr>
          <w:rFonts w:hint="eastAsia" w:ascii="宋体" w:hAnsi="宋体" w:cs="宋体"/>
          <w:b/>
          <w:color w:val="auto"/>
          <w:sz w:val="24"/>
          <w:szCs w:val="24"/>
        </w:rPr>
        <w:t>现文：</w:t>
      </w:r>
      <w:r>
        <w:rPr>
          <w:rFonts w:hint="eastAsia" w:ascii="宋体" w:hAnsi="宋体" w:cs="宋体"/>
          <w:color w:val="auto"/>
          <w:sz w:val="24"/>
          <w:szCs w:val="24"/>
        </w:rPr>
        <w:t>36.5.1在投标截止时间后一个小时内，投标人通过交易平台对已递交的电子投标文件进行解密。投标人完成解密后，再由招标人进行解密。解密完成后，公布招标项目名称、投标人名称、投标报价、工期及其他内容；</w:t>
      </w:r>
    </w:p>
    <w:p w14:paraId="36AEE641">
      <w:pPr>
        <w:spacing w:line="360" w:lineRule="auto"/>
        <w:ind w:firstLine="482" w:firstLineChars="200"/>
        <w:rPr>
          <w:rFonts w:ascii="宋体" w:hAnsi="宋体" w:cs="宋体"/>
          <w:b/>
          <w:bCs/>
          <w:color w:val="auto"/>
          <w:sz w:val="24"/>
          <w:szCs w:val="24"/>
          <w:shd w:val="clear" w:color="auto" w:fill="FFFFFF"/>
        </w:rPr>
      </w:pPr>
      <w:r>
        <w:rPr>
          <w:rFonts w:hint="eastAsia" w:ascii="宋体" w:hAnsi="宋体" w:cs="宋体"/>
          <w:b/>
          <w:bCs/>
          <w:color w:val="auto"/>
          <w:sz w:val="24"/>
          <w:szCs w:val="24"/>
          <w:shd w:val="clear" w:color="auto" w:fill="FFFFFF"/>
        </w:rPr>
        <w:t>条款号：39.3                   修改类型：修改</w:t>
      </w:r>
    </w:p>
    <w:p w14:paraId="40AE7F64">
      <w:pPr>
        <w:spacing w:line="360" w:lineRule="auto"/>
        <w:ind w:firstLine="472" w:firstLineChars="196"/>
        <w:jc w:val="left"/>
        <w:textAlignment w:val="auto"/>
        <w:rPr>
          <w:rFonts w:ascii="宋体" w:hAnsi="宋体" w:cs="宋体"/>
          <w:color w:val="auto"/>
          <w:sz w:val="24"/>
          <w:szCs w:val="24"/>
          <w:shd w:val="clear" w:color="auto" w:fill="FFFFFF"/>
        </w:rPr>
      </w:pPr>
      <w:r>
        <w:rPr>
          <w:rFonts w:hint="eastAsia" w:ascii="宋体" w:hAnsi="宋体" w:cs="宋体"/>
          <w:b/>
          <w:color w:val="auto"/>
          <w:kern w:val="0"/>
          <w:sz w:val="24"/>
          <w:szCs w:val="24"/>
          <w:shd w:val="clear" w:color="auto" w:fill="FFFFFF"/>
        </w:rPr>
        <w:t>原文：</w:t>
      </w:r>
      <w:r>
        <w:rPr>
          <w:rFonts w:hint="eastAsia" w:ascii="宋体" w:hAnsi="宋体" w:cs="宋体"/>
          <w:color w:val="auto"/>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2763898E">
      <w:pPr>
        <w:widowControl w:val="0"/>
        <w:pBdr>
          <w:bottom w:val="single" w:color="auto" w:sz="6" w:space="1"/>
        </w:pBdr>
        <w:spacing w:line="360" w:lineRule="auto"/>
        <w:ind w:firstLine="482" w:firstLineChars="200"/>
        <w:textAlignment w:val="auto"/>
        <w:rPr>
          <w:rFonts w:ascii="宋体" w:hAnsi="宋体" w:cs="宋体"/>
          <w:b/>
          <w:color w:val="auto"/>
          <w:sz w:val="24"/>
          <w:szCs w:val="24"/>
        </w:rPr>
      </w:pPr>
      <w:r>
        <w:rPr>
          <w:rFonts w:hint="eastAsia" w:ascii="宋体" w:hAnsi="宋体" w:cs="宋体"/>
          <w:b/>
          <w:color w:val="auto"/>
          <w:sz w:val="24"/>
          <w:szCs w:val="24"/>
          <w:shd w:val="clear" w:color="auto" w:fill="FFFFFF"/>
        </w:rPr>
        <w:t>现文：</w:t>
      </w:r>
      <w:r>
        <w:rPr>
          <w:rFonts w:hint="eastAsia" w:ascii="宋体" w:hAnsi="宋体" w:cs="宋体"/>
          <w:color w:val="auto"/>
          <w:sz w:val="24"/>
          <w:szCs w:val="24"/>
        </w:rPr>
        <w:t>排名第一的中标候选人放弃中标、或因不可抗力提出不能履行合同，或者招标文件规定应当提交履约担保而在规定的期限内未能提交的，</w:t>
      </w:r>
      <w:r>
        <w:rPr>
          <w:rFonts w:hint="eastAsia" w:ascii="宋体" w:hAnsi="宋体" w:cs="宋体"/>
          <w:color w:val="auto"/>
          <w:sz w:val="24"/>
          <w:szCs w:val="24"/>
          <w:u w:val="single"/>
          <w:shd w:val="clear" w:color="auto" w:fill="FFFFFF"/>
        </w:rPr>
        <w:t>或经核查发现委派的项目负责人已在其他在建项目中担任施工单位项目负责人的，</w:t>
      </w:r>
      <w:r>
        <w:rPr>
          <w:rFonts w:hint="eastAsia" w:ascii="宋体" w:hAnsi="宋体" w:cs="宋体"/>
          <w:color w:val="auto"/>
          <w:sz w:val="24"/>
          <w:szCs w:val="24"/>
          <w:u w:val="single"/>
        </w:rPr>
        <w:t>招标人可以确定排名第二的中标候选人为中标人。</w:t>
      </w:r>
    </w:p>
    <w:p w14:paraId="3FE97D57">
      <w:pPr>
        <w:spacing w:line="360" w:lineRule="auto"/>
        <w:ind w:firstLine="482" w:firstLineChars="200"/>
        <w:rPr>
          <w:rFonts w:ascii="宋体" w:hAnsi="宋体" w:cs="宋体"/>
          <w:b/>
          <w:bCs/>
          <w:color w:val="auto"/>
          <w:sz w:val="24"/>
          <w:szCs w:val="24"/>
          <w:shd w:val="clear" w:color="auto" w:fill="FFFFFF"/>
        </w:rPr>
      </w:pPr>
      <w:r>
        <w:rPr>
          <w:rFonts w:hint="eastAsia" w:ascii="宋体" w:hAnsi="宋体" w:cs="宋体"/>
          <w:b/>
          <w:bCs/>
          <w:color w:val="auto"/>
          <w:sz w:val="24"/>
          <w:szCs w:val="24"/>
          <w:shd w:val="clear" w:color="auto" w:fill="FFFFFF"/>
        </w:rPr>
        <w:t>条款号：（二）开标评标办法程序和细则      修改类型：删除</w:t>
      </w:r>
    </w:p>
    <w:p w14:paraId="45EB7961">
      <w:pPr>
        <w:widowControl w:val="0"/>
        <w:pBdr>
          <w:bottom w:val="single" w:color="auto" w:sz="6" w:space="1"/>
        </w:pBdr>
        <w:spacing w:line="360" w:lineRule="auto"/>
        <w:ind w:firstLine="482" w:firstLineChars="200"/>
        <w:textAlignment w:val="auto"/>
        <w:rPr>
          <w:rFonts w:ascii="宋体" w:hAnsi="宋体" w:cs="宋体"/>
          <w:b/>
          <w:color w:val="auto"/>
          <w:sz w:val="24"/>
          <w:szCs w:val="24"/>
        </w:rPr>
      </w:pPr>
      <w:r>
        <w:rPr>
          <w:rFonts w:hint="eastAsia" w:ascii="宋体" w:hAnsi="宋体" w:cs="宋体"/>
          <w:b/>
          <w:bCs/>
          <w:color w:val="auto"/>
          <w:sz w:val="24"/>
          <w:szCs w:val="24"/>
          <w:shd w:val="clear" w:color="auto" w:fill="FFFFFF"/>
        </w:rPr>
        <w:t>原文：</w:t>
      </w:r>
      <w:r>
        <w:rPr>
          <w:rFonts w:hint="eastAsia" w:ascii="宋体" w:hAnsi="宋体" w:cs="宋体"/>
          <w:color w:val="auto"/>
          <w:sz w:val="24"/>
          <w:szCs w:val="24"/>
          <w:shd w:val="clear" w:color="auto" w:fill="FFFFFF"/>
        </w:rPr>
        <w:t>注：以下八种评标办法所述企业综合诚信评价分数即投标截止当日广州市住房和城乡建设局网站上公布的企业综合诚信评价60日诚信分。</w:t>
      </w:r>
    </w:p>
    <w:p w14:paraId="0072706E">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条款号： 评标办法        修改类型：删除</w:t>
      </w:r>
    </w:p>
    <w:p w14:paraId="6A7EBABB">
      <w:pPr>
        <w:widowControl w:val="0"/>
        <w:pBdr>
          <w:bottom w:val="single" w:color="auto" w:sz="6" w:space="1"/>
        </w:pBdr>
        <w:spacing w:line="360" w:lineRule="auto"/>
        <w:ind w:firstLine="602" w:firstLineChars="250"/>
        <w:textAlignment w:val="auto"/>
        <w:rPr>
          <w:rFonts w:ascii="宋体" w:hAnsi="宋体" w:cs="宋体"/>
          <w:color w:val="auto"/>
          <w:sz w:val="24"/>
          <w:szCs w:val="24"/>
        </w:rPr>
      </w:pPr>
      <w:r>
        <w:rPr>
          <w:rFonts w:hint="eastAsia" w:ascii="宋体" w:hAnsi="宋体" w:cs="宋体"/>
          <w:b/>
          <w:color w:val="auto"/>
          <w:sz w:val="24"/>
          <w:szCs w:val="24"/>
        </w:rPr>
        <w:t>原文：</w:t>
      </w:r>
      <w:r>
        <w:rPr>
          <w:rFonts w:hint="eastAsia" w:ascii="宋体" w:hAnsi="宋体" w:cs="宋体"/>
          <w:color w:val="auto"/>
          <w:sz w:val="24"/>
          <w:szCs w:val="24"/>
          <w:u w:val="single"/>
        </w:rPr>
        <w:t>可选办法一（适合</w:t>
      </w:r>
      <w:r>
        <w:rPr>
          <w:rFonts w:hint="eastAsia" w:ascii="宋体" w:hAnsi="宋体" w:cs="宋体"/>
          <w:color w:val="auto"/>
          <w:kern w:val="0"/>
          <w:sz w:val="24"/>
          <w:szCs w:val="24"/>
          <w:u w:val="single"/>
        </w:rPr>
        <w:t>综合评分法一</w:t>
      </w:r>
      <w:r>
        <w:rPr>
          <w:rFonts w:hint="eastAsia" w:ascii="宋体" w:hAnsi="宋体" w:cs="宋体"/>
          <w:color w:val="auto"/>
          <w:sz w:val="24"/>
          <w:szCs w:val="24"/>
          <w:u w:val="single"/>
        </w:rPr>
        <w:t>，技术标与经济标先后分别开启）</w:t>
      </w:r>
    </w:p>
    <w:p w14:paraId="03AA8136">
      <w:pPr>
        <w:widowControl w:val="0"/>
        <w:pBdr>
          <w:bottom w:val="single" w:color="auto" w:sz="6" w:space="1"/>
        </w:pBdr>
        <w:spacing w:line="360" w:lineRule="auto"/>
        <w:ind w:firstLine="1320" w:firstLineChars="550"/>
        <w:textAlignment w:val="auto"/>
        <w:rPr>
          <w:rFonts w:ascii="宋体" w:hAnsi="宋体" w:cs="宋体"/>
          <w:color w:val="auto"/>
          <w:sz w:val="24"/>
          <w:szCs w:val="24"/>
        </w:rPr>
      </w:pPr>
      <w:r>
        <w:rPr>
          <w:rFonts w:hint="eastAsia" w:ascii="宋体" w:hAnsi="宋体" w:cs="宋体"/>
          <w:color w:val="auto"/>
          <w:sz w:val="24"/>
          <w:szCs w:val="24"/>
          <w:u w:val="single"/>
        </w:rPr>
        <w:t>可选办法二（适合综合评分法一，技术标与经济标同时开启）</w:t>
      </w:r>
    </w:p>
    <w:p w14:paraId="5C28B26C">
      <w:pPr>
        <w:widowControl w:val="0"/>
        <w:pBdr>
          <w:bottom w:val="single" w:color="auto" w:sz="6" w:space="1"/>
        </w:pBdr>
        <w:spacing w:line="360" w:lineRule="auto"/>
        <w:ind w:firstLine="1320" w:firstLineChars="550"/>
        <w:textAlignment w:val="auto"/>
        <w:rPr>
          <w:rFonts w:ascii="宋体" w:hAnsi="宋体" w:cs="宋体"/>
          <w:color w:val="auto"/>
          <w:sz w:val="24"/>
          <w:szCs w:val="24"/>
        </w:rPr>
      </w:pPr>
      <w:r>
        <w:rPr>
          <w:rFonts w:hint="eastAsia" w:ascii="宋体" w:hAnsi="宋体" w:cs="宋体"/>
          <w:color w:val="auto"/>
          <w:sz w:val="24"/>
          <w:szCs w:val="24"/>
          <w:u w:val="single"/>
        </w:rPr>
        <w:t>可选办法三（适合综合评分法二，技术标与经济标先后分别开启）</w:t>
      </w:r>
    </w:p>
    <w:p w14:paraId="295F3B49">
      <w:pPr>
        <w:widowControl w:val="0"/>
        <w:pBdr>
          <w:bottom w:val="single" w:color="auto" w:sz="6" w:space="1"/>
        </w:pBdr>
        <w:spacing w:line="360" w:lineRule="auto"/>
        <w:ind w:firstLine="1320" w:firstLineChars="550"/>
        <w:textAlignment w:val="auto"/>
        <w:rPr>
          <w:rFonts w:ascii="宋体" w:hAnsi="宋体" w:cs="宋体"/>
          <w:color w:val="auto"/>
          <w:sz w:val="24"/>
          <w:szCs w:val="24"/>
        </w:rPr>
      </w:pPr>
      <w:r>
        <w:rPr>
          <w:rFonts w:hint="eastAsia" w:ascii="宋体" w:hAnsi="宋体" w:cs="宋体"/>
          <w:color w:val="auto"/>
          <w:sz w:val="24"/>
          <w:szCs w:val="24"/>
          <w:u w:val="single"/>
        </w:rPr>
        <w:t>可选办法四（适合综合评分法二，技术标与经济标同时开启）</w:t>
      </w:r>
    </w:p>
    <w:p w14:paraId="18EE822D">
      <w:pPr>
        <w:widowControl w:val="0"/>
        <w:pBdr>
          <w:bottom w:val="single" w:color="auto" w:sz="6" w:space="1"/>
        </w:pBdr>
        <w:spacing w:line="360" w:lineRule="auto"/>
        <w:ind w:firstLine="1320" w:firstLineChars="550"/>
        <w:textAlignment w:val="auto"/>
        <w:rPr>
          <w:rFonts w:ascii="宋体" w:hAnsi="宋体" w:cs="宋体"/>
          <w:color w:val="auto"/>
          <w:sz w:val="24"/>
          <w:szCs w:val="24"/>
        </w:rPr>
      </w:pPr>
      <w:r>
        <w:rPr>
          <w:rFonts w:hint="eastAsia" w:ascii="宋体" w:hAnsi="宋体" w:cs="宋体"/>
          <w:color w:val="auto"/>
          <w:sz w:val="24"/>
          <w:szCs w:val="24"/>
          <w:u w:val="single"/>
        </w:rPr>
        <w:t>可选办法五（适合综合评分法三，技术标与经济标先后分别开启）</w:t>
      </w:r>
    </w:p>
    <w:p w14:paraId="300720A6">
      <w:pPr>
        <w:widowControl w:val="0"/>
        <w:pBdr>
          <w:bottom w:val="single" w:color="auto" w:sz="6" w:space="1"/>
        </w:pBdr>
        <w:spacing w:line="360" w:lineRule="auto"/>
        <w:ind w:firstLine="1320" w:firstLineChars="550"/>
        <w:textAlignment w:val="auto"/>
        <w:rPr>
          <w:rFonts w:ascii="宋体" w:hAnsi="宋体" w:cs="宋体"/>
          <w:color w:val="auto"/>
          <w:sz w:val="24"/>
          <w:szCs w:val="24"/>
        </w:rPr>
      </w:pPr>
      <w:r>
        <w:rPr>
          <w:rFonts w:hint="eastAsia" w:ascii="宋体" w:hAnsi="宋体" w:cs="宋体"/>
          <w:color w:val="auto"/>
          <w:sz w:val="24"/>
          <w:szCs w:val="24"/>
          <w:u w:val="single"/>
        </w:rPr>
        <w:t>可选办法六（适合综合评分法三，技术标与经济标同时开启）</w:t>
      </w:r>
    </w:p>
    <w:p w14:paraId="57BCDF3E">
      <w:pPr>
        <w:widowControl w:val="0"/>
        <w:pBdr>
          <w:bottom w:val="single" w:color="auto" w:sz="6" w:space="1"/>
        </w:pBdr>
        <w:spacing w:line="360" w:lineRule="auto"/>
        <w:ind w:firstLine="1320" w:firstLineChars="550"/>
        <w:textAlignment w:val="auto"/>
        <w:rPr>
          <w:rFonts w:ascii="宋体" w:hAnsi="宋体" w:cs="宋体"/>
          <w:b/>
          <w:color w:val="auto"/>
          <w:sz w:val="24"/>
          <w:szCs w:val="24"/>
        </w:rPr>
      </w:pPr>
      <w:r>
        <w:rPr>
          <w:rFonts w:hint="eastAsia" w:ascii="宋体" w:hAnsi="宋体" w:cs="宋体"/>
          <w:color w:val="auto"/>
          <w:sz w:val="24"/>
          <w:szCs w:val="24"/>
          <w:u w:val="single"/>
        </w:rPr>
        <w:t>可选办法八（适合经评审的最低投标价法，技术标与经济标同时开启）</w:t>
      </w:r>
    </w:p>
    <w:p w14:paraId="6F073C26">
      <w:pPr>
        <w:widowControl w:val="0"/>
        <w:spacing w:line="360" w:lineRule="auto"/>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条款号： 41.1         修改类型：修改</w:t>
      </w:r>
    </w:p>
    <w:p w14:paraId="1183D64F">
      <w:pPr>
        <w:widowControl w:val="0"/>
        <w:pBdr>
          <w:bottom w:val="single" w:color="auto" w:sz="6" w:space="1"/>
        </w:pBdr>
        <w:spacing w:line="360" w:lineRule="auto"/>
        <w:ind w:firstLine="602" w:firstLineChars="250"/>
        <w:textAlignment w:val="auto"/>
        <w:rPr>
          <w:rFonts w:ascii="宋体" w:hAnsi="宋体" w:cs="宋体"/>
          <w:b/>
          <w:color w:val="auto"/>
          <w:sz w:val="24"/>
          <w:szCs w:val="24"/>
        </w:rPr>
      </w:pPr>
      <w:r>
        <w:rPr>
          <w:rFonts w:hint="eastAsia" w:ascii="宋体" w:hAnsi="宋体" w:cs="宋体"/>
          <w:b/>
          <w:color w:val="auto"/>
          <w:sz w:val="24"/>
          <w:szCs w:val="24"/>
        </w:rPr>
        <w:t>原文：</w:t>
      </w:r>
      <w:r>
        <w:rPr>
          <w:rFonts w:hint="eastAsia" w:ascii="宋体" w:hAnsi="宋体" w:cs="宋体"/>
          <w:color w:val="auto"/>
          <w:sz w:val="24"/>
          <w:szCs w:val="24"/>
        </w:rPr>
        <w:t>41.1 开标由招标人主持；</w:t>
      </w:r>
    </w:p>
    <w:p w14:paraId="24D3658B">
      <w:pPr>
        <w:widowControl w:val="0"/>
        <w:pBdr>
          <w:bottom w:val="single" w:color="auto" w:sz="6" w:space="1"/>
        </w:pBdr>
        <w:spacing w:line="360" w:lineRule="auto"/>
        <w:ind w:firstLine="602" w:firstLineChars="250"/>
        <w:textAlignment w:val="auto"/>
        <w:rPr>
          <w:rFonts w:ascii="宋体" w:hAnsi="宋体" w:cs="宋体"/>
          <w:b/>
          <w:color w:val="auto"/>
          <w:sz w:val="24"/>
          <w:szCs w:val="24"/>
        </w:rPr>
      </w:pPr>
      <w:r>
        <w:rPr>
          <w:rFonts w:hint="eastAsia" w:ascii="宋体" w:hAnsi="宋体" w:cs="宋体"/>
          <w:b/>
          <w:color w:val="auto"/>
          <w:sz w:val="24"/>
          <w:szCs w:val="24"/>
        </w:rPr>
        <w:t>现文：</w:t>
      </w:r>
      <w:r>
        <w:rPr>
          <w:rFonts w:hint="eastAsia" w:ascii="宋体" w:hAnsi="宋体" w:cs="宋体"/>
          <w:color w:val="auto"/>
          <w:sz w:val="24"/>
          <w:szCs w:val="24"/>
        </w:rPr>
        <w:t xml:space="preserve">41.1 </w:t>
      </w:r>
      <w:r>
        <w:rPr>
          <w:rFonts w:hint="eastAsia" w:ascii="宋体" w:hAnsi="宋体" w:cs="宋体"/>
          <w:color w:val="auto"/>
          <w:sz w:val="24"/>
          <w:szCs w:val="24"/>
          <w:u w:val="single"/>
        </w:rPr>
        <w:t>开标由招标人或招标代理主持；</w:t>
      </w:r>
    </w:p>
    <w:p w14:paraId="2BC4464B">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条款号：41.2.1             修改类型：修改</w:t>
      </w:r>
    </w:p>
    <w:p w14:paraId="1D012F79">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原文：</w:t>
      </w:r>
      <w:r>
        <w:rPr>
          <w:rFonts w:hint="eastAsia" w:ascii="宋体" w:hAnsi="宋体" w:cs="宋体"/>
          <w:b/>
          <w:bCs/>
          <w:color w:val="auto"/>
          <w:sz w:val="24"/>
          <w:szCs w:val="24"/>
        </w:rPr>
        <w:t>41.2.1</w:t>
      </w:r>
      <w:r>
        <w:rPr>
          <w:rFonts w:hint="eastAsia" w:ascii="宋体" w:hAnsi="宋体" w:cs="宋体"/>
          <w:bCs/>
          <w:color w:val="auto"/>
          <w:sz w:val="24"/>
          <w:szCs w:val="24"/>
        </w:rPr>
        <w:t xml:space="preserve">投标截止期前，各投标人递交投标文件（包括技术标投标文件、经济标投标文件）至交易平台。有关投标文件提交的事项详见第一章投标须知。 </w:t>
      </w:r>
    </w:p>
    <w:p w14:paraId="6A6B290F">
      <w:pPr>
        <w:widowControl w:val="0"/>
        <w:pBdr>
          <w:bottom w:val="single" w:color="auto" w:sz="6" w:space="1"/>
        </w:pBdr>
        <w:spacing w:line="360" w:lineRule="auto"/>
        <w:ind w:firstLine="602" w:firstLineChars="250"/>
        <w:textAlignment w:val="auto"/>
        <w:rPr>
          <w:rFonts w:ascii="宋体" w:hAnsi="宋体" w:cs="宋体"/>
          <w:color w:val="auto"/>
          <w:sz w:val="24"/>
          <w:szCs w:val="24"/>
        </w:rPr>
      </w:pPr>
      <w:r>
        <w:rPr>
          <w:rFonts w:hint="eastAsia" w:ascii="宋体" w:hAnsi="宋体" w:cs="宋体"/>
          <w:b/>
          <w:color w:val="auto"/>
          <w:sz w:val="24"/>
          <w:szCs w:val="24"/>
        </w:rPr>
        <w:t>现文：</w:t>
      </w:r>
      <w:r>
        <w:rPr>
          <w:rFonts w:hint="eastAsia" w:ascii="宋体" w:hAnsi="宋体" w:cs="宋体"/>
          <w:b/>
          <w:bCs/>
          <w:color w:val="auto"/>
          <w:sz w:val="24"/>
          <w:szCs w:val="24"/>
        </w:rPr>
        <w:t>41.2.1</w:t>
      </w:r>
      <w:r>
        <w:rPr>
          <w:rFonts w:hint="eastAsia" w:ascii="宋体" w:hAnsi="宋体" w:cs="宋体"/>
          <w:bCs/>
          <w:color w:val="auto"/>
          <w:sz w:val="24"/>
          <w:szCs w:val="24"/>
        </w:rPr>
        <w:t>投标截止期前，各投标人递交投标文件（包括技术标投标文件、经济标投标文件）至</w:t>
      </w:r>
      <w:r>
        <w:rPr>
          <w:rFonts w:hint="eastAsia" w:ascii="宋体" w:hAnsi="宋体" w:cs="宋体"/>
          <w:bCs/>
          <w:color w:val="auto"/>
          <w:sz w:val="24"/>
          <w:szCs w:val="24"/>
          <w:u w:val="single"/>
        </w:rPr>
        <w:t>广州公共资源交易中心</w:t>
      </w:r>
      <w:r>
        <w:rPr>
          <w:rFonts w:hint="eastAsia" w:ascii="宋体" w:hAnsi="宋体" w:cs="宋体"/>
          <w:bCs/>
          <w:color w:val="auto"/>
          <w:sz w:val="24"/>
          <w:szCs w:val="24"/>
        </w:rPr>
        <w:t>交易平台。有关投标文件提交的事项详见第一章投标须知。</w:t>
      </w:r>
    </w:p>
    <w:p w14:paraId="744B183F">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条款号：41.2.3             修改类型：修改</w:t>
      </w:r>
    </w:p>
    <w:p w14:paraId="6641FFB7">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原文：</w:t>
      </w:r>
      <w:r>
        <w:rPr>
          <w:rFonts w:hint="eastAsia" w:ascii="宋体" w:hAnsi="宋体" w:cs="宋体"/>
          <w:color w:val="auto"/>
          <w:sz w:val="24"/>
          <w:szCs w:val="24"/>
        </w:rPr>
        <w:t>41.2.3开标时，投标人代表有权出席开标会，也可以自主决定不参加开标会，若投标人代表对开标过程提出异议，该投标人代表须同时出示本人身份证原件。</w:t>
      </w:r>
    </w:p>
    <w:p w14:paraId="17D1BF4D">
      <w:pPr>
        <w:widowControl w:val="0"/>
        <w:pBdr>
          <w:bottom w:val="single" w:color="auto" w:sz="6" w:space="1"/>
        </w:pBdr>
        <w:spacing w:line="360" w:lineRule="auto"/>
        <w:ind w:firstLine="602" w:firstLineChars="250"/>
        <w:textAlignment w:val="auto"/>
        <w:rPr>
          <w:rFonts w:ascii="宋体" w:hAnsi="宋体" w:cs="宋体"/>
          <w:color w:val="auto"/>
          <w:sz w:val="24"/>
          <w:szCs w:val="24"/>
        </w:rPr>
      </w:pPr>
      <w:r>
        <w:rPr>
          <w:rFonts w:hint="eastAsia" w:ascii="宋体" w:hAnsi="宋体" w:cs="宋体"/>
          <w:b/>
          <w:color w:val="auto"/>
          <w:sz w:val="24"/>
          <w:szCs w:val="24"/>
        </w:rPr>
        <w:t>现文：</w:t>
      </w:r>
      <w:r>
        <w:rPr>
          <w:rFonts w:hint="eastAsia" w:ascii="宋体" w:hAnsi="宋体" w:cs="宋体"/>
          <w:color w:val="auto"/>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953A24E">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条款号：42.2                    修改类型：修改</w:t>
      </w:r>
    </w:p>
    <w:p w14:paraId="2FCAB934">
      <w:pPr>
        <w:widowControl w:val="0"/>
        <w:tabs>
          <w:tab w:val="left" w:pos="7380"/>
        </w:tabs>
        <w:snapToGrid w:val="0"/>
        <w:spacing w:line="360" w:lineRule="auto"/>
        <w:ind w:firstLine="482" w:firstLineChars="200"/>
        <w:rPr>
          <w:rFonts w:ascii="宋体" w:hAnsi="宋体" w:cs="宋体"/>
          <w:color w:val="auto"/>
          <w:kern w:val="0"/>
          <w:sz w:val="24"/>
          <w:szCs w:val="24"/>
        </w:rPr>
      </w:pPr>
      <w:r>
        <w:rPr>
          <w:rFonts w:hint="eastAsia" w:ascii="宋体" w:hAnsi="宋体" w:cs="宋体"/>
          <w:b/>
          <w:color w:val="auto"/>
          <w:kern w:val="0"/>
          <w:sz w:val="24"/>
          <w:szCs w:val="24"/>
        </w:rPr>
        <w:t>原文：</w:t>
      </w:r>
      <w:r>
        <w:rPr>
          <w:rFonts w:hint="eastAsia" w:ascii="宋体" w:hAnsi="宋体" w:cs="宋体"/>
          <w:color w:val="auto"/>
          <w:kern w:val="0"/>
          <w:sz w:val="24"/>
          <w:szCs w:val="24"/>
        </w:rPr>
        <w:t>42.2评标委员会的组成：方式。</w:t>
      </w:r>
    </w:p>
    <w:p w14:paraId="64D45365">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方式一：评标委员会为综合评标委员会，负责资格审查及评标工作。</w:t>
      </w:r>
    </w:p>
    <w:p w14:paraId="66BD3B9D">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方式二：评标委员会由技术评审组和经济评审组组成。其中：资格审查及技术评审由技术评标组负责，经济评审由经济评审组负责。</w:t>
      </w:r>
    </w:p>
    <w:p w14:paraId="7DB4B60F">
      <w:pPr>
        <w:widowControl w:val="0"/>
        <w:pBdr>
          <w:bottom w:val="single" w:color="auto" w:sz="6" w:space="1"/>
        </w:pBdr>
        <w:spacing w:line="360" w:lineRule="auto"/>
        <w:ind w:firstLine="602" w:firstLineChars="250"/>
        <w:textAlignment w:val="auto"/>
        <w:rPr>
          <w:rFonts w:ascii="宋体" w:hAnsi="宋体" w:cs="宋体"/>
          <w:color w:val="auto"/>
          <w:sz w:val="24"/>
          <w:szCs w:val="24"/>
        </w:rPr>
      </w:pPr>
      <w:r>
        <w:rPr>
          <w:rFonts w:hint="eastAsia" w:ascii="宋体" w:hAnsi="宋体" w:cs="宋体"/>
          <w:b/>
          <w:color w:val="auto"/>
          <w:sz w:val="24"/>
          <w:szCs w:val="24"/>
        </w:rPr>
        <w:t>现文：</w:t>
      </w:r>
      <w:r>
        <w:rPr>
          <w:rFonts w:hint="eastAsia" w:ascii="宋体" w:hAnsi="宋体" w:cs="宋体"/>
          <w:color w:val="auto"/>
          <w:sz w:val="24"/>
          <w:szCs w:val="24"/>
        </w:rPr>
        <w:t>42.2评标委员会的组成：方式</w:t>
      </w:r>
      <w:r>
        <w:rPr>
          <w:rFonts w:hint="eastAsia" w:ascii="宋体" w:hAnsi="宋体" w:cs="宋体"/>
          <w:color w:val="auto"/>
          <w:sz w:val="24"/>
          <w:szCs w:val="24"/>
          <w:u w:val="single"/>
        </w:rPr>
        <w:t xml:space="preserve"> 一 </w:t>
      </w:r>
      <w:r>
        <w:rPr>
          <w:rFonts w:hint="eastAsia" w:ascii="宋体" w:hAnsi="宋体" w:cs="宋体"/>
          <w:color w:val="auto"/>
          <w:sz w:val="24"/>
          <w:szCs w:val="24"/>
        </w:rPr>
        <w:t>。</w:t>
      </w:r>
    </w:p>
    <w:p w14:paraId="6AF16D62">
      <w:pPr>
        <w:widowControl w:val="0"/>
        <w:pBdr>
          <w:bottom w:val="single" w:color="auto" w:sz="6" w:space="1"/>
        </w:pBdr>
        <w:spacing w:line="360" w:lineRule="auto"/>
        <w:ind w:firstLine="600" w:firstLineChars="250"/>
        <w:textAlignment w:val="auto"/>
        <w:rPr>
          <w:rFonts w:ascii="宋体" w:hAnsi="宋体" w:cs="宋体"/>
          <w:color w:val="auto"/>
          <w:sz w:val="24"/>
          <w:szCs w:val="24"/>
        </w:rPr>
      </w:pPr>
      <w:r>
        <w:rPr>
          <w:rFonts w:hint="eastAsia" w:ascii="宋体" w:hAnsi="宋体" w:cs="宋体"/>
          <w:color w:val="auto"/>
          <w:sz w:val="24"/>
          <w:szCs w:val="24"/>
        </w:rPr>
        <w:t>方式一：评标委员会为综合评标委员会，负责资格审查及评标工作。</w:t>
      </w:r>
    </w:p>
    <w:p w14:paraId="1ECB032D">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条款号：43.1                    修改类型：修改</w:t>
      </w:r>
    </w:p>
    <w:p w14:paraId="3223C89D">
      <w:pPr>
        <w:widowControl w:val="0"/>
        <w:pBdr>
          <w:bottom w:val="single" w:color="auto" w:sz="6" w:space="1"/>
        </w:pBdr>
        <w:spacing w:line="360" w:lineRule="auto"/>
        <w:ind w:firstLine="602" w:firstLineChars="250"/>
        <w:textAlignment w:val="auto"/>
        <w:rPr>
          <w:rFonts w:ascii="宋体" w:hAnsi="宋体" w:cs="宋体"/>
          <w:color w:val="auto"/>
          <w:sz w:val="24"/>
          <w:szCs w:val="24"/>
        </w:rPr>
      </w:pPr>
      <w:r>
        <w:rPr>
          <w:rFonts w:hint="eastAsia" w:ascii="宋体" w:hAnsi="宋体" w:cs="宋体"/>
          <w:b/>
          <w:color w:val="auto"/>
          <w:sz w:val="24"/>
          <w:szCs w:val="24"/>
        </w:rPr>
        <w:t>原文：</w:t>
      </w:r>
      <w:r>
        <w:rPr>
          <w:rFonts w:hint="eastAsia" w:ascii="宋体" w:hAnsi="宋体" w:cs="宋体"/>
          <w:color w:val="auto"/>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21E8DA72">
      <w:pPr>
        <w:widowControl w:val="0"/>
        <w:pBdr>
          <w:bottom w:val="single" w:color="auto" w:sz="6" w:space="1"/>
        </w:pBdr>
        <w:spacing w:line="360" w:lineRule="auto"/>
        <w:ind w:firstLine="602" w:firstLineChars="250"/>
        <w:textAlignment w:val="auto"/>
        <w:rPr>
          <w:rFonts w:ascii="宋体" w:hAnsi="宋体" w:cs="宋体"/>
          <w:color w:val="auto"/>
          <w:sz w:val="24"/>
          <w:szCs w:val="24"/>
        </w:rPr>
      </w:pPr>
      <w:r>
        <w:rPr>
          <w:rFonts w:hint="eastAsia" w:ascii="宋体" w:hAnsi="宋体" w:cs="宋体"/>
          <w:b/>
          <w:color w:val="auto"/>
          <w:sz w:val="24"/>
          <w:szCs w:val="24"/>
        </w:rPr>
        <w:t>现文：</w:t>
      </w:r>
      <w:r>
        <w:rPr>
          <w:rFonts w:hint="eastAsia" w:ascii="宋体" w:hAnsi="宋体" w:cs="宋体"/>
          <w:color w:val="auto"/>
          <w:sz w:val="24"/>
          <w:szCs w:val="24"/>
        </w:rPr>
        <w:t>43.1</w:t>
      </w:r>
      <w:r>
        <w:rPr>
          <w:rFonts w:hint="eastAsia" w:ascii="宋体" w:hAnsi="宋体" w:cs="宋体"/>
          <w:bCs/>
          <w:color w:val="auto"/>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4149A102">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条款号：43.6                          修改类型：修改</w:t>
      </w:r>
    </w:p>
    <w:p w14:paraId="3DFE1B4A">
      <w:pPr>
        <w:widowControl w:val="0"/>
        <w:pBdr>
          <w:bottom w:val="single" w:color="auto" w:sz="6" w:space="1"/>
        </w:pBdr>
        <w:spacing w:line="360" w:lineRule="auto"/>
        <w:ind w:firstLine="540" w:firstLineChars="224"/>
        <w:textAlignment w:val="auto"/>
        <w:rPr>
          <w:rFonts w:ascii="宋体" w:hAnsi="宋体" w:cs="宋体"/>
          <w:bCs/>
          <w:color w:val="auto"/>
          <w:sz w:val="24"/>
          <w:szCs w:val="24"/>
        </w:rPr>
      </w:pPr>
      <w:r>
        <w:rPr>
          <w:rFonts w:hint="eastAsia" w:ascii="宋体" w:hAnsi="宋体" w:cs="宋体"/>
          <w:b/>
          <w:color w:val="auto"/>
          <w:sz w:val="24"/>
          <w:szCs w:val="24"/>
        </w:rPr>
        <w:t>原文：</w:t>
      </w:r>
      <w:r>
        <w:rPr>
          <w:rFonts w:hint="eastAsia" w:ascii="宋体" w:hAnsi="宋体" w:cs="宋体"/>
          <w:bCs/>
          <w:color w:val="auto"/>
          <w:sz w:val="24"/>
          <w:szCs w:val="24"/>
        </w:rPr>
        <w:t>43.6资格审查合格的投标人少于3名的（当N个标段同时招标且不允许兼中时，资格审查合格的投标人少于N+2名），则本项目招标失败。</w:t>
      </w:r>
    </w:p>
    <w:p w14:paraId="7DF4F720">
      <w:pPr>
        <w:widowControl w:val="0"/>
        <w:pBdr>
          <w:bottom w:val="single" w:color="auto" w:sz="6" w:space="1"/>
        </w:pBdr>
        <w:spacing w:line="360" w:lineRule="auto"/>
        <w:ind w:firstLine="540" w:firstLineChars="224"/>
        <w:textAlignment w:val="auto"/>
        <w:rPr>
          <w:rFonts w:ascii="宋体" w:hAnsi="宋体" w:cs="宋体"/>
          <w:color w:val="auto"/>
          <w:sz w:val="24"/>
          <w:szCs w:val="24"/>
        </w:rPr>
      </w:pPr>
      <w:r>
        <w:rPr>
          <w:rFonts w:hint="eastAsia" w:ascii="宋体" w:hAnsi="宋体" w:cs="宋体"/>
          <w:b/>
          <w:color w:val="auto"/>
          <w:sz w:val="24"/>
          <w:szCs w:val="24"/>
        </w:rPr>
        <w:t>现文：</w:t>
      </w:r>
      <w:r>
        <w:rPr>
          <w:rFonts w:hint="eastAsia" w:ascii="宋体" w:hAnsi="宋体" w:cs="宋体"/>
          <w:bCs/>
          <w:color w:val="auto"/>
          <w:sz w:val="24"/>
          <w:szCs w:val="24"/>
        </w:rPr>
        <w:t>43.6</w:t>
      </w:r>
      <w:r>
        <w:rPr>
          <w:rFonts w:hint="eastAsia" w:ascii="宋体" w:hAnsi="宋体" w:cs="宋体"/>
          <w:color w:val="auto"/>
          <w:sz w:val="24"/>
          <w:szCs w:val="24"/>
          <w:u w:val="single"/>
        </w:rPr>
        <w:t>资格审查合格的投标人少于3名的，则本项目招标失败</w:t>
      </w:r>
      <w:r>
        <w:rPr>
          <w:rFonts w:hint="eastAsia" w:ascii="宋体" w:hAnsi="宋体" w:cs="宋体"/>
          <w:color w:val="auto"/>
          <w:sz w:val="24"/>
          <w:szCs w:val="24"/>
        </w:rPr>
        <w:t>。</w:t>
      </w:r>
    </w:p>
    <w:p w14:paraId="74DCFEB3">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条款号：44.1                    修改类型：修改</w:t>
      </w:r>
    </w:p>
    <w:p w14:paraId="6E37AABB">
      <w:pPr>
        <w:widowControl w:val="0"/>
        <w:pBdr>
          <w:bottom w:val="single" w:color="auto" w:sz="6" w:space="1"/>
        </w:pBdr>
        <w:spacing w:line="360" w:lineRule="auto"/>
        <w:ind w:firstLine="540" w:firstLineChars="224"/>
        <w:textAlignment w:val="auto"/>
        <w:rPr>
          <w:rFonts w:ascii="宋体" w:hAnsi="宋体" w:cs="宋体"/>
          <w:bCs/>
          <w:color w:val="auto"/>
          <w:sz w:val="24"/>
          <w:szCs w:val="24"/>
        </w:rPr>
      </w:pPr>
      <w:r>
        <w:rPr>
          <w:rFonts w:hint="eastAsia" w:ascii="宋体" w:hAnsi="宋体" w:cs="宋体"/>
          <w:b/>
          <w:color w:val="auto"/>
          <w:sz w:val="24"/>
          <w:szCs w:val="24"/>
        </w:rPr>
        <w:t>原文：</w:t>
      </w:r>
      <w:r>
        <w:rPr>
          <w:rFonts w:hint="eastAsia" w:ascii="宋体" w:hAnsi="宋体" w:cs="宋体"/>
          <w:bCs/>
          <w:color w:val="auto"/>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32EA70A4">
      <w:pPr>
        <w:widowControl w:val="0"/>
        <w:pBdr>
          <w:bottom w:val="single" w:color="auto" w:sz="6" w:space="1"/>
        </w:pBdr>
        <w:spacing w:line="360" w:lineRule="auto"/>
        <w:ind w:firstLine="540" w:firstLineChars="224"/>
        <w:textAlignment w:val="auto"/>
        <w:rPr>
          <w:rFonts w:ascii="宋体" w:hAnsi="宋体" w:cs="宋体"/>
          <w:color w:val="auto"/>
          <w:sz w:val="24"/>
          <w:szCs w:val="24"/>
        </w:rPr>
      </w:pPr>
      <w:r>
        <w:rPr>
          <w:rFonts w:hint="eastAsia" w:ascii="宋体" w:hAnsi="宋体" w:cs="宋体"/>
          <w:b/>
          <w:color w:val="auto"/>
          <w:sz w:val="24"/>
          <w:szCs w:val="24"/>
        </w:rPr>
        <w:t>现文：</w:t>
      </w:r>
      <w:r>
        <w:rPr>
          <w:rFonts w:hint="eastAsia" w:ascii="宋体" w:hAnsi="宋体" w:cs="宋体"/>
          <w:bCs/>
          <w:color w:val="auto"/>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14:paraId="548A7722">
      <w:pPr>
        <w:widowControl w:val="0"/>
        <w:spacing w:line="360" w:lineRule="auto"/>
        <w:ind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rPr>
        <w:t>条款号：</w:t>
      </w:r>
      <w:r>
        <w:rPr>
          <w:rFonts w:hint="eastAsia" w:ascii="宋体" w:hAnsi="宋体" w:cs="宋体"/>
          <w:color w:val="auto"/>
          <w:sz w:val="24"/>
          <w:szCs w:val="24"/>
        </w:rPr>
        <w:t>45</w:t>
      </w:r>
      <w:r>
        <w:rPr>
          <w:rFonts w:hint="eastAsia" w:ascii="宋体" w:hAnsi="宋体" w:cs="宋体"/>
          <w:b/>
          <w:bCs/>
          <w:color w:val="auto"/>
          <w:sz w:val="24"/>
          <w:szCs w:val="24"/>
        </w:rPr>
        <w:t xml:space="preserve">                       修改类型：修改</w:t>
      </w:r>
    </w:p>
    <w:p w14:paraId="3600E9E4">
      <w:pPr>
        <w:widowControl w:val="0"/>
        <w:tabs>
          <w:tab w:val="left" w:pos="7380"/>
        </w:tabs>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原文：45．经济标评审和得分汇总</w:t>
      </w:r>
    </w:p>
    <w:p w14:paraId="0A712832">
      <w:pPr>
        <w:widowControl w:val="0"/>
        <w:tabs>
          <w:tab w:val="left" w:pos="7380"/>
        </w:tabs>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45.1若通过技术标有效性审查的投标人中所有投标报价均大于等于最高投标限价，则本项目招标失败，由招标人依法重新招标。</w:t>
      </w:r>
    </w:p>
    <w:p w14:paraId="634DD965">
      <w:pPr>
        <w:widowControl w:val="0"/>
        <w:tabs>
          <w:tab w:val="left" w:pos="7380"/>
        </w:tabs>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 45.2按以下方法计算评标参考价：</w:t>
      </w:r>
    </w:p>
    <w:p w14:paraId="320167E7">
      <w:pPr>
        <w:spacing w:line="360" w:lineRule="auto"/>
        <w:ind w:firstLine="482" w:firstLineChars="200"/>
        <w:jc w:val="left"/>
        <w:textAlignment w:val="auto"/>
        <w:rPr>
          <w:rFonts w:ascii="宋体" w:hAnsi="宋体" w:cs="宋体"/>
          <w:b/>
          <w:bCs/>
          <w:color w:val="auto"/>
          <w:kern w:val="0"/>
          <w:sz w:val="24"/>
          <w:szCs w:val="24"/>
        </w:rPr>
      </w:pPr>
      <w:bookmarkStart w:id="27" w:name="OLE_LINK1"/>
      <w:r>
        <w:rPr>
          <w:rFonts w:hint="eastAsia" w:ascii="宋体" w:hAnsi="宋体" w:cs="宋体"/>
          <w:b/>
          <w:bCs/>
          <w:color w:val="auto"/>
          <w:kern w:val="0"/>
          <w:sz w:val="24"/>
          <w:szCs w:val="24"/>
        </w:rPr>
        <w:t>区间抽取法</w:t>
      </w:r>
      <w:bookmarkEnd w:id="27"/>
    </w:p>
    <w:p w14:paraId="5664C270">
      <w:pPr>
        <w:snapToGrid w:val="0"/>
        <w:spacing w:line="360" w:lineRule="auto"/>
        <w:ind w:firstLine="480" w:firstLineChars="200"/>
        <w:jc w:val="left"/>
        <w:textAlignment w:val="auto"/>
        <w:rPr>
          <w:rFonts w:ascii="宋体" w:hAnsi="宋体" w:cs="宋体"/>
          <w:color w:val="auto"/>
          <w:kern w:val="0"/>
          <w:sz w:val="24"/>
          <w:szCs w:val="24"/>
        </w:rPr>
      </w:pPr>
      <w:r>
        <w:rPr>
          <w:rFonts w:hint="eastAsia" w:ascii="宋体" w:hAnsi="宋体" w:cs="宋体"/>
          <w:color w:val="auto"/>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2AFC54E">
      <w:pPr>
        <w:snapToGrid w:val="0"/>
        <w:spacing w:line="360" w:lineRule="auto"/>
        <w:ind w:firstLine="480" w:firstLineChars="200"/>
        <w:jc w:val="left"/>
        <w:textAlignment w:val="auto"/>
        <w:rPr>
          <w:rFonts w:ascii="宋体" w:hAnsi="宋体" w:cs="宋体"/>
          <w:color w:val="auto"/>
          <w:kern w:val="0"/>
          <w:sz w:val="24"/>
          <w:szCs w:val="24"/>
          <w:vertAlign w:val="subscript"/>
        </w:rPr>
      </w:pPr>
      <w:r>
        <w:rPr>
          <w:rFonts w:hint="eastAsia" w:ascii="宋体" w:hAnsi="宋体" w:cs="宋体"/>
          <w:color w:val="auto"/>
          <w:kern w:val="0"/>
          <w:sz w:val="24"/>
          <w:szCs w:val="24"/>
        </w:rPr>
        <w:t>评标参考价=（Q</w:t>
      </w:r>
      <w:r>
        <w:rPr>
          <w:rFonts w:hint="eastAsia" w:ascii="宋体" w:hAnsi="宋体" w:cs="宋体"/>
          <w:color w:val="auto"/>
          <w:kern w:val="0"/>
          <w:sz w:val="24"/>
          <w:szCs w:val="24"/>
          <w:vertAlign w:val="subscript"/>
        </w:rPr>
        <w:t>高</w:t>
      </w:r>
      <w:r>
        <w:rPr>
          <w:rFonts w:hint="eastAsia" w:ascii="宋体" w:hAnsi="宋体" w:cs="宋体"/>
          <w:color w:val="auto"/>
          <w:kern w:val="0"/>
          <w:sz w:val="24"/>
          <w:szCs w:val="24"/>
        </w:rPr>
        <w:t>-Q</w:t>
      </w:r>
      <w:r>
        <w:rPr>
          <w:rFonts w:hint="eastAsia" w:ascii="宋体" w:hAnsi="宋体" w:cs="宋体"/>
          <w:color w:val="auto"/>
          <w:kern w:val="0"/>
          <w:sz w:val="24"/>
          <w:szCs w:val="24"/>
          <w:vertAlign w:val="subscript"/>
        </w:rPr>
        <w:t>低</w:t>
      </w:r>
      <w:r>
        <w:rPr>
          <w:rFonts w:hint="eastAsia" w:ascii="宋体" w:hAnsi="宋体" w:cs="宋体"/>
          <w:color w:val="auto"/>
          <w:kern w:val="0"/>
          <w:sz w:val="24"/>
          <w:szCs w:val="24"/>
        </w:rPr>
        <w:t>）/100*Ｘ+Q</w:t>
      </w:r>
      <w:r>
        <w:rPr>
          <w:rFonts w:hint="eastAsia" w:ascii="宋体" w:hAnsi="宋体" w:cs="宋体"/>
          <w:color w:val="auto"/>
          <w:kern w:val="0"/>
          <w:sz w:val="24"/>
          <w:szCs w:val="24"/>
          <w:vertAlign w:val="subscript"/>
        </w:rPr>
        <w:t>低</w:t>
      </w:r>
    </w:p>
    <w:p w14:paraId="5DF5365A">
      <w:pPr>
        <w:snapToGrid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Q</w:t>
      </w:r>
      <w:r>
        <w:rPr>
          <w:rFonts w:hint="eastAsia" w:ascii="宋体" w:hAnsi="宋体" w:cs="宋体"/>
          <w:color w:val="auto"/>
          <w:sz w:val="24"/>
          <w:szCs w:val="24"/>
          <w:vertAlign w:val="subscript"/>
        </w:rPr>
        <w:t>低</w:t>
      </w:r>
      <w:r>
        <w:rPr>
          <w:rFonts w:hint="eastAsia" w:ascii="宋体" w:hAnsi="宋体" w:cs="宋体"/>
          <w:color w:val="auto"/>
          <w:sz w:val="24"/>
          <w:szCs w:val="24"/>
        </w:rPr>
        <w:t>：为达到或超过技术标及格分数线的投标人最低报价与工程成本警示价两者中的较高值；</w:t>
      </w:r>
    </w:p>
    <w:p w14:paraId="3BC50BF7">
      <w:pPr>
        <w:widowControl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kern w:val="0"/>
          <w:sz w:val="24"/>
          <w:szCs w:val="24"/>
        </w:rPr>
        <w:t>Q</w:t>
      </w:r>
      <w:r>
        <w:rPr>
          <w:rFonts w:hint="eastAsia" w:ascii="宋体" w:hAnsi="宋体" w:cs="宋体"/>
          <w:color w:val="auto"/>
          <w:kern w:val="0"/>
          <w:sz w:val="24"/>
          <w:szCs w:val="24"/>
          <w:vertAlign w:val="subscript"/>
        </w:rPr>
        <w:t>高</w:t>
      </w:r>
      <w:r>
        <w:rPr>
          <w:rFonts w:hint="eastAsia" w:ascii="宋体" w:hAnsi="宋体" w:cs="宋体"/>
          <w:color w:val="auto"/>
          <w:sz w:val="24"/>
          <w:szCs w:val="24"/>
        </w:rPr>
        <w:t>：为最高投标限价</w:t>
      </w:r>
    </w:p>
    <w:p w14:paraId="57AD3024">
      <w:pPr>
        <w:widowControl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X:为等分点值，在开标前从[0,100]整数中随机抽取</w:t>
      </w:r>
    </w:p>
    <w:p w14:paraId="07E62F19">
      <w:pPr>
        <w:widowControl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45.3当标价等于评标参考价时得100分，标价每高于评标参考价1%，扣1.5分，每低于评标参考价1%，扣1分，扣至0分为止，得出经济分，精确到小数点后两位。</w:t>
      </w:r>
    </w:p>
    <w:p w14:paraId="27F87121">
      <w:pPr>
        <w:widowControl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3FAC402F">
      <w:pPr>
        <w:widowControl w:val="0"/>
        <w:tabs>
          <w:tab w:val="left" w:pos="7380"/>
        </w:tabs>
        <w:snapToGrid w:val="0"/>
        <w:spacing w:line="360" w:lineRule="auto"/>
        <w:ind w:firstLine="482" w:firstLineChars="200"/>
        <w:jc w:val="left"/>
        <w:rPr>
          <w:rFonts w:ascii="宋体" w:hAnsi="宋体" w:cs="宋体"/>
          <w:color w:val="auto"/>
          <w:kern w:val="0"/>
          <w:sz w:val="24"/>
          <w:szCs w:val="24"/>
        </w:rPr>
      </w:pPr>
      <w:r>
        <w:rPr>
          <w:rFonts w:hint="eastAsia" w:ascii="宋体" w:hAnsi="宋体" w:cs="宋体"/>
          <w:b/>
          <w:bCs/>
          <w:color w:val="auto"/>
          <w:kern w:val="0"/>
          <w:sz w:val="24"/>
          <w:szCs w:val="24"/>
        </w:rPr>
        <w:t>现文：</w:t>
      </w:r>
      <w:r>
        <w:rPr>
          <w:rFonts w:hint="eastAsia" w:ascii="宋体" w:hAnsi="宋体" w:cs="宋体"/>
          <w:color w:val="auto"/>
          <w:kern w:val="0"/>
          <w:sz w:val="24"/>
          <w:szCs w:val="24"/>
        </w:rPr>
        <w:t>45．经济标评审和得分汇总</w:t>
      </w:r>
    </w:p>
    <w:p w14:paraId="2438901C">
      <w:pPr>
        <w:widowControl w:val="0"/>
        <w:tabs>
          <w:tab w:val="left" w:pos="7380"/>
        </w:tabs>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4</w:t>
      </w:r>
      <w:r>
        <w:rPr>
          <w:rFonts w:hint="eastAsia" w:ascii="宋体" w:hAnsi="宋体" w:cs="宋体"/>
          <w:color w:val="auto"/>
          <w:sz w:val="24"/>
          <w:szCs w:val="24"/>
        </w:rPr>
        <w:t>5.1若通过技术标有效性审查的投标人中所有投标报价均大于最高投标限价，或技术标达到或超过入围分数线（</w:t>
      </w:r>
      <w:r>
        <w:rPr>
          <w:rFonts w:ascii="宋体" w:hAnsi="宋体" w:cs="宋体"/>
          <w:color w:val="auto"/>
          <w:sz w:val="24"/>
          <w:szCs w:val="24"/>
        </w:rPr>
        <w:t>75</w:t>
      </w:r>
      <w:r>
        <w:rPr>
          <w:rFonts w:hint="eastAsia" w:ascii="宋体" w:hAnsi="宋体" w:cs="宋体"/>
          <w:color w:val="auto"/>
          <w:sz w:val="24"/>
          <w:szCs w:val="24"/>
        </w:rPr>
        <w:t>分）的投标人少于3名的，则本项目招标失败，由招标人依法重新招标。</w:t>
      </w:r>
    </w:p>
    <w:p w14:paraId="34EE5BD9">
      <w:pPr>
        <w:widowControl w:val="0"/>
        <w:tabs>
          <w:tab w:val="left" w:pos="7380"/>
        </w:tabs>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45.2按以下方法计算评标参考价：</w:t>
      </w:r>
    </w:p>
    <w:p w14:paraId="56C2D51A">
      <w:pPr>
        <w:spacing w:line="360" w:lineRule="auto"/>
        <w:ind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rPr>
        <w:t>区间抽取法</w:t>
      </w:r>
    </w:p>
    <w:p w14:paraId="1A0363F3">
      <w:pPr>
        <w:snapToGrid w:val="0"/>
        <w:spacing w:line="360" w:lineRule="auto"/>
        <w:ind w:firstLine="480" w:firstLineChars="200"/>
        <w:jc w:val="left"/>
        <w:textAlignment w:val="auto"/>
        <w:rPr>
          <w:rFonts w:ascii="宋体" w:hAnsi="宋体" w:cs="宋体"/>
          <w:color w:val="auto"/>
          <w:kern w:val="0"/>
          <w:sz w:val="24"/>
          <w:szCs w:val="24"/>
        </w:rPr>
      </w:pPr>
      <w:r>
        <w:rPr>
          <w:rFonts w:hint="eastAsia" w:ascii="宋体" w:hAnsi="宋体" w:cs="宋体"/>
          <w:color w:val="auto"/>
          <w:sz w:val="24"/>
          <w:szCs w:val="24"/>
        </w:rPr>
        <w:t>将技术标达到或超过入围分数线（</w:t>
      </w:r>
      <w:r>
        <w:rPr>
          <w:rFonts w:ascii="宋体" w:hAnsi="宋体" w:cs="宋体"/>
          <w:color w:val="auto"/>
          <w:sz w:val="24"/>
          <w:szCs w:val="24"/>
        </w:rPr>
        <w:t>75</w:t>
      </w:r>
      <w:r>
        <w:rPr>
          <w:rFonts w:hint="eastAsia" w:ascii="宋体" w:hAnsi="宋体" w:cs="宋体"/>
          <w:color w:val="auto"/>
          <w:sz w:val="24"/>
          <w:szCs w:val="24"/>
        </w:rPr>
        <w:t>分）的投标报价由低至高进行排列，按以下公式计算评标参考价，计算公式如下：</w:t>
      </w:r>
    </w:p>
    <w:p w14:paraId="22251519">
      <w:pPr>
        <w:snapToGrid w:val="0"/>
        <w:spacing w:line="360" w:lineRule="auto"/>
        <w:ind w:firstLine="480" w:firstLineChars="200"/>
        <w:jc w:val="left"/>
        <w:textAlignment w:val="auto"/>
        <w:rPr>
          <w:rFonts w:ascii="宋体" w:hAnsi="宋体" w:cs="宋体"/>
          <w:color w:val="auto"/>
          <w:kern w:val="0"/>
          <w:sz w:val="24"/>
          <w:szCs w:val="24"/>
          <w:vertAlign w:val="subscript"/>
        </w:rPr>
      </w:pPr>
      <w:r>
        <w:rPr>
          <w:rFonts w:hint="eastAsia" w:ascii="宋体" w:hAnsi="宋体" w:cs="宋体"/>
          <w:color w:val="auto"/>
          <w:kern w:val="0"/>
          <w:sz w:val="24"/>
          <w:szCs w:val="24"/>
        </w:rPr>
        <w:t>评标参考价=（Q</w:t>
      </w:r>
      <w:r>
        <w:rPr>
          <w:rFonts w:hint="eastAsia" w:ascii="宋体" w:hAnsi="宋体" w:cs="宋体"/>
          <w:color w:val="auto"/>
          <w:kern w:val="0"/>
          <w:sz w:val="24"/>
          <w:szCs w:val="24"/>
          <w:vertAlign w:val="subscript"/>
        </w:rPr>
        <w:t>高</w:t>
      </w:r>
      <w:r>
        <w:rPr>
          <w:rFonts w:hint="eastAsia" w:ascii="宋体" w:hAnsi="宋体" w:cs="宋体"/>
          <w:color w:val="auto"/>
          <w:kern w:val="0"/>
          <w:sz w:val="24"/>
          <w:szCs w:val="24"/>
        </w:rPr>
        <w:t>-Q</w:t>
      </w:r>
      <w:r>
        <w:rPr>
          <w:rFonts w:hint="eastAsia" w:ascii="宋体" w:hAnsi="宋体" w:cs="宋体"/>
          <w:color w:val="auto"/>
          <w:kern w:val="0"/>
          <w:sz w:val="24"/>
          <w:szCs w:val="24"/>
          <w:vertAlign w:val="subscript"/>
        </w:rPr>
        <w:t>低</w:t>
      </w:r>
      <w:r>
        <w:rPr>
          <w:rFonts w:hint="eastAsia" w:ascii="宋体" w:hAnsi="宋体" w:cs="宋体"/>
          <w:color w:val="auto"/>
          <w:kern w:val="0"/>
          <w:sz w:val="24"/>
          <w:szCs w:val="24"/>
        </w:rPr>
        <w:t>）/100*Ｘ+Q</w:t>
      </w:r>
      <w:r>
        <w:rPr>
          <w:rFonts w:hint="eastAsia" w:ascii="宋体" w:hAnsi="宋体" w:cs="宋体"/>
          <w:color w:val="auto"/>
          <w:kern w:val="0"/>
          <w:sz w:val="24"/>
          <w:szCs w:val="24"/>
          <w:vertAlign w:val="subscript"/>
        </w:rPr>
        <w:t>低</w:t>
      </w:r>
    </w:p>
    <w:p w14:paraId="7BD9DB85">
      <w:pPr>
        <w:snapToGrid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Q</w:t>
      </w:r>
      <w:r>
        <w:rPr>
          <w:rFonts w:hint="eastAsia" w:ascii="宋体" w:hAnsi="宋体" w:cs="宋体"/>
          <w:color w:val="auto"/>
          <w:sz w:val="24"/>
          <w:szCs w:val="24"/>
          <w:vertAlign w:val="subscript"/>
        </w:rPr>
        <w:t>低</w:t>
      </w:r>
      <w:r>
        <w:rPr>
          <w:rFonts w:hint="eastAsia" w:ascii="宋体" w:hAnsi="宋体" w:cs="宋体"/>
          <w:color w:val="auto"/>
          <w:sz w:val="24"/>
          <w:szCs w:val="24"/>
        </w:rPr>
        <w:t>：为技术标达到或超过入围分数线（</w:t>
      </w:r>
      <w:r>
        <w:rPr>
          <w:rFonts w:ascii="宋体" w:hAnsi="宋体" w:cs="宋体"/>
          <w:color w:val="auto"/>
          <w:sz w:val="24"/>
          <w:szCs w:val="24"/>
        </w:rPr>
        <w:t>75</w:t>
      </w:r>
      <w:r>
        <w:rPr>
          <w:rFonts w:hint="eastAsia" w:ascii="宋体" w:hAnsi="宋体" w:cs="宋体"/>
          <w:color w:val="auto"/>
          <w:sz w:val="24"/>
          <w:szCs w:val="24"/>
        </w:rPr>
        <w:t>分）的投标人最低报价与工程成本警示价两者中的较高值；</w:t>
      </w:r>
    </w:p>
    <w:p w14:paraId="02E6BFA2">
      <w:pPr>
        <w:widowControl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kern w:val="0"/>
          <w:sz w:val="24"/>
          <w:szCs w:val="24"/>
        </w:rPr>
        <w:t>Q</w:t>
      </w:r>
      <w:r>
        <w:rPr>
          <w:rFonts w:hint="eastAsia" w:ascii="宋体" w:hAnsi="宋体" w:cs="宋体"/>
          <w:color w:val="auto"/>
          <w:kern w:val="0"/>
          <w:sz w:val="24"/>
          <w:szCs w:val="24"/>
          <w:vertAlign w:val="subscript"/>
        </w:rPr>
        <w:t>高</w:t>
      </w:r>
      <w:r>
        <w:rPr>
          <w:rFonts w:hint="eastAsia" w:ascii="宋体" w:hAnsi="宋体" w:cs="宋体"/>
          <w:color w:val="auto"/>
          <w:sz w:val="24"/>
          <w:szCs w:val="24"/>
        </w:rPr>
        <w:t>：为最高投标限价*9</w:t>
      </w:r>
      <w:r>
        <w:rPr>
          <w:rFonts w:ascii="宋体" w:hAnsi="宋体" w:cs="宋体"/>
          <w:color w:val="auto"/>
          <w:sz w:val="24"/>
          <w:szCs w:val="24"/>
        </w:rPr>
        <w:t>5</w:t>
      </w:r>
      <w:r>
        <w:rPr>
          <w:rFonts w:hint="eastAsia" w:ascii="宋体" w:hAnsi="宋体" w:cs="宋体"/>
          <w:color w:val="auto"/>
          <w:sz w:val="24"/>
          <w:szCs w:val="24"/>
        </w:rPr>
        <w:t>%</w:t>
      </w:r>
    </w:p>
    <w:p w14:paraId="1A387850">
      <w:pPr>
        <w:widowControl w:val="0"/>
        <w:pBdr>
          <w:bottom w:val="single" w:color="auto" w:sz="4" w:space="0"/>
        </w:pBd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X:为等分点值，在开标前从[0,100]整数中随机抽取</w:t>
      </w:r>
    </w:p>
    <w:p w14:paraId="0B960C63">
      <w:pPr>
        <w:widowControl w:val="0"/>
        <w:pBdr>
          <w:bottom w:val="single" w:color="auto" w:sz="4" w:space="0"/>
        </w:pBd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45.3当标价等于评标参考价时得100分，标价每高于评标参考价1%，扣 1.5  分，</w:t>
      </w:r>
      <w:r>
        <w:rPr>
          <w:rFonts w:hint="eastAsia" w:ascii="宋体" w:hAnsi="宋体" w:cs="宋体"/>
          <w:color w:val="auto"/>
          <w:kern w:val="0"/>
          <w:sz w:val="24"/>
          <w:szCs w:val="24"/>
        </w:rPr>
        <w:t xml:space="preserve">每低于评标参考价1%，扣  </w:t>
      </w:r>
      <w:r>
        <w:rPr>
          <w:rFonts w:ascii="宋体" w:hAnsi="宋体" w:cs="宋体"/>
          <w:color w:val="auto"/>
          <w:kern w:val="0"/>
          <w:sz w:val="24"/>
          <w:szCs w:val="24"/>
        </w:rPr>
        <w:t>0.75</w:t>
      </w:r>
      <w:r>
        <w:rPr>
          <w:rFonts w:hint="eastAsia" w:ascii="宋体" w:hAnsi="宋体" w:cs="宋体"/>
          <w:color w:val="auto"/>
          <w:kern w:val="0"/>
          <w:sz w:val="24"/>
          <w:szCs w:val="24"/>
        </w:rPr>
        <w:t xml:space="preserve"> 分，</w:t>
      </w:r>
      <w:r>
        <w:rPr>
          <w:rFonts w:hint="eastAsia" w:ascii="宋体" w:hAnsi="宋体" w:cs="宋体"/>
          <w:color w:val="auto"/>
          <w:kern w:val="0"/>
          <w:sz w:val="24"/>
          <w:szCs w:val="24"/>
        </w:rPr>
        <w:t xml:space="preserve">扣至0分为止，得出经济分，精确到小数点后两位。 </w:t>
      </w:r>
    </w:p>
    <w:p w14:paraId="2372C5C5">
      <w:pPr>
        <w:widowControl w:val="0"/>
        <w:pBdr>
          <w:bottom w:val="single" w:color="auto" w:sz="4" w:space="0"/>
        </w:pBd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45.4 计算通过技术标有效性审查的投标人总得分。投标人总得分(满分 100) =技术得分（100分）×技术得分权重（30%）＋经济得分×经济得分权重（70%）。总得分四舍五入保留两位小数。</w:t>
      </w:r>
    </w:p>
    <w:p w14:paraId="31D91197">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条款号：46.1                     修改类型：修改</w:t>
      </w:r>
    </w:p>
    <w:p w14:paraId="4945E390">
      <w:pPr>
        <w:spacing w:line="360" w:lineRule="auto"/>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原文：</w:t>
      </w:r>
      <w:r>
        <w:rPr>
          <w:rFonts w:hint="eastAsia" w:ascii="宋体" w:hAnsi="宋体" w:cs="宋体"/>
          <w:bCs/>
          <w:color w:val="auto"/>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78088C4F">
      <w:pPr>
        <w:widowControl w:val="0"/>
        <w:pBdr>
          <w:bottom w:val="single" w:color="auto" w:sz="6" w:space="1"/>
        </w:pBdr>
        <w:spacing w:line="360" w:lineRule="auto"/>
        <w:ind w:firstLine="482" w:firstLineChars="200"/>
        <w:textAlignment w:val="auto"/>
        <w:rPr>
          <w:rFonts w:ascii="宋体" w:hAnsi="宋体" w:cs="宋体"/>
          <w:color w:val="auto"/>
          <w:sz w:val="24"/>
          <w:szCs w:val="24"/>
        </w:rPr>
      </w:pPr>
      <w:r>
        <w:rPr>
          <w:rFonts w:hint="eastAsia" w:ascii="宋体" w:hAnsi="宋体" w:cs="宋体"/>
          <w:b/>
          <w:color w:val="auto"/>
          <w:sz w:val="24"/>
          <w:szCs w:val="24"/>
        </w:rPr>
        <w:t>现文：</w:t>
      </w:r>
      <w:r>
        <w:rPr>
          <w:rFonts w:hint="eastAsia" w:ascii="宋体" w:hAnsi="宋体" w:cs="宋体"/>
          <w:bCs/>
          <w:color w:val="auto"/>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9FA8887">
      <w:pPr>
        <w:widowControl w:val="0"/>
        <w:spacing w:line="360" w:lineRule="auto"/>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条款号：附表一《资格审查表》          修改类型：修改</w:t>
      </w:r>
    </w:p>
    <w:p w14:paraId="51B19F9C">
      <w:pPr>
        <w:widowControl w:val="0"/>
        <w:spacing w:line="360" w:lineRule="auto"/>
        <w:ind w:firstLine="482" w:firstLineChars="200"/>
        <w:textAlignment w:val="auto"/>
        <w:rPr>
          <w:rFonts w:ascii="宋体" w:hAnsi="宋体" w:cs="宋体"/>
          <w:bCs/>
          <w:color w:val="auto"/>
          <w:sz w:val="24"/>
          <w:szCs w:val="24"/>
        </w:rPr>
      </w:pPr>
      <w:r>
        <w:rPr>
          <w:rFonts w:hint="eastAsia" w:ascii="宋体" w:hAnsi="宋体" w:cs="宋体"/>
          <w:b/>
          <w:color w:val="auto"/>
          <w:sz w:val="24"/>
          <w:szCs w:val="24"/>
        </w:rPr>
        <w:t>原文：</w:t>
      </w:r>
      <w:r>
        <w:rPr>
          <w:rFonts w:hint="eastAsia" w:ascii="宋体" w:hAnsi="宋体" w:cs="宋体"/>
          <w:bCs/>
          <w:color w:val="auto"/>
          <w:sz w:val="24"/>
          <w:szCs w:val="24"/>
        </w:rPr>
        <w:t>详见《广州市建设工程施工公开招标项目招标文件范本GZZB2018-3》</w:t>
      </w:r>
    </w:p>
    <w:p w14:paraId="52C0D182">
      <w:pPr>
        <w:widowControl w:val="0"/>
        <w:pBdr>
          <w:bottom w:val="single" w:color="auto" w:sz="6" w:space="1"/>
        </w:pBdr>
        <w:spacing w:line="360" w:lineRule="auto"/>
        <w:ind w:firstLine="482" w:firstLineChars="200"/>
        <w:textAlignment w:val="auto"/>
        <w:rPr>
          <w:rFonts w:ascii="宋体" w:hAnsi="宋体" w:cs="宋体"/>
          <w:color w:val="auto"/>
          <w:sz w:val="24"/>
          <w:szCs w:val="24"/>
        </w:rPr>
      </w:pPr>
      <w:r>
        <w:rPr>
          <w:rFonts w:hint="eastAsia" w:ascii="宋体" w:hAnsi="宋体" w:cs="宋体"/>
          <w:b/>
          <w:color w:val="auto"/>
          <w:sz w:val="24"/>
          <w:szCs w:val="24"/>
        </w:rPr>
        <w:t>现文：</w:t>
      </w:r>
      <w:r>
        <w:rPr>
          <w:rFonts w:hint="eastAsia" w:ascii="宋体" w:hAnsi="宋体" w:cs="宋体"/>
          <w:bCs/>
          <w:color w:val="auto"/>
          <w:sz w:val="24"/>
          <w:szCs w:val="24"/>
        </w:rPr>
        <w:t>详见附表一《资格审查表》</w:t>
      </w:r>
    </w:p>
    <w:p w14:paraId="53B70C51">
      <w:pPr>
        <w:widowControl w:val="0"/>
        <w:spacing w:line="360" w:lineRule="auto"/>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条款号：附表二《技术标有效性审查表》          修改类型：修改</w:t>
      </w:r>
    </w:p>
    <w:p w14:paraId="38841FAA">
      <w:pPr>
        <w:widowControl w:val="0"/>
        <w:spacing w:line="360" w:lineRule="auto"/>
        <w:ind w:firstLine="482" w:firstLineChars="200"/>
        <w:textAlignment w:val="auto"/>
        <w:rPr>
          <w:rFonts w:ascii="宋体" w:hAnsi="宋体" w:cs="宋体"/>
          <w:bCs/>
          <w:color w:val="auto"/>
          <w:sz w:val="24"/>
          <w:szCs w:val="24"/>
        </w:rPr>
      </w:pPr>
      <w:r>
        <w:rPr>
          <w:rFonts w:hint="eastAsia" w:ascii="宋体" w:hAnsi="宋体" w:cs="宋体"/>
          <w:b/>
          <w:color w:val="auto"/>
          <w:sz w:val="24"/>
          <w:szCs w:val="24"/>
        </w:rPr>
        <w:t>原文：</w:t>
      </w:r>
      <w:r>
        <w:rPr>
          <w:rFonts w:hint="eastAsia" w:ascii="宋体" w:hAnsi="宋体" w:cs="宋体"/>
          <w:bCs/>
          <w:color w:val="auto"/>
          <w:sz w:val="24"/>
          <w:szCs w:val="24"/>
        </w:rPr>
        <w:t>详见《广州市建设工程施工公开招标项目招标文件范本GZZB2018-3》</w:t>
      </w:r>
    </w:p>
    <w:p w14:paraId="5D26D15C">
      <w:pPr>
        <w:widowControl w:val="0"/>
        <w:pBdr>
          <w:bottom w:val="single" w:color="auto" w:sz="6" w:space="1"/>
        </w:pBdr>
        <w:spacing w:line="360" w:lineRule="auto"/>
        <w:ind w:firstLine="482" w:firstLineChars="200"/>
        <w:textAlignment w:val="auto"/>
        <w:rPr>
          <w:rFonts w:ascii="宋体" w:hAnsi="宋体" w:cs="宋体"/>
          <w:color w:val="auto"/>
          <w:sz w:val="24"/>
          <w:szCs w:val="24"/>
        </w:rPr>
      </w:pPr>
      <w:r>
        <w:rPr>
          <w:rFonts w:hint="eastAsia" w:ascii="宋体" w:hAnsi="宋体" w:cs="宋体"/>
          <w:b/>
          <w:color w:val="auto"/>
          <w:sz w:val="24"/>
          <w:szCs w:val="24"/>
        </w:rPr>
        <w:t>现文：</w:t>
      </w:r>
      <w:r>
        <w:rPr>
          <w:rFonts w:hint="eastAsia" w:ascii="宋体" w:hAnsi="宋体" w:cs="宋体"/>
          <w:bCs/>
          <w:color w:val="auto"/>
          <w:sz w:val="24"/>
          <w:szCs w:val="24"/>
        </w:rPr>
        <w:t>详见附表二《技术标有效性审查表》</w:t>
      </w:r>
    </w:p>
    <w:p w14:paraId="1ECC995E">
      <w:pPr>
        <w:widowControl w:val="0"/>
        <w:spacing w:line="360" w:lineRule="auto"/>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条款号：附表三《经济标有效性审查表》          修改类型：修改</w:t>
      </w:r>
    </w:p>
    <w:p w14:paraId="34E72436">
      <w:pPr>
        <w:widowControl w:val="0"/>
        <w:spacing w:line="360" w:lineRule="auto"/>
        <w:ind w:firstLine="482" w:firstLineChars="200"/>
        <w:textAlignment w:val="auto"/>
        <w:rPr>
          <w:rFonts w:ascii="宋体" w:hAnsi="宋体" w:cs="宋体"/>
          <w:bCs/>
          <w:color w:val="auto"/>
          <w:sz w:val="24"/>
          <w:szCs w:val="24"/>
        </w:rPr>
      </w:pPr>
      <w:r>
        <w:rPr>
          <w:rFonts w:hint="eastAsia" w:ascii="宋体" w:hAnsi="宋体" w:cs="宋体"/>
          <w:b/>
          <w:color w:val="auto"/>
          <w:sz w:val="24"/>
          <w:szCs w:val="24"/>
        </w:rPr>
        <w:t>原文：</w:t>
      </w:r>
      <w:r>
        <w:rPr>
          <w:rFonts w:hint="eastAsia" w:ascii="宋体" w:hAnsi="宋体" w:cs="宋体"/>
          <w:bCs/>
          <w:color w:val="auto"/>
          <w:sz w:val="24"/>
          <w:szCs w:val="24"/>
        </w:rPr>
        <w:t>详见《广州市建设工程施工公开招标项目招标文件范本GZZB2018-3》</w:t>
      </w:r>
    </w:p>
    <w:p w14:paraId="3A10D154">
      <w:pPr>
        <w:widowControl w:val="0"/>
        <w:pBdr>
          <w:bottom w:val="single" w:color="auto" w:sz="6" w:space="1"/>
        </w:pBdr>
        <w:spacing w:line="360" w:lineRule="auto"/>
        <w:ind w:firstLine="482" w:firstLineChars="200"/>
        <w:textAlignment w:val="auto"/>
        <w:rPr>
          <w:rFonts w:ascii="宋体" w:hAnsi="宋体" w:cs="宋体"/>
          <w:color w:val="auto"/>
          <w:sz w:val="24"/>
          <w:szCs w:val="24"/>
        </w:rPr>
      </w:pPr>
      <w:r>
        <w:rPr>
          <w:rFonts w:hint="eastAsia" w:ascii="宋体" w:hAnsi="宋体" w:cs="宋体"/>
          <w:b/>
          <w:color w:val="auto"/>
          <w:sz w:val="24"/>
          <w:szCs w:val="24"/>
        </w:rPr>
        <w:t>现文：</w:t>
      </w:r>
      <w:r>
        <w:rPr>
          <w:rFonts w:hint="eastAsia" w:ascii="宋体" w:hAnsi="宋体" w:cs="宋体"/>
          <w:bCs/>
          <w:color w:val="auto"/>
          <w:sz w:val="24"/>
          <w:szCs w:val="24"/>
        </w:rPr>
        <w:t>详见附表三《经济标有效性审查表》</w:t>
      </w:r>
    </w:p>
    <w:p w14:paraId="0347D8AB">
      <w:pPr>
        <w:widowControl w:val="0"/>
        <w:spacing w:line="360" w:lineRule="auto"/>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条款号：附表四《技术标详细审查评分表》          修改类型：修改</w:t>
      </w:r>
    </w:p>
    <w:p w14:paraId="6DAC901B">
      <w:pPr>
        <w:widowControl w:val="0"/>
        <w:spacing w:line="360" w:lineRule="auto"/>
        <w:ind w:firstLine="482" w:firstLineChars="200"/>
        <w:textAlignment w:val="auto"/>
        <w:rPr>
          <w:rFonts w:ascii="宋体" w:hAnsi="宋体" w:cs="宋体"/>
          <w:bCs/>
          <w:color w:val="auto"/>
          <w:sz w:val="24"/>
          <w:szCs w:val="24"/>
        </w:rPr>
      </w:pPr>
      <w:r>
        <w:rPr>
          <w:rFonts w:hint="eastAsia" w:ascii="宋体" w:hAnsi="宋体" w:cs="宋体"/>
          <w:b/>
          <w:color w:val="auto"/>
          <w:sz w:val="24"/>
          <w:szCs w:val="24"/>
        </w:rPr>
        <w:t>原文：</w:t>
      </w:r>
      <w:r>
        <w:rPr>
          <w:rFonts w:hint="eastAsia" w:ascii="宋体" w:hAnsi="宋体" w:cs="宋体"/>
          <w:bCs/>
          <w:color w:val="auto"/>
          <w:sz w:val="24"/>
          <w:szCs w:val="24"/>
        </w:rPr>
        <w:t>详见《广州市建设工程施工公开招标项目招标文件范本GZZB2018-3》</w:t>
      </w:r>
    </w:p>
    <w:p w14:paraId="3C84BA81">
      <w:pPr>
        <w:widowControl w:val="0"/>
        <w:pBdr>
          <w:bottom w:val="single" w:color="auto" w:sz="6" w:space="1"/>
        </w:pBdr>
        <w:spacing w:line="360" w:lineRule="auto"/>
        <w:ind w:firstLine="602" w:firstLineChars="250"/>
        <w:textAlignment w:val="auto"/>
        <w:rPr>
          <w:rFonts w:ascii="宋体" w:hAnsi="宋体" w:cs="宋体"/>
          <w:color w:val="auto"/>
          <w:sz w:val="24"/>
          <w:szCs w:val="24"/>
        </w:rPr>
      </w:pPr>
      <w:r>
        <w:rPr>
          <w:rFonts w:hint="eastAsia" w:ascii="宋体" w:hAnsi="宋体" w:cs="宋体"/>
          <w:b/>
          <w:color w:val="auto"/>
          <w:sz w:val="24"/>
          <w:szCs w:val="24"/>
        </w:rPr>
        <w:t>现文：</w:t>
      </w:r>
      <w:r>
        <w:rPr>
          <w:rFonts w:hint="eastAsia" w:ascii="宋体" w:hAnsi="宋体" w:cs="宋体"/>
          <w:bCs/>
          <w:color w:val="auto"/>
          <w:sz w:val="24"/>
          <w:szCs w:val="24"/>
        </w:rPr>
        <w:t>详见附表四《技术标详细审查评分表》</w:t>
      </w:r>
    </w:p>
    <w:p w14:paraId="7402908B">
      <w:pPr>
        <w:widowControl w:val="0"/>
        <w:spacing w:line="360" w:lineRule="auto"/>
        <w:ind w:firstLine="540" w:firstLineChars="224"/>
        <w:textAlignment w:val="auto"/>
        <w:rPr>
          <w:rFonts w:ascii="宋体" w:hAnsi="宋体" w:cs="宋体"/>
          <w:b/>
          <w:color w:val="auto"/>
          <w:sz w:val="24"/>
          <w:szCs w:val="24"/>
        </w:rPr>
      </w:pPr>
      <w:r>
        <w:rPr>
          <w:rFonts w:hint="eastAsia" w:ascii="宋体" w:hAnsi="宋体" w:cs="宋体"/>
          <w:b/>
          <w:color w:val="auto"/>
          <w:sz w:val="24"/>
          <w:szCs w:val="24"/>
        </w:rPr>
        <w:t>条款号：附表五《经济标评分表》             修改类型：修改</w:t>
      </w:r>
    </w:p>
    <w:p w14:paraId="23C08D0C">
      <w:pPr>
        <w:widowControl w:val="0"/>
        <w:pBdr>
          <w:bottom w:val="single" w:color="auto" w:sz="6" w:space="1"/>
        </w:pBdr>
        <w:spacing w:line="360" w:lineRule="auto"/>
        <w:ind w:firstLine="540" w:firstLineChars="224"/>
        <w:textAlignment w:val="auto"/>
        <w:rPr>
          <w:rFonts w:ascii="宋体" w:hAnsi="宋体" w:cs="宋体"/>
          <w:bCs/>
          <w:color w:val="auto"/>
          <w:sz w:val="24"/>
          <w:szCs w:val="24"/>
        </w:rPr>
      </w:pPr>
      <w:r>
        <w:rPr>
          <w:rFonts w:hint="eastAsia" w:ascii="宋体" w:hAnsi="宋体" w:cs="宋体"/>
          <w:b/>
          <w:color w:val="auto"/>
          <w:sz w:val="24"/>
          <w:szCs w:val="24"/>
        </w:rPr>
        <w:t>原文：</w:t>
      </w:r>
      <w:r>
        <w:rPr>
          <w:rFonts w:hint="eastAsia" w:ascii="宋体" w:hAnsi="宋体" w:cs="宋体"/>
          <w:bCs/>
          <w:color w:val="auto"/>
          <w:sz w:val="24"/>
          <w:szCs w:val="24"/>
        </w:rPr>
        <w:t>详见《广州市建设工程施工公开招标项目招标文件范本GZZB2018-3》</w:t>
      </w:r>
    </w:p>
    <w:p w14:paraId="493D1A14">
      <w:pPr>
        <w:widowControl w:val="0"/>
        <w:pBdr>
          <w:bottom w:val="single" w:color="auto" w:sz="6" w:space="1"/>
        </w:pBdr>
        <w:spacing w:line="360" w:lineRule="auto"/>
        <w:ind w:firstLine="602" w:firstLineChars="250"/>
        <w:textAlignment w:val="auto"/>
        <w:rPr>
          <w:rFonts w:ascii="宋体" w:hAnsi="宋体" w:cs="宋体"/>
          <w:bCs/>
          <w:color w:val="auto"/>
          <w:sz w:val="24"/>
          <w:szCs w:val="24"/>
        </w:rPr>
      </w:pPr>
      <w:r>
        <w:rPr>
          <w:rFonts w:hint="eastAsia" w:ascii="宋体" w:hAnsi="宋体" w:cs="宋体"/>
          <w:b/>
          <w:color w:val="auto"/>
          <w:sz w:val="24"/>
          <w:szCs w:val="24"/>
        </w:rPr>
        <w:t>现文：</w:t>
      </w:r>
      <w:r>
        <w:rPr>
          <w:rFonts w:hint="eastAsia" w:ascii="宋体" w:hAnsi="宋体" w:cs="宋体"/>
          <w:bCs/>
          <w:color w:val="auto"/>
          <w:sz w:val="24"/>
          <w:szCs w:val="24"/>
        </w:rPr>
        <w:t>详见附表五《经济标评分表》</w:t>
      </w:r>
    </w:p>
    <w:p w14:paraId="42C7F055">
      <w:pPr>
        <w:widowControl w:val="0"/>
        <w:spacing w:line="360" w:lineRule="auto"/>
        <w:ind w:firstLine="241" w:firstLineChars="100"/>
        <w:textAlignment w:val="auto"/>
        <w:rPr>
          <w:rFonts w:ascii="宋体" w:hAnsi="宋体" w:cs="宋体"/>
          <w:b/>
          <w:color w:val="auto"/>
          <w:sz w:val="24"/>
          <w:szCs w:val="24"/>
        </w:rPr>
      </w:pPr>
      <w:r>
        <w:rPr>
          <w:rFonts w:hint="eastAsia" w:ascii="宋体" w:hAnsi="宋体" w:cs="宋体"/>
          <w:b/>
          <w:color w:val="auto"/>
          <w:sz w:val="24"/>
          <w:szCs w:val="24"/>
        </w:rPr>
        <w:t>注：以上修改，仅限于本范本中有可供选择条款的情形。</w:t>
      </w:r>
    </w:p>
    <w:p w14:paraId="25583BA5">
      <w:pPr>
        <w:widowControl w:val="0"/>
        <w:spacing w:line="360" w:lineRule="auto"/>
        <w:textAlignment w:val="auto"/>
        <w:rPr>
          <w:rFonts w:ascii="宋体" w:hAnsi="宋体" w:cs="宋体"/>
          <w:color w:val="auto"/>
          <w:sz w:val="24"/>
          <w:szCs w:val="24"/>
        </w:rPr>
      </w:pPr>
      <w:r>
        <w:rPr>
          <w:rFonts w:hint="eastAsia" w:ascii="宋体" w:hAnsi="宋体" w:cs="宋体"/>
          <w:b/>
          <w:color w:val="auto"/>
          <w:sz w:val="24"/>
          <w:szCs w:val="24"/>
        </w:rPr>
        <w:t>（以下无正文）</w:t>
      </w:r>
    </w:p>
    <w:p w14:paraId="29E00708">
      <w:pPr>
        <w:pStyle w:val="139"/>
        <w:spacing w:line="276" w:lineRule="auto"/>
        <w:outlineLvl w:val="1"/>
        <w:rPr>
          <w:rStyle w:val="122"/>
          <w:rFonts w:ascii="宋体" w:hAnsi="宋体"/>
          <w:b/>
          <w:color w:val="auto"/>
          <w:sz w:val="21"/>
          <w:szCs w:val="21"/>
        </w:rPr>
      </w:pPr>
      <w:r>
        <w:rPr>
          <w:rFonts w:hint="eastAsia" w:ascii="宋体" w:hAnsi="宋体" w:cs="宋体"/>
          <w:b/>
          <w:color w:val="auto"/>
          <w:kern w:val="0"/>
        </w:rPr>
        <w:br w:type="page"/>
      </w:r>
      <w:bookmarkStart w:id="28" w:name="_Toc21590"/>
      <w:bookmarkStart w:id="29" w:name="_Toc11460"/>
      <w:r>
        <w:rPr>
          <w:rStyle w:val="122"/>
          <w:rFonts w:hint="eastAsia" w:ascii="宋体" w:hAnsi="宋体"/>
          <w:b/>
          <w:color w:val="auto"/>
          <w:sz w:val="21"/>
          <w:szCs w:val="21"/>
        </w:rPr>
        <w:t>二、开标、评标及定标办法通用条款</w:t>
      </w:r>
      <w:bookmarkEnd w:id="28"/>
      <w:bookmarkEnd w:id="29"/>
    </w:p>
    <w:p w14:paraId="0E36F798">
      <w:pPr>
        <w:spacing w:before="156" w:beforeAutospacing="1" w:after="156" w:afterAutospacing="1"/>
        <w:ind w:firstLine="540" w:firstLineChars="200"/>
        <w:jc w:val="left"/>
        <w:outlineLvl w:val="2"/>
        <w:rPr>
          <w:rFonts w:ascii="宋体" w:hAnsi="宋体" w:cs="宋体"/>
          <w:color w:val="auto"/>
          <w:kern w:val="0"/>
          <w:sz w:val="27"/>
          <w:szCs w:val="27"/>
        </w:rPr>
      </w:pPr>
      <w:bookmarkStart w:id="30" w:name="_Toc5994"/>
      <w:bookmarkStart w:id="31" w:name="_Toc19940"/>
      <w:r>
        <w:rPr>
          <w:rFonts w:hint="eastAsia" w:ascii="宋体" w:hAnsi="宋体" w:cs="宋体"/>
          <w:color w:val="auto"/>
          <w:kern w:val="0"/>
          <w:sz w:val="27"/>
          <w:szCs w:val="27"/>
        </w:rPr>
        <w:t>（一）总则</w:t>
      </w:r>
      <w:bookmarkEnd w:id="30"/>
      <w:bookmarkEnd w:id="31"/>
    </w:p>
    <w:p w14:paraId="766EB90F">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 开标、评标及定标所依据的规则</w:t>
      </w:r>
    </w:p>
    <w:p w14:paraId="2AE624FC">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35.1《中华人民共和国招标投标法》；</w:t>
      </w:r>
    </w:p>
    <w:p w14:paraId="071AD5C4">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35.2《中华人民共和国招标投标法实施条例》；</w:t>
      </w:r>
    </w:p>
    <w:p w14:paraId="5E20A321">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35.3《评标委员会和评标方法暂行规定》（七部委第12号令）</w:t>
      </w:r>
    </w:p>
    <w:p w14:paraId="22565837">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35.4《工程建设项目施工招标投标办法》（七部委2003年第30号令）</w:t>
      </w:r>
    </w:p>
    <w:p w14:paraId="79900BDE">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35.5《广东省实施〈中华人民共和国招标投标法〉办法》；</w:t>
      </w:r>
    </w:p>
    <w:p w14:paraId="33C3C264">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35.6《房屋建筑和市政基础设施工程施工招标投标管理办法》（建设部令第89号）</w:t>
      </w:r>
    </w:p>
    <w:p w14:paraId="4129FDD7">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35.7《财政部 工业和信息化部关于印发〈政府采购促进中小企业发展管理办法〉的通知》（财库〔2020〕46号）</w:t>
      </w:r>
    </w:p>
    <w:p w14:paraId="484C0E9F">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35.8《广东省加强建设工程招标投标监督管理的若干规定》（粤发[2004]4号）；</w:t>
      </w:r>
    </w:p>
    <w:p w14:paraId="17A95A30">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35.9《广东省政府采购促进中小企业发展实施细则（试行）》</w:t>
      </w:r>
    </w:p>
    <w:p w14:paraId="5C164ADC">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35.10《广州市工程建设项目招标投标管理办法》（穗建规字〔2023〕12号）；</w:t>
      </w:r>
    </w:p>
    <w:p w14:paraId="6B15A0F1">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1926C7FB">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35.12本项目招标文件。</w:t>
      </w:r>
    </w:p>
    <w:p w14:paraId="3A529647">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36．开标</w:t>
      </w:r>
    </w:p>
    <w:p w14:paraId="450F7F90">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36.1 招标人按投标须知前附表第18项所规定的时间和地点公开开标，并邀请所有投标人参加。截标后，开标开始时间因故推迟的，相关评标信息仍以原定的开标开始时间的信息为准。</w:t>
      </w:r>
    </w:p>
    <w:p w14:paraId="69E7FDB4">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36.2 招标人在招标文件要求提交投标文件的截止时间前收到的投标文件，开标时都当众予以解密、公布。</w:t>
      </w:r>
    </w:p>
    <w:p w14:paraId="27493165">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1052E9E">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36.4若递交投标文件的投标人不足3家，则重新组织招标。（当N个标段同时招标且不允许兼中时，若有效投标人不足N+2家，则重新组织招标）</w:t>
      </w:r>
    </w:p>
    <w:p w14:paraId="41EFBB34">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36.5按下列程序进行开标：</w:t>
      </w:r>
    </w:p>
    <w:p w14:paraId="1D654D98">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4136C78D">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36.5.2备用光盘的读取按投标须知前附表第36项的规定执行；</w:t>
      </w:r>
    </w:p>
    <w:p w14:paraId="42AA9456">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36.5.3投标人代表、招标人代表、监标人、记录人等有关人员在开标记录上签字确认；若有关人员不签字的，不影响开标程序；</w:t>
      </w:r>
    </w:p>
    <w:p w14:paraId="6B829836">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36.5.4开标结束。</w:t>
      </w:r>
    </w:p>
    <w:p w14:paraId="14AD8076">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DEFE486">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36.7开标时，两个（含两个）以上的投标人加密打包投标文件电脑机器特征码一致的，不参与下一程序，并由评标委员会否决其投标。</w:t>
      </w:r>
    </w:p>
    <w:p w14:paraId="2B6756D6">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37．评标</w:t>
      </w:r>
    </w:p>
    <w:p w14:paraId="052DEA5B">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37.1评标委员会由招标人依法组建。</w:t>
      </w:r>
    </w:p>
    <w:p w14:paraId="12BB5AF7">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37.2评标委员会在开始评标前，应了解评标专家的职责及守则，认真阅读附件1《评标委员会成员声明》的内容并签名，签字后方可进行评标；</w:t>
      </w:r>
    </w:p>
    <w:p w14:paraId="71E001CE">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37.3评标委员会的职责及守则：</w:t>
      </w:r>
    </w:p>
    <w:p w14:paraId="079036E6">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37.3评标委员会的职责及守则：</w:t>
      </w:r>
    </w:p>
    <w:p w14:paraId="6247EE12">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37.3.1根据评标细则，对投标文件进行认真评审，完成评审报告；</w:t>
      </w:r>
    </w:p>
    <w:p w14:paraId="59EC11AB">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37.3.2向招标人报告评审意见，推荐合格的中标候选人。</w:t>
      </w:r>
    </w:p>
    <w:p w14:paraId="1B6C91D1">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bCs/>
          <w:color w:val="auto"/>
          <w:sz w:val="24"/>
          <w:szCs w:val="24"/>
        </w:rPr>
        <w:t>37.3.3</w:t>
      </w:r>
      <w:r>
        <w:rPr>
          <w:rFonts w:hint="eastAsia" w:ascii="宋体" w:hAnsi="宋体" w:cs="宋体"/>
          <w:color w:val="auto"/>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22B9F285">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37.3.4全体参与评标人员：</w:t>
      </w:r>
    </w:p>
    <w:p w14:paraId="7D094649">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37.3.4.1 必须遵守评标纪律、不得泄密；</w:t>
      </w:r>
    </w:p>
    <w:p w14:paraId="323E3046">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37.3.4.2 必须公正、不得循私；</w:t>
      </w:r>
    </w:p>
    <w:p w14:paraId="258F71CA">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37.3.4.3 必须科学、不得草率；</w:t>
      </w:r>
    </w:p>
    <w:p w14:paraId="4FB21A48">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37.3.4.4 必须客观、不得带有成见；</w:t>
      </w:r>
    </w:p>
    <w:p w14:paraId="36005C1E">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37.3.4.5 必须平等、不得强加于人；</w:t>
      </w:r>
    </w:p>
    <w:p w14:paraId="445B6D38">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37.3.4.6 必须严谨、不得随意马虎。</w:t>
      </w:r>
    </w:p>
    <w:p w14:paraId="566D498C">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4F9DE2C3">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37.5评标结束后，评标委员会递交评标报告并依法推荐中标候选人。</w:t>
      </w:r>
    </w:p>
    <w:p w14:paraId="2C518428">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38．投标文件的澄清</w:t>
      </w:r>
    </w:p>
    <w:p w14:paraId="4947D0FC">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D380D78">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543E1AB">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38.3 评标委员会或评标委员会专业评审组成员均应当阅读投标人的澄清，但应独立参考澄清对投标文件进行评审。</w:t>
      </w:r>
    </w:p>
    <w:p w14:paraId="14A659D2">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38.4如果投标文件实质上不响应招标文件的各项要求，评标委员会将按照符合性审查标准予以拒绝，不接受投标人通过修改或撤销其不符合要求的差异或保留，使之成为具有响应性的投标。</w:t>
      </w:r>
    </w:p>
    <w:p w14:paraId="562E5AC8">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EF18618">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39．定标</w:t>
      </w:r>
    </w:p>
    <w:p w14:paraId="11972E42">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39.1 招标人根据评标委员会递交的评标报告，最终审定中标人。</w:t>
      </w:r>
    </w:p>
    <w:p w14:paraId="1D1D5257">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39.2 依法必须进行公开招标的项目，招标人应当确定排名第一的中标候选人为中标人。</w:t>
      </w:r>
    </w:p>
    <w:p w14:paraId="007BDA8C">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14:paraId="6D9DEB8D">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39.4排名第二的中标候选人出现前款所列的情形的，招标人可以确定排名第三的中标候选人为中标人。以此类推，如所有中标候选人均出现前款所列的情形，为招标失败，招标人依法重新招标。</w:t>
      </w:r>
    </w:p>
    <w:p w14:paraId="51AE0CAC">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39.5 重新评标的，评标信息（含业绩、奖项等）仍以投标截止时投标人的信息为准。因特殊原因需要延长投标有效期，投标人拒绝延长投标有效期的，仍参与评标，但不被推荐为中标候选人。</w:t>
      </w:r>
    </w:p>
    <w:p w14:paraId="0178C3B7">
      <w:pPr>
        <w:spacing w:before="156" w:beforeAutospacing="1" w:after="156" w:afterAutospacing="1"/>
        <w:ind w:firstLine="480" w:firstLineChars="200"/>
        <w:jc w:val="left"/>
        <w:outlineLvl w:val="2"/>
        <w:rPr>
          <w:rFonts w:ascii="宋体" w:hAnsi="宋体" w:cs="宋体"/>
          <w:color w:val="auto"/>
          <w:kern w:val="0"/>
          <w:sz w:val="24"/>
          <w:szCs w:val="24"/>
        </w:rPr>
      </w:pPr>
      <w:bookmarkStart w:id="32" w:name="_Toc29913"/>
      <w:bookmarkStart w:id="33" w:name="_Toc18768"/>
      <w:r>
        <w:rPr>
          <w:rFonts w:hint="eastAsia" w:ascii="宋体" w:hAnsi="宋体" w:cs="宋体"/>
          <w:color w:val="auto"/>
          <w:kern w:val="0"/>
          <w:sz w:val="24"/>
          <w:szCs w:val="24"/>
        </w:rPr>
        <w:t>（二）开标评标办法程序和细则</w:t>
      </w:r>
      <w:bookmarkEnd w:id="32"/>
      <w:bookmarkEnd w:id="33"/>
    </w:p>
    <w:p w14:paraId="05629EDD">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注：评标办法所述企业综合诚信评价分数即投标截止当日广州市住房和城乡建设局网站上公布的企业综合诚信评价60日诚信分。</w:t>
      </w:r>
    </w:p>
    <w:p w14:paraId="3168CABB">
      <w:pPr>
        <w:spacing w:before="156" w:beforeAutospacing="1" w:after="156" w:afterAutospacing="1"/>
        <w:ind w:firstLine="540" w:firstLineChars="200"/>
        <w:jc w:val="left"/>
        <w:outlineLvl w:val="2"/>
        <w:rPr>
          <w:rFonts w:ascii="宋体" w:hAnsi="宋体" w:cs="宋体"/>
          <w:color w:val="auto"/>
          <w:kern w:val="0"/>
          <w:sz w:val="27"/>
          <w:szCs w:val="27"/>
        </w:rPr>
      </w:pPr>
      <w:bookmarkStart w:id="34" w:name="_Toc21525509"/>
      <w:bookmarkStart w:id="35" w:name="_Toc11638"/>
      <w:bookmarkStart w:id="36" w:name="_Toc2272564"/>
      <w:bookmarkStart w:id="37" w:name="_Toc25301"/>
      <w:r>
        <w:rPr>
          <w:rFonts w:hint="eastAsia" w:ascii="宋体" w:hAnsi="宋体" w:cs="宋体"/>
          <w:color w:val="auto"/>
          <w:kern w:val="0"/>
          <w:sz w:val="27"/>
          <w:szCs w:val="27"/>
        </w:rPr>
        <w:t>可选办法七（适合综合评分法四，技术标与经济标同时开启）</w:t>
      </w:r>
      <w:bookmarkEnd w:id="34"/>
      <w:bookmarkEnd w:id="35"/>
    </w:p>
    <w:p w14:paraId="2C412DF0">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40．开标和评标程序</w:t>
      </w:r>
    </w:p>
    <w:p w14:paraId="0EB14615">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40.1技术标（含资格审查文件）与经济标投标文件同时公开开标；</w:t>
      </w:r>
    </w:p>
    <w:p w14:paraId="44944656">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40.2由评标委员会对所有已公开开标的投标人进行资格审查；</w:t>
      </w:r>
    </w:p>
    <w:p w14:paraId="03C8242E">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40.3技术标投标文件有效性审查；</w:t>
      </w:r>
    </w:p>
    <w:p w14:paraId="714B6D20">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40.4技术标详细审查评分；</w:t>
      </w:r>
    </w:p>
    <w:p w14:paraId="6AEE7D84">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40.5经济标详细审查评分；</w:t>
      </w:r>
    </w:p>
    <w:p w14:paraId="44EFB192">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40.6评标委员会按照投标人总得分由高至低排序；</w:t>
      </w:r>
    </w:p>
    <w:p w14:paraId="39CA4D86">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40.7经济标投标文件有效性审查；</w:t>
      </w:r>
    </w:p>
    <w:p w14:paraId="04FB2966">
      <w:pPr>
        <w:widowControl w:val="0"/>
        <w:snapToGrid w:val="0"/>
        <w:spacing w:line="360" w:lineRule="auto"/>
        <w:ind w:firstLine="480" w:firstLineChars="200"/>
        <w:textAlignment w:val="auto"/>
        <w:rPr>
          <w:rFonts w:ascii="宋体" w:hAnsi="宋体" w:cs="宋体"/>
          <w:color w:val="auto"/>
          <w:szCs w:val="21"/>
        </w:rPr>
      </w:pPr>
      <w:r>
        <w:rPr>
          <w:rFonts w:hint="eastAsia" w:ascii="宋体" w:hAnsi="宋体" w:cs="宋体"/>
          <w:color w:val="auto"/>
          <w:sz w:val="24"/>
          <w:szCs w:val="24"/>
        </w:rPr>
        <w:t>40.8评标委员会按排序向招标人推荐中标候选人名单，并递交资格审查报告及评标报告。</w:t>
      </w:r>
    </w:p>
    <w:p w14:paraId="51CD1E26">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41．开标细则</w:t>
      </w:r>
    </w:p>
    <w:p w14:paraId="5E7CF044">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41.1开标由招标人主持；</w:t>
      </w:r>
    </w:p>
    <w:p w14:paraId="0BE3C5A1">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41.2 细则</w:t>
      </w:r>
    </w:p>
    <w:p w14:paraId="2FB5C9F5">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 xml:space="preserve">41.2.1投标截止期前，各投标人递交投标文件（包括技术标投标文件、经济标投标文件）至交易平台。有关投标文件提交的事项详见第一章投标须知。 </w:t>
      </w:r>
    </w:p>
    <w:p w14:paraId="54C4B6DC">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41.2.2开标前，首先由招标人随机抽取确定该工程计算评标参考价的等分点值X。</w:t>
      </w:r>
    </w:p>
    <w:p w14:paraId="75B2F885">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41.2.3开标时，投标人代表有权出席开标会，也可以自主决定不参加开标会，若投标人代表对开标过程提出异议，该投标人代表须同时出示本人身份证原件。</w:t>
      </w:r>
    </w:p>
    <w:p w14:paraId="3729E52F">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 xml:space="preserve">41.2.4按36.5.1的规定完成解密后，公布下列内容，并予以记录，记录提交评标委员会评审： </w:t>
      </w:r>
    </w:p>
    <w:p w14:paraId="63028BE0">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41.2.4.1开标时，公布：a、投标人名称；b、</w:t>
      </w:r>
      <w:r>
        <w:rPr>
          <w:rFonts w:hint="eastAsia" w:ascii="宋体" w:hAnsi="宋体" w:cs="宋体"/>
          <w:color w:val="auto"/>
          <w:sz w:val="24"/>
        </w:rPr>
        <w:t>投标文件</w:t>
      </w:r>
      <w:r>
        <w:rPr>
          <w:rFonts w:hint="eastAsia" w:ascii="宋体" w:hAnsi="宋体" w:cs="宋体"/>
          <w:color w:val="auto"/>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450896F9">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41.3招标人对开标过程进行记录，并存档备查，投标人在技术标开标记录上签字。</w:t>
      </w:r>
    </w:p>
    <w:p w14:paraId="02E1BA62">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41.4 招标人将上述符合要求的投标文件，送至评标委员会进行评审。</w:t>
      </w:r>
    </w:p>
    <w:p w14:paraId="6BE71682">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42. 资格审查及评标细则</w:t>
      </w:r>
    </w:p>
    <w:p w14:paraId="0E4BF386">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42.1资格审查及评标均由招标人依法组建的评标委员会负责。</w:t>
      </w:r>
    </w:p>
    <w:p w14:paraId="18E57868">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42.2评标委员会的组成：方式。</w:t>
      </w:r>
    </w:p>
    <w:p w14:paraId="0F2441A9">
      <w:pPr>
        <w:widowControl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方式一：评标委员会为综合评标委员会，负责资格审查及评标工作。</w:t>
      </w:r>
    </w:p>
    <w:p w14:paraId="19490C1A">
      <w:pPr>
        <w:widowControl w:val="0"/>
        <w:tabs>
          <w:tab w:val="left" w:pos="7380"/>
        </w:tabs>
        <w:snapToGrid w:val="0"/>
        <w:spacing w:line="360" w:lineRule="auto"/>
        <w:ind w:firstLine="420"/>
        <w:rPr>
          <w:rFonts w:ascii="宋体" w:hAnsi="宋体" w:cs="宋体"/>
          <w:color w:val="auto"/>
          <w:kern w:val="0"/>
          <w:sz w:val="24"/>
          <w:szCs w:val="24"/>
        </w:rPr>
      </w:pPr>
      <w:r>
        <w:rPr>
          <w:rFonts w:hint="eastAsia" w:ascii="宋体" w:hAnsi="宋体" w:cs="宋体"/>
          <w:color w:val="auto"/>
          <w:kern w:val="0"/>
          <w:sz w:val="24"/>
          <w:szCs w:val="24"/>
        </w:rPr>
        <w:t>方式二：评标委员会由技术评审组和经济评审组组成。其中：资格审查及技术评审由技术评标组负责，经济评审由经济评审组负责。</w:t>
      </w:r>
    </w:p>
    <w:p w14:paraId="07C67467">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43．投标人资格审查</w:t>
      </w:r>
    </w:p>
    <w:p w14:paraId="1669D209">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5EA4108D">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43.2汇总资格审查情况，编写资格审查报告。</w:t>
      </w:r>
    </w:p>
    <w:p w14:paraId="30AECA47">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43.3资格审查不合格的投标文件不参加下一阶段的评标，不参与评标参考价的计算。</w:t>
      </w:r>
    </w:p>
    <w:p w14:paraId="7380E106">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1E6B9213">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43.5资审合格后，投标人的资格发生变化而不满足投标人合格条件，在发出中标通知书前，资格问题仍未解决的，招标人将取消其中标资格。</w:t>
      </w:r>
    </w:p>
    <w:p w14:paraId="52DF848E">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43.6资格审查合格的投标人少于3名的（当N个标段同时招标且不允许兼中时，资格审查合格的投标人少于N+2名），则本项目招标失败。</w:t>
      </w:r>
    </w:p>
    <w:p w14:paraId="6E74AABA">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44．技术标评审</w:t>
      </w:r>
    </w:p>
    <w:p w14:paraId="44927C3D">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65323FA7">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1196BEFC">
      <w:pPr>
        <w:widowControl w:val="0"/>
        <w:tabs>
          <w:tab w:val="left" w:pos="7380"/>
        </w:tabs>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45．经济标评审和得分汇总</w:t>
      </w:r>
    </w:p>
    <w:p w14:paraId="146060A9">
      <w:pPr>
        <w:widowControl w:val="0"/>
        <w:tabs>
          <w:tab w:val="left" w:pos="7380"/>
        </w:tabs>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45.1若通过技术标有效性审查的投标人中所有投标报价均大于等于最高投标限价，则本项目招标失败，由招标人依法重新招标。</w:t>
      </w:r>
    </w:p>
    <w:p w14:paraId="065F5EEA">
      <w:pPr>
        <w:widowControl w:val="0"/>
        <w:tabs>
          <w:tab w:val="left" w:pos="7380"/>
        </w:tabs>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 45.2按以下方法计算评标参考价：</w:t>
      </w:r>
    </w:p>
    <w:p w14:paraId="0A42EABC">
      <w:pPr>
        <w:spacing w:line="360" w:lineRule="auto"/>
        <w:ind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rPr>
        <w:t>区间抽取法</w:t>
      </w:r>
    </w:p>
    <w:p w14:paraId="372BB3A9">
      <w:pPr>
        <w:snapToGrid w:val="0"/>
        <w:spacing w:line="360" w:lineRule="auto"/>
        <w:ind w:firstLine="480" w:firstLineChars="200"/>
        <w:jc w:val="left"/>
        <w:textAlignment w:val="auto"/>
        <w:rPr>
          <w:rFonts w:ascii="宋体" w:hAnsi="宋体" w:cs="宋体"/>
          <w:color w:val="auto"/>
          <w:kern w:val="0"/>
          <w:sz w:val="24"/>
          <w:szCs w:val="24"/>
        </w:rPr>
      </w:pPr>
      <w:r>
        <w:rPr>
          <w:rFonts w:hint="eastAsia" w:ascii="宋体" w:hAnsi="宋体" w:cs="宋体"/>
          <w:color w:val="auto"/>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B7A5724">
      <w:pPr>
        <w:snapToGrid w:val="0"/>
        <w:spacing w:line="360" w:lineRule="auto"/>
        <w:ind w:firstLine="480" w:firstLineChars="200"/>
        <w:jc w:val="left"/>
        <w:textAlignment w:val="auto"/>
        <w:rPr>
          <w:rFonts w:ascii="宋体" w:hAnsi="宋体" w:cs="宋体"/>
          <w:color w:val="auto"/>
          <w:kern w:val="0"/>
          <w:sz w:val="24"/>
          <w:szCs w:val="24"/>
          <w:vertAlign w:val="subscript"/>
        </w:rPr>
      </w:pPr>
      <w:r>
        <w:rPr>
          <w:rFonts w:hint="eastAsia" w:ascii="宋体" w:hAnsi="宋体" w:cs="宋体"/>
          <w:color w:val="auto"/>
          <w:kern w:val="0"/>
          <w:sz w:val="24"/>
          <w:szCs w:val="24"/>
        </w:rPr>
        <w:t>评标参考价=（Q</w:t>
      </w:r>
      <w:r>
        <w:rPr>
          <w:rFonts w:hint="eastAsia" w:ascii="宋体" w:hAnsi="宋体" w:cs="宋体"/>
          <w:color w:val="auto"/>
          <w:kern w:val="0"/>
          <w:sz w:val="24"/>
          <w:szCs w:val="24"/>
          <w:vertAlign w:val="subscript"/>
        </w:rPr>
        <w:t>高</w:t>
      </w:r>
      <w:r>
        <w:rPr>
          <w:rFonts w:hint="eastAsia" w:ascii="宋体" w:hAnsi="宋体" w:cs="宋体"/>
          <w:color w:val="auto"/>
          <w:kern w:val="0"/>
          <w:sz w:val="24"/>
          <w:szCs w:val="24"/>
        </w:rPr>
        <w:t>-Q</w:t>
      </w:r>
      <w:r>
        <w:rPr>
          <w:rFonts w:hint="eastAsia" w:ascii="宋体" w:hAnsi="宋体" w:cs="宋体"/>
          <w:color w:val="auto"/>
          <w:kern w:val="0"/>
          <w:sz w:val="24"/>
          <w:szCs w:val="24"/>
          <w:vertAlign w:val="subscript"/>
        </w:rPr>
        <w:t>低</w:t>
      </w:r>
      <w:r>
        <w:rPr>
          <w:rFonts w:hint="eastAsia" w:ascii="宋体" w:hAnsi="宋体" w:cs="宋体"/>
          <w:color w:val="auto"/>
          <w:kern w:val="0"/>
          <w:sz w:val="24"/>
          <w:szCs w:val="24"/>
        </w:rPr>
        <w:t>）/100*Ｘ+Q</w:t>
      </w:r>
      <w:r>
        <w:rPr>
          <w:rFonts w:hint="eastAsia" w:ascii="宋体" w:hAnsi="宋体" w:cs="宋体"/>
          <w:color w:val="auto"/>
          <w:kern w:val="0"/>
          <w:sz w:val="24"/>
          <w:szCs w:val="24"/>
          <w:vertAlign w:val="subscript"/>
        </w:rPr>
        <w:t>低</w:t>
      </w:r>
    </w:p>
    <w:p w14:paraId="7C63D6F2">
      <w:pPr>
        <w:snapToGrid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Q</w:t>
      </w:r>
      <w:r>
        <w:rPr>
          <w:rFonts w:hint="eastAsia" w:ascii="宋体" w:hAnsi="宋体" w:cs="宋体"/>
          <w:color w:val="auto"/>
          <w:sz w:val="24"/>
          <w:szCs w:val="24"/>
          <w:vertAlign w:val="subscript"/>
        </w:rPr>
        <w:t>低</w:t>
      </w:r>
      <w:r>
        <w:rPr>
          <w:rFonts w:hint="eastAsia" w:ascii="宋体" w:hAnsi="宋体" w:cs="宋体"/>
          <w:color w:val="auto"/>
          <w:sz w:val="24"/>
          <w:szCs w:val="24"/>
        </w:rPr>
        <w:t>：为达到或超过技术标及格分数线的投标人最低报价与工程成本警示价两者中的较高值；</w:t>
      </w:r>
    </w:p>
    <w:p w14:paraId="3CCB44DB">
      <w:pPr>
        <w:widowControl w:val="0"/>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kern w:val="0"/>
          <w:sz w:val="24"/>
          <w:szCs w:val="24"/>
        </w:rPr>
        <w:t>Q</w:t>
      </w:r>
      <w:r>
        <w:rPr>
          <w:rFonts w:hint="eastAsia" w:ascii="宋体" w:hAnsi="宋体" w:cs="宋体"/>
          <w:color w:val="auto"/>
          <w:kern w:val="0"/>
          <w:sz w:val="24"/>
          <w:szCs w:val="24"/>
          <w:vertAlign w:val="subscript"/>
        </w:rPr>
        <w:t>高</w:t>
      </w:r>
      <w:r>
        <w:rPr>
          <w:rFonts w:hint="eastAsia" w:ascii="宋体" w:hAnsi="宋体" w:cs="宋体"/>
          <w:color w:val="auto"/>
          <w:sz w:val="24"/>
          <w:szCs w:val="24"/>
        </w:rPr>
        <w:t>：为最高投标限价</w:t>
      </w:r>
    </w:p>
    <w:p w14:paraId="75E98F4A">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X:为等分点值，在开标前从[0,100]整数中随机抽取</w:t>
      </w:r>
    </w:p>
    <w:p w14:paraId="1B44D07C">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kern w:val="0"/>
          <w:sz w:val="24"/>
          <w:szCs w:val="24"/>
        </w:rPr>
        <w:t>45.3</w:t>
      </w:r>
      <w:r>
        <w:rPr>
          <w:rFonts w:hint="eastAsia" w:ascii="宋体" w:hAnsi="宋体" w:cs="宋体"/>
          <w:color w:val="auto"/>
          <w:sz w:val="24"/>
          <w:szCs w:val="24"/>
        </w:rPr>
        <w:t>当标价等于评标参考价时得100分，标价每高于评标参考价1%，扣1.5分，每低于评标参考价1%，扣1分，扣至0分为止，得出经济分，精确到小数点后两位。</w:t>
      </w:r>
    </w:p>
    <w:p w14:paraId="34479246">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5444387E">
      <w:pPr>
        <w:widowControl w:val="0"/>
        <w:tabs>
          <w:tab w:val="left" w:pos="7380"/>
        </w:tabs>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46.经济标的有效性审查</w:t>
      </w:r>
    </w:p>
    <w:p w14:paraId="3C4C49B8">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s="宋体"/>
          <w:color w:val="auto"/>
          <w:sz w:val="24"/>
        </w:rPr>
        <w:t>投标文件</w:t>
      </w:r>
      <w:r>
        <w:rPr>
          <w:rFonts w:hint="eastAsia" w:ascii="宋体" w:hAnsi="宋体" w:cs="宋体"/>
          <w:color w:val="auto"/>
          <w:sz w:val="24"/>
          <w:szCs w:val="24"/>
        </w:rPr>
        <w:t>，否则其投标文件将被否决。如评标委员会成员的评审意见不一致时，以评标委员会过半数成员的意见作为评标委员会对该情形的认定结论。</w:t>
      </w:r>
    </w:p>
    <w:p w14:paraId="4D5A6806">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46.2经济标的算术校核。评标委员会对进行经济标有效性审查的投标文件投标报价按照就低不就高的原则进行算术校核，具体标准如下：</w:t>
      </w:r>
    </w:p>
    <w:p w14:paraId="2F25D604">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46.2.1如果数字表示的金额和用文字表示的金额不一致时，应以文字表示的金额为准；</w:t>
      </w:r>
    </w:p>
    <w:p w14:paraId="3E9A0C8C">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46.2.2经算术复核的投标人报价与其投标报价不一致时，按就低不就高原则确定其最终报价；</w:t>
      </w:r>
    </w:p>
    <w:p w14:paraId="7D162CD2">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A60B84C">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46.2.4当合价、金额累加错误时，按就低不就高原则，如果累加修正值小于原累加值，则按累加修正值；如果累加修正值大于原累加值，则按原累加值；</w:t>
      </w:r>
    </w:p>
    <w:p w14:paraId="3116EA99">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46.2.5如果投标人的有关规费、暂列金额、暂估价、绿色施工安全防护措施费等未按招标文件规定的金额填写的，由评标委员会按照招标文件规定的金额进行修正；</w:t>
      </w:r>
    </w:p>
    <w:p w14:paraId="59921F7D">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4CF6DB75">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46.2.7按就低不就高原则，当修正后报价小于原报价，总价按修正后报价；当修正后报价大于原报价，总价按原报价，并在签订合同时载明在结算价中扣除修正报价与原报价的差额。</w:t>
      </w:r>
    </w:p>
    <w:p w14:paraId="04284E8D">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46.2.8按上述修正错误的原则及方法调整或修正投标文件的投标报价，调整后的投标报价对投标人起约束作用。如果投标人不接受修正后的报价，则取消其投标资格，并且其投标保证金也将不予退还。</w:t>
      </w:r>
    </w:p>
    <w:p w14:paraId="751A2E01">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74E8752">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48.评标委员会应在通过投标文件经济标有效性审查的投标人中，按步骤45.4确定的投标人第二阶段排序，推荐前3名依次为第一中标候选人至第三中标候选人,并编制评标报告。</w:t>
      </w:r>
    </w:p>
    <w:p w14:paraId="1FEB1C4F">
      <w:pPr>
        <w:widowControl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49.若通过经济标有效性审查的投标人不足三家，应当依法重新招标。（当N个标段同时招标且不允许兼中时，若有效投标人不足N+2家，应当依法重新招标）</w:t>
      </w:r>
    </w:p>
    <w:bookmarkEnd w:id="36"/>
    <w:bookmarkEnd w:id="37"/>
    <w:p w14:paraId="48EE5637">
      <w:pPr>
        <w:spacing w:line="360" w:lineRule="auto"/>
        <w:rPr>
          <w:rFonts w:ascii="宋体" w:hAnsi="宋体" w:cs="宋体"/>
          <w:color w:val="auto"/>
          <w:sz w:val="24"/>
          <w:szCs w:val="24"/>
        </w:rPr>
      </w:pPr>
    </w:p>
    <w:p w14:paraId="605DB46B">
      <w:pPr>
        <w:pStyle w:val="31"/>
        <w:rPr>
          <w:rFonts w:hAnsi="宋体" w:cs="宋体"/>
          <w:color w:val="auto"/>
          <w:szCs w:val="24"/>
        </w:rPr>
      </w:pPr>
    </w:p>
    <w:p w14:paraId="099A44E5">
      <w:pPr>
        <w:spacing w:line="360" w:lineRule="auto"/>
        <w:rPr>
          <w:rFonts w:ascii="宋体" w:hAnsi="宋体" w:cs="宋体"/>
          <w:color w:val="auto"/>
          <w:sz w:val="24"/>
          <w:szCs w:val="24"/>
        </w:rPr>
        <w:sectPr>
          <w:pgSz w:w="11906" w:h="16838"/>
          <w:pgMar w:top="1247" w:right="1418" w:bottom="1134" w:left="1418" w:header="851" w:footer="737" w:gutter="0"/>
          <w:pgNumType w:fmt="decimal"/>
          <w:cols w:space="720" w:num="1"/>
          <w:titlePg/>
          <w:docGrid w:type="lines" w:linePitch="312" w:charSpace="0"/>
        </w:sectPr>
      </w:pPr>
    </w:p>
    <w:p w14:paraId="42D6FF15">
      <w:pPr>
        <w:snapToGrid w:val="0"/>
        <w:spacing w:line="360" w:lineRule="auto"/>
        <w:ind w:right="102"/>
        <w:jc w:val="left"/>
        <w:textAlignment w:val="auto"/>
        <w:rPr>
          <w:rFonts w:ascii="宋体" w:hAnsi="宋体" w:cs="宋体"/>
          <w:color w:val="auto"/>
          <w:szCs w:val="21"/>
        </w:rPr>
      </w:pPr>
      <w:r>
        <w:rPr>
          <w:rFonts w:hint="eastAsia" w:ascii="宋体" w:hAnsi="宋体" w:cs="宋体"/>
          <w:color w:val="auto"/>
          <w:szCs w:val="21"/>
        </w:rPr>
        <w:t>附表一：</w:t>
      </w:r>
    </w:p>
    <w:p w14:paraId="18C8DB1B">
      <w:pPr>
        <w:widowControl w:val="0"/>
        <w:jc w:val="center"/>
        <w:textAlignment w:val="auto"/>
        <w:rPr>
          <w:rFonts w:ascii="宋体" w:hAnsi="宋体" w:cs="宋体"/>
          <w:b/>
          <w:color w:val="auto"/>
          <w:sz w:val="32"/>
          <w:szCs w:val="32"/>
        </w:rPr>
      </w:pPr>
      <w:r>
        <w:rPr>
          <w:rFonts w:hint="eastAsia" w:ascii="宋体" w:hAnsi="宋体" w:cs="宋体"/>
          <w:b/>
          <w:color w:val="auto"/>
          <w:sz w:val="32"/>
          <w:szCs w:val="32"/>
        </w:rPr>
        <w:t>资格审查表</w:t>
      </w:r>
    </w:p>
    <w:p w14:paraId="7345A9C1">
      <w:pPr>
        <w:widowControl w:val="0"/>
        <w:spacing w:line="480" w:lineRule="auto"/>
        <w:textAlignment w:val="auto"/>
        <w:rPr>
          <w:rFonts w:ascii="宋体" w:hAnsi="宋体" w:cs="宋体"/>
          <w:color w:val="auto"/>
          <w:sz w:val="24"/>
          <w:szCs w:val="24"/>
        </w:rPr>
      </w:pPr>
      <w:r>
        <w:rPr>
          <w:rFonts w:hint="eastAsia" w:ascii="宋体" w:hAnsi="宋体" w:cs="宋体"/>
          <w:color w:val="auto"/>
          <w:sz w:val="24"/>
          <w:szCs w:val="24"/>
        </w:rPr>
        <w:t>工程名称：</w:t>
      </w:r>
    </w:p>
    <w:p w14:paraId="377613D8">
      <w:pPr>
        <w:widowControl w:val="0"/>
        <w:spacing w:line="480" w:lineRule="auto"/>
        <w:textAlignment w:val="auto"/>
        <w:rPr>
          <w:rFonts w:ascii="宋体" w:hAnsi="宋体" w:cs="宋体"/>
          <w:color w:val="auto"/>
          <w:sz w:val="24"/>
          <w:szCs w:val="24"/>
        </w:rPr>
      </w:pPr>
      <w:r>
        <w:rPr>
          <w:rFonts w:hint="eastAsia" w:ascii="宋体" w:hAnsi="宋体" w:cs="宋体"/>
          <w:color w:val="auto"/>
          <w:sz w:val="24"/>
          <w:szCs w:val="24"/>
        </w:rPr>
        <w:t>投标人名称：</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6139"/>
        <w:gridCol w:w="5981"/>
        <w:gridCol w:w="1259"/>
      </w:tblGrid>
      <w:tr w14:paraId="3D65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4591A0A3">
            <w:pPr>
              <w:widowControl w:val="0"/>
              <w:spacing w:before="120" w:after="60"/>
              <w:jc w:val="center"/>
              <w:textAlignment w:val="auto"/>
              <w:rPr>
                <w:rFonts w:ascii="宋体" w:hAnsi="宋体" w:cs="宋体"/>
                <w:b/>
                <w:color w:val="auto"/>
                <w:szCs w:val="21"/>
              </w:rPr>
            </w:pPr>
            <w:r>
              <w:rPr>
                <w:rFonts w:hint="eastAsia" w:ascii="宋体" w:hAnsi="宋体" w:cs="宋体"/>
                <w:b/>
                <w:color w:val="auto"/>
                <w:szCs w:val="21"/>
              </w:rPr>
              <w:t>序号</w:t>
            </w:r>
          </w:p>
        </w:tc>
        <w:tc>
          <w:tcPr>
            <w:tcW w:w="2092" w:type="pct"/>
            <w:tcBorders>
              <w:top w:val="single" w:color="auto" w:sz="4" w:space="0"/>
              <w:left w:val="single" w:color="auto" w:sz="4" w:space="0"/>
              <w:bottom w:val="single" w:color="auto" w:sz="4" w:space="0"/>
              <w:right w:val="single" w:color="auto" w:sz="4" w:space="0"/>
            </w:tcBorders>
            <w:vAlign w:val="center"/>
          </w:tcPr>
          <w:p w14:paraId="0925CC1F">
            <w:pPr>
              <w:widowControl w:val="0"/>
              <w:spacing w:before="120" w:after="60"/>
              <w:jc w:val="center"/>
              <w:textAlignment w:val="auto"/>
              <w:rPr>
                <w:rFonts w:ascii="宋体" w:hAnsi="宋体" w:cs="宋体"/>
                <w:b/>
                <w:color w:val="auto"/>
                <w:szCs w:val="21"/>
              </w:rPr>
            </w:pPr>
            <w:r>
              <w:rPr>
                <w:rFonts w:hint="eastAsia" w:ascii="宋体" w:hAnsi="宋体" w:cs="宋体"/>
                <w:b/>
                <w:color w:val="auto"/>
                <w:szCs w:val="21"/>
              </w:rPr>
              <w:t>审查项目</w:t>
            </w:r>
          </w:p>
        </w:tc>
        <w:tc>
          <w:tcPr>
            <w:tcW w:w="2038" w:type="pct"/>
            <w:tcBorders>
              <w:top w:val="single" w:color="auto" w:sz="4" w:space="0"/>
              <w:left w:val="single" w:color="auto" w:sz="4" w:space="0"/>
              <w:bottom w:val="single" w:color="auto" w:sz="4" w:space="0"/>
              <w:right w:val="single" w:color="auto" w:sz="4" w:space="0"/>
            </w:tcBorders>
            <w:vAlign w:val="center"/>
          </w:tcPr>
          <w:p w14:paraId="25622482">
            <w:pPr>
              <w:widowControl w:val="0"/>
              <w:spacing w:before="120" w:after="60"/>
              <w:jc w:val="center"/>
              <w:textAlignment w:val="auto"/>
              <w:rPr>
                <w:rFonts w:ascii="宋体" w:hAnsi="宋体" w:cs="宋体"/>
                <w:b/>
                <w:color w:val="auto"/>
                <w:szCs w:val="21"/>
              </w:rPr>
            </w:pPr>
            <w:r>
              <w:rPr>
                <w:rFonts w:hint="eastAsia" w:ascii="宋体" w:hAnsi="宋体" w:cs="宋体"/>
                <w:b/>
                <w:color w:val="auto"/>
                <w:szCs w:val="21"/>
              </w:rPr>
              <w:t>须审查的资料</w:t>
            </w:r>
          </w:p>
        </w:tc>
        <w:tc>
          <w:tcPr>
            <w:tcW w:w="429" w:type="pct"/>
            <w:tcBorders>
              <w:top w:val="single" w:color="auto" w:sz="4" w:space="0"/>
              <w:left w:val="single" w:color="auto" w:sz="4" w:space="0"/>
              <w:bottom w:val="single" w:color="auto" w:sz="4" w:space="0"/>
              <w:right w:val="single" w:color="auto" w:sz="4" w:space="0"/>
            </w:tcBorders>
            <w:vAlign w:val="center"/>
          </w:tcPr>
          <w:p w14:paraId="4334C6C7">
            <w:pPr>
              <w:widowControl w:val="0"/>
              <w:spacing w:before="120" w:after="60"/>
              <w:jc w:val="center"/>
              <w:textAlignment w:val="auto"/>
              <w:rPr>
                <w:rFonts w:ascii="宋体" w:hAnsi="宋体" w:cs="宋体"/>
                <w:b/>
                <w:color w:val="auto"/>
                <w:szCs w:val="21"/>
              </w:rPr>
            </w:pPr>
            <w:r>
              <w:rPr>
                <w:rFonts w:hint="eastAsia" w:ascii="宋体" w:hAnsi="宋体" w:cs="宋体"/>
                <w:b/>
                <w:color w:val="auto"/>
                <w:szCs w:val="21"/>
              </w:rPr>
              <w:t>审查结果</w:t>
            </w:r>
          </w:p>
        </w:tc>
      </w:tr>
      <w:tr w14:paraId="752E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58515838">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1</w:t>
            </w:r>
          </w:p>
        </w:tc>
        <w:tc>
          <w:tcPr>
            <w:tcW w:w="2092" w:type="pct"/>
            <w:tcBorders>
              <w:top w:val="single" w:color="auto" w:sz="4" w:space="0"/>
              <w:left w:val="single" w:color="auto" w:sz="4" w:space="0"/>
              <w:bottom w:val="single" w:color="auto" w:sz="4" w:space="0"/>
              <w:right w:val="single" w:color="auto" w:sz="4" w:space="0"/>
            </w:tcBorders>
            <w:vAlign w:val="center"/>
          </w:tcPr>
          <w:p w14:paraId="338B809F">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投标人参加投标的意思表达清楚，投标人代表被授权有效</w:t>
            </w:r>
          </w:p>
        </w:tc>
        <w:tc>
          <w:tcPr>
            <w:tcW w:w="2038" w:type="pct"/>
            <w:tcBorders>
              <w:top w:val="single" w:color="auto" w:sz="4" w:space="0"/>
              <w:left w:val="single" w:color="auto" w:sz="4" w:space="0"/>
              <w:bottom w:val="single" w:color="auto" w:sz="4" w:space="0"/>
              <w:right w:val="single" w:color="auto" w:sz="4" w:space="0"/>
            </w:tcBorders>
            <w:vAlign w:val="center"/>
          </w:tcPr>
          <w:p w14:paraId="637A3EEC">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投标人声明、法定代表人证明书；委托投标的还应提供法人授权委托证明书</w:t>
            </w:r>
          </w:p>
        </w:tc>
        <w:tc>
          <w:tcPr>
            <w:tcW w:w="429" w:type="pct"/>
            <w:tcBorders>
              <w:top w:val="single" w:color="auto" w:sz="4" w:space="0"/>
              <w:left w:val="single" w:color="auto" w:sz="4" w:space="0"/>
              <w:bottom w:val="single" w:color="auto" w:sz="4" w:space="0"/>
              <w:right w:val="single" w:color="auto" w:sz="4" w:space="0"/>
            </w:tcBorders>
            <w:vAlign w:val="center"/>
          </w:tcPr>
          <w:p w14:paraId="627D1258">
            <w:pPr>
              <w:widowControl w:val="0"/>
              <w:spacing w:before="120" w:after="60"/>
              <w:jc w:val="center"/>
              <w:textAlignment w:val="auto"/>
              <w:rPr>
                <w:rFonts w:ascii="宋体" w:hAnsi="宋体" w:cs="宋体"/>
                <w:color w:val="auto"/>
                <w:szCs w:val="21"/>
              </w:rPr>
            </w:pPr>
          </w:p>
        </w:tc>
      </w:tr>
      <w:tr w14:paraId="469E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6212DC1C">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2</w:t>
            </w:r>
          </w:p>
        </w:tc>
        <w:tc>
          <w:tcPr>
            <w:tcW w:w="2092" w:type="pct"/>
            <w:tcBorders>
              <w:top w:val="single" w:color="auto" w:sz="4" w:space="0"/>
              <w:left w:val="single" w:color="auto" w:sz="4" w:space="0"/>
              <w:bottom w:val="single" w:color="auto" w:sz="4" w:space="0"/>
              <w:right w:val="single" w:color="auto" w:sz="4" w:space="0"/>
            </w:tcBorders>
            <w:vAlign w:val="center"/>
          </w:tcPr>
          <w:p w14:paraId="4B72B11D">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投标人具有独立法人资格，按国家法律经营</w:t>
            </w:r>
          </w:p>
        </w:tc>
        <w:tc>
          <w:tcPr>
            <w:tcW w:w="2038" w:type="pct"/>
            <w:tcBorders>
              <w:top w:val="single" w:color="auto" w:sz="4" w:space="0"/>
              <w:left w:val="single" w:color="auto" w:sz="4" w:space="0"/>
              <w:bottom w:val="single" w:color="auto" w:sz="4" w:space="0"/>
              <w:right w:val="single" w:color="auto" w:sz="4" w:space="0"/>
            </w:tcBorders>
            <w:vAlign w:val="center"/>
          </w:tcPr>
          <w:p w14:paraId="06BF605F">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营业执照扫描件或电子证照</w:t>
            </w:r>
          </w:p>
        </w:tc>
        <w:tc>
          <w:tcPr>
            <w:tcW w:w="429" w:type="pct"/>
            <w:tcBorders>
              <w:top w:val="single" w:color="auto" w:sz="4" w:space="0"/>
              <w:left w:val="single" w:color="auto" w:sz="4" w:space="0"/>
              <w:bottom w:val="single" w:color="auto" w:sz="4" w:space="0"/>
              <w:right w:val="single" w:color="auto" w:sz="4" w:space="0"/>
            </w:tcBorders>
            <w:vAlign w:val="center"/>
          </w:tcPr>
          <w:p w14:paraId="0CD17890">
            <w:pPr>
              <w:widowControl w:val="0"/>
              <w:spacing w:before="120" w:after="60"/>
              <w:jc w:val="center"/>
              <w:textAlignment w:val="auto"/>
              <w:rPr>
                <w:rFonts w:ascii="宋体" w:hAnsi="宋体" w:cs="宋体"/>
                <w:color w:val="auto"/>
                <w:szCs w:val="21"/>
              </w:rPr>
            </w:pPr>
          </w:p>
        </w:tc>
      </w:tr>
      <w:tr w14:paraId="28C5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37068929">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3</w:t>
            </w:r>
          </w:p>
        </w:tc>
        <w:tc>
          <w:tcPr>
            <w:tcW w:w="2092" w:type="pct"/>
            <w:tcBorders>
              <w:top w:val="single" w:color="auto" w:sz="4" w:space="0"/>
              <w:left w:val="single" w:color="auto" w:sz="4" w:space="0"/>
              <w:bottom w:val="single" w:color="auto" w:sz="4" w:space="0"/>
              <w:right w:val="single" w:color="auto" w:sz="4" w:space="0"/>
            </w:tcBorders>
            <w:vAlign w:val="center"/>
          </w:tcPr>
          <w:p w14:paraId="07C6A8D9">
            <w:pPr>
              <w:widowControl w:val="0"/>
              <w:jc w:val="center"/>
              <w:textAlignment w:val="auto"/>
              <w:rPr>
                <w:rFonts w:ascii="宋体" w:hAnsi="宋体" w:cs="宋体"/>
                <w:color w:val="auto"/>
                <w:szCs w:val="21"/>
              </w:rPr>
            </w:pPr>
            <w:r>
              <w:rPr>
                <w:rFonts w:hint="eastAsia" w:ascii="宋体" w:hAnsi="宋体" w:cs="宋体"/>
                <w:color w:val="auto"/>
                <w:szCs w:val="21"/>
              </w:rPr>
              <w:t>投标人持有建设行政主管部门颁发的企业资质证书及安全生产许可证；投标人资质符合公告要求</w:t>
            </w:r>
          </w:p>
        </w:tc>
        <w:tc>
          <w:tcPr>
            <w:tcW w:w="2038" w:type="pct"/>
            <w:tcBorders>
              <w:top w:val="single" w:color="auto" w:sz="4" w:space="0"/>
              <w:left w:val="single" w:color="auto" w:sz="4" w:space="0"/>
              <w:bottom w:val="single" w:color="auto" w:sz="4" w:space="0"/>
              <w:right w:val="single" w:color="auto" w:sz="4" w:space="0"/>
            </w:tcBorders>
            <w:vAlign w:val="center"/>
          </w:tcPr>
          <w:p w14:paraId="18CB7FB0">
            <w:pPr>
              <w:widowControl w:val="0"/>
              <w:jc w:val="center"/>
              <w:textAlignment w:val="auto"/>
              <w:rPr>
                <w:rFonts w:ascii="宋体" w:hAnsi="宋体" w:cs="宋体"/>
                <w:color w:val="auto"/>
                <w:szCs w:val="21"/>
              </w:rPr>
            </w:pPr>
            <w:r>
              <w:rPr>
                <w:rFonts w:hint="eastAsia" w:ascii="宋体" w:hAnsi="宋体" w:cs="宋体"/>
                <w:color w:val="auto"/>
                <w:szCs w:val="21"/>
              </w:rPr>
              <w:t>资质证书扫描件或电子证照、安全生产许可证扫描件或电子证照</w:t>
            </w:r>
          </w:p>
        </w:tc>
        <w:tc>
          <w:tcPr>
            <w:tcW w:w="429" w:type="pct"/>
            <w:tcBorders>
              <w:top w:val="single" w:color="auto" w:sz="4" w:space="0"/>
              <w:left w:val="single" w:color="auto" w:sz="4" w:space="0"/>
              <w:bottom w:val="single" w:color="auto" w:sz="4" w:space="0"/>
              <w:right w:val="single" w:color="auto" w:sz="4" w:space="0"/>
            </w:tcBorders>
            <w:vAlign w:val="center"/>
          </w:tcPr>
          <w:p w14:paraId="4502BFC7">
            <w:pPr>
              <w:widowControl w:val="0"/>
              <w:spacing w:before="120" w:after="60"/>
              <w:jc w:val="center"/>
              <w:textAlignment w:val="auto"/>
              <w:rPr>
                <w:rFonts w:ascii="宋体" w:hAnsi="宋体" w:cs="宋体"/>
                <w:color w:val="auto"/>
                <w:szCs w:val="21"/>
              </w:rPr>
            </w:pPr>
          </w:p>
        </w:tc>
      </w:tr>
      <w:tr w14:paraId="2519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21E0563D">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4</w:t>
            </w:r>
          </w:p>
        </w:tc>
        <w:tc>
          <w:tcPr>
            <w:tcW w:w="2092" w:type="pct"/>
            <w:tcBorders>
              <w:top w:val="single" w:color="auto" w:sz="4" w:space="0"/>
              <w:left w:val="single" w:color="auto" w:sz="4" w:space="0"/>
              <w:bottom w:val="single" w:color="auto" w:sz="4" w:space="0"/>
              <w:right w:val="single" w:color="auto" w:sz="4" w:space="0"/>
            </w:tcBorders>
            <w:vAlign w:val="center"/>
          </w:tcPr>
          <w:p w14:paraId="638771C0">
            <w:pPr>
              <w:widowControl w:val="0"/>
              <w:jc w:val="center"/>
              <w:textAlignment w:val="auto"/>
              <w:rPr>
                <w:rFonts w:ascii="宋体" w:hAnsi="宋体" w:cs="宋体"/>
                <w:color w:val="auto"/>
                <w:szCs w:val="21"/>
              </w:rPr>
            </w:pPr>
            <w:r>
              <w:rPr>
                <w:rFonts w:hint="eastAsia" w:ascii="宋体" w:hAnsi="宋体" w:cs="宋体"/>
                <w:color w:val="auto"/>
                <w:szCs w:val="21"/>
              </w:rPr>
              <w:t>投标人拟担任本工程项目负责人符合公告要求</w:t>
            </w:r>
          </w:p>
        </w:tc>
        <w:tc>
          <w:tcPr>
            <w:tcW w:w="2038" w:type="pct"/>
            <w:tcBorders>
              <w:top w:val="single" w:color="auto" w:sz="4" w:space="0"/>
              <w:left w:val="single" w:color="auto" w:sz="4" w:space="0"/>
              <w:bottom w:val="single" w:color="auto" w:sz="4" w:space="0"/>
              <w:right w:val="single" w:color="auto" w:sz="4" w:space="0"/>
            </w:tcBorders>
            <w:vAlign w:val="center"/>
          </w:tcPr>
          <w:p w14:paraId="7F729113">
            <w:pPr>
              <w:widowControl w:val="0"/>
              <w:jc w:val="center"/>
              <w:textAlignment w:val="auto"/>
              <w:rPr>
                <w:rFonts w:ascii="宋体" w:hAnsi="宋体" w:cs="宋体"/>
                <w:color w:val="auto"/>
                <w:szCs w:val="21"/>
              </w:rPr>
            </w:pPr>
            <w:r>
              <w:rPr>
                <w:rFonts w:hint="eastAsia" w:ascii="宋体" w:hAnsi="宋体" w:cs="宋体"/>
                <w:color w:val="auto"/>
                <w:szCs w:val="21"/>
              </w:rPr>
              <w:t>有效期内的建造师注册证书扫描件或电子证书（注：打印建造师电子证书后，在个人签名处手写本人签名再扫描提交。）</w:t>
            </w:r>
          </w:p>
        </w:tc>
        <w:tc>
          <w:tcPr>
            <w:tcW w:w="429" w:type="pct"/>
            <w:tcBorders>
              <w:top w:val="single" w:color="auto" w:sz="4" w:space="0"/>
              <w:left w:val="single" w:color="auto" w:sz="4" w:space="0"/>
              <w:bottom w:val="single" w:color="auto" w:sz="4" w:space="0"/>
              <w:right w:val="single" w:color="auto" w:sz="4" w:space="0"/>
            </w:tcBorders>
            <w:vAlign w:val="center"/>
          </w:tcPr>
          <w:p w14:paraId="040F73F3">
            <w:pPr>
              <w:widowControl w:val="0"/>
              <w:spacing w:before="120" w:after="60"/>
              <w:jc w:val="center"/>
              <w:textAlignment w:val="auto"/>
              <w:rPr>
                <w:rFonts w:ascii="宋体" w:hAnsi="宋体" w:cs="宋体"/>
                <w:color w:val="auto"/>
                <w:szCs w:val="21"/>
              </w:rPr>
            </w:pPr>
          </w:p>
        </w:tc>
      </w:tr>
      <w:tr w14:paraId="7B52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5754A5F0">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5</w:t>
            </w:r>
          </w:p>
        </w:tc>
        <w:tc>
          <w:tcPr>
            <w:tcW w:w="2092" w:type="pct"/>
            <w:tcBorders>
              <w:top w:val="single" w:color="auto" w:sz="4" w:space="0"/>
              <w:left w:val="single" w:color="auto" w:sz="4" w:space="0"/>
              <w:bottom w:val="single" w:color="auto" w:sz="4" w:space="0"/>
              <w:right w:val="single" w:color="auto" w:sz="4" w:space="0"/>
            </w:tcBorders>
            <w:vAlign w:val="center"/>
          </w:tcPr>
          <w:p w14:paraId="0BBCA5E9">
            <w:pPr>
              <w:widowControl w:val="0"/>
              <w:jc w:val="center"/>
              <w:textAlignment w:val="auto"/>
              <w:rPr>
                <w:rFonts w:ascii="宋体" w:hAnsi="宋体" w:cs="宋体"/>
                <w:color w:val="auto"/>
                <w:szCs w:val="21"/>
              </w:rPr>
            </w:pPr>
            <w:r>
              <w:rPr>
                <w:rFonts w:hint="eastAsia" w:ascii="宋体" w:hAnsi="宋体" w:cs="宋体"/>
                <w:color w:val="auto"/>
                <w:szCs w:val="21"/>
              </w:rPr>
              <w:t>持有项目负责人安全生产考核合格证（B类）或建筑施工企业项目负责人安全生产考核合格证</w:t>
            </w:r>
          </w:p>
        </w:tc>
        <w:tc>
          <w:tcPr>
            <w:tcW w:w="2038" w:type="pct"/>
            <w:tcBorders>
              <w:top w:val="single" w:color="auto" w:sz="4" w:space="0"/>
              <w:left w:val="single" w:color="auto" w:sz="4" w:space="0"/>
              <w:bottom w:val="single" w:color="auto" w:sz="4" w:space="0"/>
              <w:right w:val="single" w:color="auto" w:sz="4" w:space="0"/>
            </w:tcBorders>
            <w:vAlign w:val="center"/>
          </w:tcPr>
          <w:p w14:paraId="351B461B">
            <w:pPr>
              <w:widowControl w:val="0"/>
              <w:jc w:val="center"/>
              <w:textAlignment w:val="auto"/>
              <w:rPr>
                <w:rFonts w:ascii="宋体" w:hAnsi="宋体" w:cs="宋体"/>
                <w:color w:val="auto"/>
                <w:szCs w:val="21"/>
              </w:rPr>
            </w:pPr>
            <w:r>
              <w:rPr>
                <w:rFonts w:hint="eastAsia" w:ascii="宋体" w:hAnsi="宋体" w:cs="宋体"/>
                <w:color w:val="auto"/>
                <w:szCs w:val="21"/>
              </w:rPr>
              <w:t>项目负责人安全生产考核合格证（B类）或建筑施工企业项目负责人安全生产考核合格证证书扫描件或电子证书</w:t>
            </w:r>
          </w:p>
        </w:tc>
        <w:tc>
          <w:tcPr>
            <w:tcW w:w="429" w:type="pct"/>
            <w:tcBorders>
              <w:top w:val="single" w:color="auto" w:sz="4" w:space="0"/>
              <w:left w:val="single" w:color="auto" w:sz="4" w:space="0"/>
              <w:bottom w:val="single" w:color="auto" w:sz="4" w:space="0"/>
              <w:right w:val="single" w:color="auto" w:sz="4" w:space="0"/>
            </w:tcBorders>
            <w:vAlign w:val="center"/>
          </w:tcPr>
          <w:p w14:paraId="48397940">
            <w:pPr>
              <w:widowControl w:val="0"/>
              <w:spacing w:before="120" w:after="60"/>
              <w:jc w:val="center"/>
              <w:textAlignment w:val="auto"/>
              <w:rPr>
                <w:rFonts w:ascii="宋体" w:hAnsi="宋体" w:cs="宋体"/>
                <w:color w:val="auto"/>
                <w:szCs w:val="21"/>
              </w:rPr>
            </w:pPr>
          </w:p>
        </w:tc>
      </w:tr>
      <w:tr w14:paraId="76A6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374DDC49">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6</w:t>
            </w:r>
          </w:p>
        </w:tc>
        <w:tc>
          <w:tcPr>
            <w:tcW w:w="2092" w:type="pct"/>
            <w:tcBorders>
              <w:top w:val="single" w:color="auto" w:sz="4" w:space="0"/>
              <w:left w:val="single" w:color="auto" w:sz="4" w:space="0"/>
              <w:bottom w:val="single" w:color="auto" w:sz="4" w:space="0"/>
              <w:right w:val="single" w:color="auto" w:sz="4" w:space="0"/>
            </w:tcBorders>
            <w:vAlign w:val="center"/>
          </w:tcPr>
          <w:p w14:paraId="7E600786">
            <w:pPr>
              <w:widowControl w:val="0"/>
              <w:jc w:val="center"/>
              <w:textAlignment w:val="auto"/>
              <w:rPr>
                <w:rFonts w:ascii="宋体" w:hAnsi="宋体" w:cs="宋体"/>
                <w:color w:val="auto"/>
                <w:szCs w:val="21"/>
              </w:rPr>
            </w:pPr>
            <w:r>
              <w:rPr>
                <w:rFonts w:hint="eastAsia" w:ascii="宋体" w:hAnsi="宋体" w:cs="宋体"/>
                <w:color w:val="auto"/>
                <w:szCs w:val="21"/>
              </w:rPr>
              <w:t>投标人拟担任本工程技术负责人符合公告要求</w:t>
            </w:r>
          </w:p>
        </w:tc>
        <w:tc>
          <w:tcPr>
            <w:tcW w:w="2038" w:type="pct"/>
            <w:tcBorders>
              <w:top w:val="single" w:color="auto" w:sz="4" w:space="0"/>
              <w:left w:val="single" w:color="auto" w:sz="4" w:space="0"/>
              <w:bottom w:val="single" w:color="auto" w:sz="4" w:space="0"/>
              <w:right w:val="single" w:color="auto" w:sz="4" w:space="0"/>
            </w:tcBorders>
            <w:vAlign w:val="center"/>
          </w:tcPr>
          <w:p w14:paraId="1D09448D">
            <w:pPr>
              <w:widowControl w:val="0"/>
              <w:jc w:val="center"/>
              <w:textAlignment w:val="auto"/>
              <w:rPr>
                <w:rFonts w:ascii="宋体" w:hAnsi="宋体" w:cs="宋体"/>
                <w:color w:val="auto"/>
                <w:szCs w:val="21"/>
              </w:rPr>
            </w:pPr>
            <w:r>
              <w:rPr>
                <w:rFonts w:hint="eastAsia" w:ascii="宋体" w:hAnsi="宋体" w:cs="宋体"/>
                <w:color w:val="auto"/>
                <w:szCs w:val="21"/>
              </w:rPr>
              <w:t>拟委托技术负责人的职称证书扫描件</w:t>
            </w:r>
          </w:p>
        </w:tc>
        <w:tc>
          <w:tcPr>
            <w:tcW w:w="429" w:type="pct"/>
            <w:tcBorders>
              <w:top w:val="single" w:color="auto" w:sz="4" w:space="0"/>
              <w:left w:val="single" w:color="auto" w:sz="4" w:space="0"/>
              <w:bottom w:val="single" w:color="auto" w:sz="4" w:space="0"/>
              <w:right w:val="single" w:color="auto" w:sz="4" w:space="0"/>
            </w:tcBorders>
            <w:vAlign w:val="center"/>
          </w:tcPr>
          <w:p w14:paraId="5D47EEF3">
            <w:pPr>
              <w:widowControl w:val="0"/>
              <w:spacing w:before="120" w:after="60"/>
              <w:jc w:val="center"/>
              <w:textAlignment w:val="auto"/>
              <w:rPr>
                <w:rFonts w:ascii="宋体" w:hAnsi="宋体" w:cs="宋体"/>
                <w:color w:val="auto"/>
                <w:szCs w:val="21"/>
              </w:rPr>
            </w:pPr>
          </w:p>
        </w:tc>
      </w:tr>
      <w:tr w14:paraId="7679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5E3DF687">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7</w:t>
            </w:r>
          </w:p>
        </w:tc>
        <w:tc>
          <w:tcPr>
            <w:tcW w:w="2092" w:type="pct"/>
            <w:tcBorders>
              <w:top w:val="single" w:color="auto" w:sz="4" w:space="0"/>
              <w:left w:val="single" w:color="auto" w:sz="4" w:space="0"/>
              <w:bottom w:val="single" w:color="auto" w:sz="4" w:space="0"/>
              <w:right w:val="single" w:color="auto" w:sz="4" w:space="0"/>
            </w:tcBorders>
            <w:vAlign w:val="center"/>
          </w:tcPr>
          <w:p w14:paraId="19C9A2AF">
            <w:pPr>
              <w:widowControl w:val="0"/>
              <w:jc w:val="center"/>
              <w:textAlignment w:val="auto"/>
              <w:rPr>
                <w:rFonts w:ascii="宋体" w:hAnsi="宋体" w:cs="宋体"/>
                <w:color w:val="auto"/>
                <w:szCs w:val="21"/>
              </w:rPr>
            </w:pPr>
            <w:r>
              <w:rPr>
                <w:rFonts w:hint="eastAsia" w:ascii="宋体" w:hAnsi="宋体" w:cs="宋体"/>
                <w:color w:val="auto"/>
                <w:szCs w:val="21"/>
              </w:rPr>
              <w:t>专职安全员须具有在有效期内的安全生产考核合格证（C类）或建筑施工企业专职安全生产管理人员安全生产考核合格证书（C3）</w:t>
            </w:r>
          </w:p>
        </w:tc>
        <w:tc>
          <w:tcPr>
            <w:tcW w:w="2038" w:type="pct"/>
            <w:tcBorders>
              <w:top w:val="single" w:color="auto" w:sz="4" w:space="0"/>
              <w:left w:val="single" w:color="auto" w:sz="4" w:space="0"/>
              <w:bottom w:val="single" w:color="auto" w:sz="4" w:space="0"/>
              <w:right w:val="single" w:color="auto" w:sz="4" w:space="0"/>
            </w:tcBorders>
            <w:vAlign w:val="center"/>
          </w:tcPr>
          <w:p w14:paraId="1FF590C1">
            <w:pPr>
              <w:widowControl w:val="0"/>
              <w:jc w:val="center"/>
              <w:textAlignment w:val="auto"/>
              <w:rPr>
                <w:rFonts w:ascii="宋体" w:hAnsi="宋体" w:cs="宋体"/>
                <w:color w:val="auto"/>
                <w:szCs w:val="21"/>
              </w:rPr>
            </w:pPr>
            <w:r>
              <w:rPr>
                <w:rFonts w:hint="eastAsia" w:ascii="宋体" w:hAnsi="宋体" w:cs="宋体"/>
                <w:color w:val="auto"/>
                <w:szCs w:val="21"/>
              </w:rPr>
              <w:t>专职安全员的安全生产考核合格证（C类）或建筑施工企业专职安全生产管理人员安全生产考核合格证书扫描件或电子证书（C3）</w:t>
            </w:r>
          </w:p>
        </w:tc>
        <w:tc>
          <w:tcPr>
            <w:tcW w:w="429" w:type="pct"/>
            <w:tcBorders>
              <w:top w:val="single" w:color="auto" w:sz="4" w:space="0"/>
              <w:left w:val="single" w:color="auto" w:sz="4" w:space="0"/>
              <w:bottom w:val="single" w:color="auto" w:sz="4" w:space="0"/>
              <w:right w:val="single" w:color="auto" w:sz="4" w:space="0"/>
            </w:tcBorders>
            <w:vAlign w:val="center"/>
          </w:tcPr>
          <w:p w14:paraId="27D39BB4">
            <w:pPr>
              <w:widowControl w:val="0"/>
              <w:spacing w:before="120" w:after="60"/>
              <w:jc w:val="center"/>
              <w:textAlignment w:val="auto"/>
              <w:rPr>
                <w:rFonts w:ascii="宋体" w:hAnsi="宋体" w:cs="宋体"/>
                <w:color w:val="auto"/>
                <w:szCs w:val="21"/>
              </w:rPr>
            </w:pPr>
          </w:p>
        </w:tc>
      </w:tr>
      <w:tr w14:paraId="3EBE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10D61EEE">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8</w:t>
            </w:r>
          </w:p>
        </w:tc>
        <w:tc>
          <w:tcPr>
            <w:tcW w:w="2092" w:type="pct"/>
            <w:tcBorders>
              <w:top w:val="single" w:color="auto" w:sz="4" w:space="0"/>
              <w:left w:val="single" w:color="auto" w:sz="4" w:space="0"/>
              <w:bottom w:val="single" w:color="auto" w:sz="4" w:space="0"/>
              <w:right w:val="single" w:color="auto" w:sz="4" w:space="0"/>
            </w:tcBorders>
            <w:vAlign w:val="center"/>
          </w:tcPr>
          <w:p w14:paraId="227050F6">
            <w:pPr>
              <w:widowControl w:val="0"/>
              <w:jc w:val="center"/>
              <w:textAlignment w:val="auto"/>
              <w:rPr>
                <w:rFonts w:ascii="宋体" w:hAnsi="宋体" w:cs="宋体"/>
                <w:color w:val="auto"/>
                <w:szCs w:val="21"/>
              </w:rPr>
            </w:pPr>
            <w:r>
              <w:rPr>
                <w:rFonts w:hint="eastAsia" w:ascii="宋体" w:hAnsi="宋体" w:cs="宋体"/>
                <w:color w:val="auto"/>
                <w:szCs w:val="21"/>
              </w:rPr>
              <w:t>投标人提供的投标人声明符合公告要求</w:t>
            </w:r>
          </w:p>
        </w:tc>
        <w:tc>
          <w:tcPr>
            <w:tcW w:w="2038" w:type="pct"/>
            <w:tcBorders>
              <w:top w:val="single" w:color="auto" w:sz="4" w:space="0"/>
              <w:left w:val="single" w:color="auto" w:sz="4" w:space="0"/>
              <w:bottom w:val="single" w:color="auto" w:sz="4" w:space="0"/>
              <w:right w:val="single" w:color="auto" w:sz="4" w:space="0"/>
            </w:tcBorders>
            <w:vAlign w:val="center"/>
          </w:tcPr>
          <w:p w14:paraId="31C9C6BD">
            <w:pPr>
              <w:widowControl w:val="0"/>
              <w:jc w:val="center"/>
              <w:textAlignment w:val="auto"/>
              <w:rPr>
                <w:rFonts w:ascii="宋体" w:hAnsi="宋体" w:cs="宋体"/>
                <w:color w:val="auto"/>
                <w:szCs w:val="21"/>
              </w:rPr>
            </w:pPr>
            <w:r>
              <w:rPr>
                <w:rFonts w:hint="eastAsia" w:ascii="宋体" w:hAnsi="宋体" w:cs="宋体"/>
                <w:color w:val="auto"/>
                <w:szCs w:val="21"/>
              </w:rPr>
              <w:t>投标人声明</w:t>
            </w:r>
          </w:p>
        </w:tc>
        <w:tc>
          <w:tcPr>
            <w:tcW w:w="429" w:type="pct"/>
            <w:tcBorders>
              <w:top w:val="single" w:color="auto" w:sz="4" w:space="0"/>
              <w:left w:val="single" w:color="auto" w:sz="4" w:space="0"/>
              <w:bottom w:val="single" w:color="auto" w:sz="4" w:space="0"/>
              <w:right w:val="single" w:color="auto" w:sz="4" w:space="0"/>
            </w:tcBorders>
            <w:vAlign w:val="center"/>
          </w:tcPr>
          <w:p w14:paraId="327A12CC">
            <w:pPr>
              <w:widowControl w:val="0"/>
              <w:spacing w:before="120" w:after="60"/>
              <w:jc w:val="center"/>
              <w:textAlignment w:val="auto"/>
              <w:rPr>
                <w:rFonts w:ascii="宋体" w:hAnsi="宋体" w:cs="宋体"/>
                <w:color w:val="auto"/>
                <w:szCs w:val="21"/>
              </w:rPr>
            </w:pPr>
          </w:p>
        </w:tc>
      </w:tr>
      <w:tr w14:paraId="790A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10E51276">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9</w:t>
            </w:r>
          </w:p>
        </w:tc>
        <w:tc>
          <w:tcPr>
            <w:tcW w:w="2092" w:type="pct"/>
            <w:tcBorders>
              <w:top w:val="single" w:color="auto" w:sz="4" w:space="0"/>
              <w:left w:val="single" w:color="auto" w:sz="4" w:space="0"/>
              <w:bottom w:val="single" w:color="auto" w:sz="4" w:space="0"/>
              <w:right w:val="single" w:color="auto" w:sz="4" w:space="0"/>
            </w:tcBorders>
            <w:vAlign w:val="center"/>
          </w:tcPr>
          <w:p w14:paraId="17712B82">
            <w:pPr>
              <w:widowControl w:val="0"/>
              <w:jc w:val="center"/>
              <w:textAlignment w:val="auto"/>
              <w:rPr>
                <w:rFonts w:ascii="宋体" w:hAnsi="宋体" w:cs="宋体"/>
                <w:color w:val="auto"/>
                <w:szCs w:val="21"/>
              </w:rPr>
            </w:pPr>
            <w:r>
              <w:rPr>
                <w:rFonts w:hint="eastAsia" w:ascii="宋体" w:hAnsi="宋体" w:cs="宋体"/>
                <w:color w:val="auto"/>
                <w:szCs w:val="21"/>
              </w:rPr>
              <w:t>投标人声明中签字的项目负责人和技术负责人与本项目拟派的项目负责人和技术负责人一致</w:t>
            </w:r>
          </w:p>
        </w:tc>
        <w:tc>
          <w:tcPr>
            <w:tcW w:w="2038" w:type="pct"/>
            <w:tcBorders>
              <w:top w:val="single" w:color="auto" w:sz="4" w:space="0"/>
              <w:left w:val="single" w:color="auto" w:sz="4" w:space="0"/>
              <w:bottom w:val="single" w:color="auto" w:sz="4" w:space="0"/>
              <w:right w:val="single" w:color="auto" w:sz="4" w:space="0"/>
            </w:tcBorders>
            <w:vAlign w:val="center"/>
          </w:tcPr>
          <w:p w14:paraId="6A2D1671">
            <w:pPr>
              <w:widowControl w:val="0"/>
              <w:jc w:val="center"/>
              <w:textAlignment w:val="auto"/>
              <w:rPr>
                <w:rFonts w:ascii="宋体" w:hAnsi="宋体" w:cs="宋体"/>
                <w:color w:val="auto"/>
                <w:szCs w:val="21"/>
              </w:rPr>
            </w:pPr>
            <w:r>
              <w:rPr>
                <w:rFonts w:hint="eastAsia" w:ascii="宋体" w:hAnsi="宋体" w:cs="宋体"/>
                <w:color w:val="auto"/>
                <w:szCs w:val="21"/>
              </w:rPr>
              <w:t>网上投标时选择拟投标的项目负责人、资格审查文件中拟委派的技术负责人及投标人声明</w:t>
            </w:r>
          </w:p>
        </w:tc>
        <w:tc>
          <w:tcPr>
            <w:tcW w:w="429" w:type="pct"/>
            <w:tcBorders>
              <w:top w:val="single" w:color="auto" w:sz="4" w:space="0"/>
              <w:left w:val="single" w:color="auto" w:sz="4" w:space="0"/>
              <w:bottom w:val="single" w:color="auto" w:sz="4" w:space="0"/>
              <w:right w:val="single" w:color="auto" w:sz="4" w:space="0"/>
            </w:tcBorders>
            <w:vAlign w:val="center"/>
          </w:tcPr>
          <w:p w14:paraId="71E11223">
            <w:pPr>
              <w:widowControl w:val="0"/>
              <w:spacing w:before="120" w:after="60"/>
              <w:jc w:val="center"/>
              <w:textAlignment w:val="auto"/>
              <w:rPr>
                <w:rFonts w:ascii="宋体" w:hAnsi="宋体" w:cs="宋体"/>
                <w:color w:val="auto"/>
                <w:szCs w:val="21"/>
              </w:rPr>
            </w:pPr>
          </w:p>
        </w:tc>
      </w:tr>
      <w:tr w14:paraId="2361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4DCB9283">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10</w:t>
            </w:r>
          </w:p>
        </w:tc>
        <w:tc>
          <w:tcPr>
            <w:tcW w:w="2092" w:type="pct"/>
            <w:tcBorders>
              <w:top w:val="single" w:color="auto" w:sz="4" w:space="0"/>
              <w:left w:val="single" w:color="auto" w:sz="4" w:space="0"/>
              <w:bottom w:val="single" w:color="auto" w:sz="4" w:space="0"/>
              <w:right w:val="single" w:color="auto" w:sz="4" w:space="0"/>
            </w:tcBorders>
            <w:vAlign w:val="center"/>
          </w:tcPr>
          <w:p w14:paraId="79CA7BC4">
            <w:pPr>
              <w:widowControl w:val="0"/>
              <w:spacing w:before="120" w:after="60"/>
              <w:jc w:val="center"/>
              <w:textAlignment w:val="auto"/>
              <w:rPr>
                <w:rFonts w:ascii="宋体" w:hAnsi="宋体" w:cs="宋体"/>
                <w:color w:val="auto"/>
                <w:szCs w:val="21"/>
                <w:u w:val="single"/>
              </w:rPr>
            </w:pPr>
            <w:r>
              <w:rPr>
                <w:rFonts w:hint="eastAsia" w:ascii="宋体" w:hAnsi="宋体" w:cs="宋体"/>
                <w:color w:val="auto"/>
                <w:szCs w:val="21"/>
              </w:rPr>
              <w:t>关于联合体投标：本项目不接受联合体投标。</w:t>
            </w:r>
          </w:p>
        </w:tc>
        <w:tc>
          <w:tcPr>
            <w:tcW w:w="2038" w:type="pct"/>
            <w:tcBorders>
              <w:top w:val="single" w:color="auto" w:sz="4" w:space="0"/>
              <w:left w:val="single" w:color="auto" w:sz="4" w:space="0"/>
              <w:bottom w:val="single" w:color="auto" w:sz="4" w:space="0"/>
              <w:right w:val="single" w:color="auto" w:sz="4" w:space="0"/>
            </w:tcBorders>
            <w:vAlign w:val="center"/>
          </w:tcPr>
          <w:p w14:paraId="19AF75E4">
            <w:pPr>
              <w:widowControl w:val="0"/>
              <w:spacing w:before="120" w:after="60"/>
              <w:jc w:val="center"/>
              <w:textAlignment w:val="auto"/>
              <w:rPr>
                <w:rFonts w:ascii="宋体" w:hAnsi="宋体" w:cs="宋体"/>
                <w:color w:val="auto"/>
                <w:szCs w:val="21"/>
                <w:u w:val="single"/>
              </w:rPr>
            </w:pPr>
            <w:r>
              <w:rPr>
                <w:rFonts w:hint="eastAsia"/>
                <w:color w:val="auto"/>
              </w:rPr>
              <w:t>未以联合体进行投标</w:t>
            </w:r>
          </w:p>
        </w:tc>
        <w:tc>
          <w:tcPr>
            <w:tcW w:w="429" w:type="pct"/>
            <w:tcBorders>
              <w:top w:val="single" w:color="auto" w:sz="4" w:space="0"/>
              <w:left w:val="single" w:color="auto" w:sz="4" w:space="0"/>
              <w:bottom w:val="single" w:color="auto" w:sz="4" w:space="0"/>
              <w:right w:val="single" w:color="auto" w:sz="4" w:space="0"/>
            </w:tcBorders>
            <w:vAlign w:val="center"/>
          </w:tcPr>
          <w:p w14:paraId="4F722CF6">
            <w:pPr>
              <w:widowControl w:val="0"/>
              <w:spacing w:before="120" w:after="60"/>
              <w:jc w:val="center"/>
              <w:textAlignment w:val="auto"/>
              <w:rPr>
                <w:rFonts w:ascii="宋体" w:hAnsi="宋体" w:cs="宋体"/>
                <w:color w:val="auto"/>
                <w:szCs w:val="21"/>
              </w:rPr>
            </w:pPr>
          </w:p>
        </w:tc>
      </w:tr>
      <w:tr w14:paraId="233B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44A0F690">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11</w:t>
            </w:r>
          </w:p>
        </w:tc>
        <w:tc>
          <w:tcPr>
            <w:tcW w:w="2092" w:type="pct"/>
            <w:tcBorders>
              <w:top w:val="single" w:color="auto" w:sz="4" w:space="0"/>
              <w:left w:val="single" w:color="auto" w:sz="4" w:space="0"/>
              <w:bottom w:val="single" w:color="auto" w:sz="4" w:space="0"/>
              <w:right w:val="single" w:color="auto" w:sz="4" w:space="0"/>
            </w:tcBorders>
            <w:vAlign w:val="center"/>
          </w:tcPr>
          <w:p w14:paraId="51C8A286">
            <w:pPr>
              <w:widowControl w:val="0"/>
              <w:jc w:val="center"/>
              <w:textAlignment w:val="auto"/>
              <w:rPr>
                <w:rFonts w:ascii="宋体" w:hAnsi="宋体" w:cs="宋体"/>
                <w:color w:val="auto"/>
                <w:szCs w:val="21"/>
              </w:rPr>
            </w:pPr>
            <w:r>
              <w:rPr>
                <w:rFonts w:hint="eastAsia" w:ascii="宋体" w:hAnsi="宋体" w:cs="宋体"/>
                <w:color w:val="auto"/>
                <w:szCs w:val="21"/>
              </w:rPr>
              <w:t>资格审查前，投标人须在广州市住房和城乡建设局建立企业信用档案及拟担任本工程项目负责人、专职安全员须是本企业中的在册人员</w:t>
            </w:r>
          </w:p>
        </w:tc>
        <w:tc>
          <w:tcPr>
            <w:tcW w:w="2038" w:type="pct"/>
            <w:tcBorders>
              <w:top w:val="single" w:color="auto" w:sz="4" w:space="0"/>
              <w:left w:val="single" w:color="auto" w:sz="4" w:space="0"/>
              <w:bottom w:val="single" w:color="auto" w:sz="4" w:space="0"/>
              <w:right w:val="single" w:color="auto" w:sz="4" w:space="0"/>
            </w:tcBorders>
            <w:vAlign w:val="center"/>
          </w:tcPr>
          <w:p w14:paraId="4435479B">
            <w:pPr>
              <w:widowControl w:val="0"/>
              <w:jc w:val="center"/>
              <w:textAlignment w:val="auto"/>
              <w:rPr>
                <w:rFonts w:ascii="宋体" w:hAnsi="宋体" w:cs="宋体"/>
                <w:color w:val="auto"/>
                <w:szCs w:val="21"/>
              </w:rPr>
            </w:pPr>
            <w:r>
              <w:rPr>
                <w:rFonts w:hint="eastAsia" w:ascii="宋体" w:hAnsi="宋体" w:cs="宋体"/>
                <w:color w:val="auto"/>
                <w:szCs w:val="21"/>
              </w:rPr>
              <w:t>投标人在广州市住建行业信用管理平台内企业信用档案的企业和人员信息（企业信用档案取自投标截止时间投标人在信用管理平台的信息，投标人无需提交相关资料）</w:t>
            </w:r>
          </w:p>
        </w:tc>
        <w:tc>
          <w:tcPr>
            <w:tcW w:w="429" w:type="pct"/>
            <w:tcBorders>
              <w:top w:val="single" w:color="auto" w:sz="4" w:space="0"/>
              <w:left w:val="single" w:color="auto" w:sz="4" w:space="0"/>
              <w:bottom w:val="single" w:color="auto" w:sz="4" w:space="0"/>
              <w:right w:val="single" w:color="auto" w:sz="4" w:space="0"/>
            </w:tcBorders>
            <w:vAlign w:val="center"/>
          </w:tcPr>
          <w:p w14:paraId="59D0519D">
            <w:pPr>
              <w:widowControl w:val="0"/>
              <w:spacing w:before="120" w:after="60"/>
              <w:jc w:val="center"/>
              <w:textAlignment w:val="auto"/>
              <w:rPr>
                <w:rFonts w:ascii="宋体" w:hAnsi="宋体" w:cs="宋体"/>
                <w:color w:val="auto"/>
                <w:szCs w:val="21"/>
              </w:rPr>
            </w:pPr>
          </w:p>
        </w:tc>
      </w:tr>
      <w:tr w14:paraId="168A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7592A01E">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12</w:t>
            </w:r>
          </w:p>
        </w:tc>
        <w:tc>
          <w:tcPr>
            <w:tcW w:w="2092" w:type="pct"/>
            <w:tcBorders>
              <w:top w:val="single" w:color="auto" w:sz="4" w:space="0"/>
              <w:left w:val="single" w:color="auto" w:sz="4" w:space="0"/>
              <w:bottom w:val="single" w:color="auto" w:sz="4" w:space="0"/>
              <w:right w:val="single" w:color="auto" w:sz="4" w:space="0"/>
            </w:tcBorders>
            <w:vAlign w:val="center"/>
          </w:tcPr>
          <w:p w14:paraId="5CC5CA05">
            <w:pPr>
              <w:widowControl w:val="0"/>
              <w:jc w:val="center"/>
              <w:textAlignment w:val="auto"/>
              <w:rPr>
                <w:rFonts w:ascii="宋体" w:hAnsi="宋体" w:cs="宋体"/>
                <w:color w:val="auto"/>
                <w:szCs w:val="21"/>
              </w:rPr>
            </w:pPr>
            <w:r>
              <w:rPr>
                <w:rFonts w:hint="eastAsia" w:ascii="宋体" w:hAnsi="宋体" w:cs="宋体"/>
                <w:color w:val="auto"/>
                <w:szCs w:val="21"/>
              </w:rPr>
              <w:t>投标人未出现以下情形：与其它投标人的单位负责人为同一人或者存在控股、管理关系的（按投标人提供的《投标人声明》第八条内容进行评审）。</w:t>
            </w:r>
          </w:p>
        </w:tc>
        <w:tc>
          <w:tcPr>
            <w:tcW w:w="2038" w:type="pct"/>
            <w:tcBorders>
              <w:top w:val="single" w:color="auto" w:sz="4" w:space="0"/>
              <w:left w:val="single" w:color="auto" w:sz="4" w:space="0"/>
              <w:bottom w:val="single" w:color="auto" w:sz="4" w:space="0"/>
              <w:right w:val="single" w:color="auto" w:sz="4" w:space="0"/>
            </w:tcBorders>
            <w:vAlign w:val="center"/>
          </w:tcPr>
          <w:p w14:paraId="33E503F5">
            <w:pPr>
              <w:widowControl w:val="0"/>
              <w:jc w:val="center"/>
              <w:textAlignment w:val="auto"/>
              <w:rPr>
                <w:rFonts w:ascii="宋体" w:hAnsi="宋体" w:cs="宋体"/>
                <w:color w:val="auto"/>
                <w:szCs w:val="21"/>
              </w:rPr>
            </w:pPr>
            <w:r>
              <w:rPr>
                <w:rFonts w:hint="eastAsia" w:ascii="宋体" w:hAnsi="宋体" w:cs="宋体"/>
                <w:color w:val="auto"/>
                <w:szCs w:val="21"/>
              </w:rPr>
              <w:t>投标人声明</w:t>
            </w:r>
          </w:p>
        </w:tc>
        <w:tc>
          <w:tcPr>
            <w:tcW w:w="429" w:type="pct"/>
            <w:tcBorders>
              <w:top w:val="single" w:color="auto" w:sz="4" w:space="0"/>
              <w:left w:val="single" w:color="auto" w:sz="4" w:space="0"/>
              <w:bottom w:val="single" w:color="auto" w:sz="4" w:space="0"/>
              <w:right w:val="single" w:color="auto" w:sz="4" w:space="0"/>
            </w:tcBorders>
            <w:vAlign w:val="center"/>
          </w:tcPr>
          <w:p w14:paraId="13F88573">
            <w:pPr>
              <w:widowControl w:val="0"/>
              <w:spacing w:before="120" w:after="60"/>
              <w:jc w:val="center"/>
              <w:textAlignment w:val="auto"/>
              <w:rPr>
                <w:rFonts w:ascii="宋体" w:hAnsi="宋体" w:cs="宋体"/>
                <w:color w:val="auto"/>
                <w:szCs w:val="21"/>
              </w:rPr>
            </w:pPr>
          </w:p>
        </w:tc>
      </w:tr>
      <w:tr w14:paraId="7BE3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vAlign w:val="center"/>
          </w:tcPr>
          <w:p w14:paraId="1A39C28E">
            <w:pPr>
              <w:widowControl w:val="0"/>
              <w:spacing w:before="120" w:after="60"/>
              <w:jc w:val="center"/>
              <w:textAlignment w:val="auto"/>
              <w:rPr>
                <w:rFonts w:ascii="宋体" w:hAnsi="宋体" w:cs="宋体"/>
                <w:color w:val="auto"/>
                <w:szCs w:val="21"/>
              </w:rPr>
            </w:pPr>
            <w:r>
              <w:rPr>
                <w:rFonts w:hint="eastAsia" w:ascii="宋体" w:hAnsi="宋体" w:cs="宋体"/>
                <w:color w:val="auto"/>
                <w:szCs w:val="21"/>
              </w:rPr>
              <w:t>13</w:t>
            </w:r>
          </w:p>
        </w:tc>
        <w:tc>
          <w:tcPr>
            <w:tcW w:w="2092" w:type="pct"/>
            <w:tcBorders>
              <w:top w:val="single" w:color="auto" w:sz="4" w:space="0"/>
              <w:left w:val="single" w:color="auto" w:sz="4" w:space="0"/>
              <w:bottom w:val="single" w:color="auto" w:sz="4" w:space="0"/>
              <w:right w:val="single" w:color="auto" w:sz="4" w:space="0"/>
            </w:tcBorders>
            <w:vAlign w:val="center"/>
          </w:tcPr>
          <w:p w14:paraId="6DA21029">
            <w:pPr>
              <w:widowControl w:val="0"/>
              <w:jc w:val="center"/>
              <w:textAlignment w:val="auto"/>
              <w:rPr>
                <w:rFonts w:ascii="宋体" w:hAnsi="宋体" w:cs="宋体"/>
                <w:color w:val="auto"/>
                <w:szCs w:val="21"/>
              </w:rPr>
            </w:pPr>
            <w:r>
              <w:rPr>
                <w:rFonts w:hint="eastAsia" w:ascii="宋体" w:hAnsi="宋体" w:cs="宋体"/>
                <w:color w:val="auto"/>
                <w:szCs w:val="21"/>
              </w:rPr>
              <w:t>投标人未被列入拖欠农民工工资失信联合惩戒对象名单</w:t>
            </w:r>
          </w:p>
        </w:tc>
        <w:tc>
          <w:tcPr>
            <w:tcW w:w="2038" w:type="pct"/>
            <w:tcBorders>
              <w:top w:val="single" w:color="auto" w:sz="4" w:space="0"/>
              <w:left w:val="single" w:color="auto" w:sz="4" w:space="0"/>
              <w:bottom w:val="single" w:color="auto" w:sz="4" w:space="0"/>
              <w:right w:val="single" w:color="auto" w:sz="4" w:space="0"/>
            </w:tcBorders>
            <w:vAlign w:val="center"/>
          </w:tcPr>
          <w:p w14:paraId="2F16553F">
            <w:pPr>
              <w:widowControl w:val="0"/>
              <w:jc w:val="center"/>
              <w:textAlignment w:val="auto"/>
              <w:rPr>
                <w:rFonts w:ascii="宋体" w:hAnsi="宋体" w:cs="宋体"/>
                <w:color w:val="auto"/>
                <w:szCs w:val="21"/>
              </w:rPr>
            </w:pPr>
            <w:r>
              <w:rPr>
                <w:rFonts w:hint="eastAsia" w:ascii="宋体" w:hAnsi="宋体" w:cs="宋体"/>
                <w:color w:val="auto"/>
                <w:szCs w:val="21"/>
              </w:rPr>
              <w:t>投标人无需提供资料，按投标截止时间交易系统比对的结果进行评审</w:t>
            </w:r>
          </w:p>
        </w:tc>
        <w:tc>
          <w:tcPr>
            <w:tcW w:w="429" w:type="pct"/>
            <w:tcBorders>
              <w:top w:val="single" w:color="auto" w:sz="4" w:space="0"/>
              <w:left w:val="single" w:color="auto" w:sz="4" w:space="0"/>
              <w:bottom w:val="single" w:color="auto" w:sz="4" w:space="0"/>
              <w:right w:val="single" w:color="auto" w:sz="4" w:space="0"/>
            </w:tcBorders>
            <w:vAlign w:val="center"/>
          </w:tcPr>
          <w:p w14:paraId="0D7F2F8F">
            <w:pPr>
              <w:widowControl w:val="0"/>
              <w:spacing w:before="120" w:after="60"/>
              <w:jc w:val="center"/>
              <w:textAlignment w:val="auto"/>
              <w:rPr>
                <w:rFonts w:ascii="宋体" w:hAnsi="宋体" w:cs="宋体"/>
                <w:color w:val="auto"/>
                <w:szCs w:val="21"/>
              </w:rPr>
            </w:pPr>
          </w:p>
        </w:tc>
      </w:tr>
    </w:tbl>
    <w:p w14:paraId="14AC5CB2">
      <w:pPr>
        <w:widowControl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备注：</w:t>
      </w:r>
    </w:p>
    <w:p w14:paraId="0E2C4FBA">
      <w:pPr>
        <w:widowControl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1、每一项目符合的打“○”，不符合的打“×”； </w:t>
      </w:r>
    </w:p>
    <w:p w14:paraId="4D5821A9">
      <w:pPr>
        <w:widowControl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2、若评委意见不一致时，则按少数服从多数的原则，作出评审结论。汇总后，出现一个“×”的结论为“不通过”。</w:t>
      </w:r>
    </w:p>
    <w:p w14:paraId="0E4A5382">
      <w:pPr>
        <w:spacing w:line="360" w:lineRule="auto"/>
        <w:ind w:firstLine="420" w:firstLineChars="200"/>
        <w:rPr>
          <w:rFonts w:ascii="宋体" w:hAnsi="宋体" w:cs="宋体"/>
          <w:color w:val="auto"/>
        </w:rPr>
        <w:sectPr>
          <w:pgSz w:w="16838" w:h="11906" w:orient="landscape"/>
          <w:pgMar w:top="1418" w:right="1247" w:bottom="1418" w:left="1134" w:header="851" w:footer="737" w:gutter="0"/>
          <w:pgNumType w:fmt="decimal"/>
          <w:cols w:space="720" w:num="1"/>
          <w:titlePg/>
          <w:docGrid w:type="lines" w:linePitch="312" w:charSpace="0"/>
        </w:sectPr>
      </w:pPr>
      <w:r>
        <w:rPr>
          <w:rFonts w:hint="eastAsia" w:ascii="宋体" w:hAnsi="宋体" w:cs="宋体"/>
          <w:color w:val="auto"/>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33C5D94">
      <w:pPr>
        <w:widowControl w:val="0"/>
        <w:textAlignment w:val="auto"/>
        <w:rPr>
          <w:rFonts w:ascii="宋体" w:hAnsi="宋体" w:cs="宋体"/>
          <w:color w:val="auto"/>
          <w:szCs w:val="21"/>
        </w:rPr>
      </w:pPr>
      <w:r>
        <w:rPr>
          <w:rFonts w:hint="eastAsia" w:ascii="宋体" w:hAnsi="宋体" w:cs="宋体"/>
          <w:color w:val="auto"/>
          <w:szCs w:val="21"/>
        </w:rPr>
        <w:t>附表二</w:t>
      </w:r>
    </w:p>
    <w:p w14:paraId="7954FABD">
      <w:pPr>
        <w:widowControl w:val="0"/>
        <w:jc w:val="center"/>
        <w:textAlignment w:val="auto"/>
        <w:rPr>
          <w:rFonts w:ascii="宋体" w:hAnsi="宋体" w:cs="宋体"/>
          <w:b/>
          <w:color w:val="auto"/>
          <w:sz w:val="36"/>
          <w:szCs w:val="36"/>
        </w:rPr>
      </w:pPr>
      <w:r>
        <w:rPr>
          <w:rFonts w:hint="eastAsia" w:ascii="宋体" w:hAnsi="宋体" w:cs="宋体"/>
          <w:b/>
          <w:color w:val="auto"/>
          <w:sz w:val="36"/>
          <w:szCs w:val="36"/>
        </w:rPr>
        <w:t>技术标有效性审查表</w:t>
      </w:r>
    </w:p>
    <w:p w14:paraId="5D76CE69">
      <w:pPr>
        <w:widowControl w:val="0"/>
        <w:textAlignment w:val="auto"/>
        <w:rPr>
          <w:rFonts w:ascii="宋体" w:hAnsi="宋体" w:cs="宋体"/>
          <w:color w:val="auto"/>
          <w:szCs w:val="21"/>
        </w:rPr>
      </w:pPr>
      <w:r>
        <w:rPr>
          <w:rFonts w:hint="eastAsia" w:ascii="宋体" w:hAnsi="宋体" w:cs="宋体"/>
          <w:color w:val="auto"/>
          <w:szCs w:val="21"/>
        </w:rPr>
        <w:t>工程名称：</w:t>
      </w:r>
    </w:p>
    <w:tbl>
      <w:tblPr>
        <w:tblStyle w:val="24"/>
        <w:tblW w:w="47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8061"/>
        <w:gridCol w:w="1898"/>
        <w:gridCol w:w="1384"/>
        <w:gridCol w:w="1599"/>
      </w:tblGrid>
      <w:tr w14:paraId="2B82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20" w:type="pct"/>
            <w:tcBorders>
              <w:top w:val="single" w:color="auto" w:sz="4" w:space="0"/>
              <w:left w:val="single" w:color="auto" w:sz="4" w:space="0"/>
              <w:bottom w:val="single" w:color="auto" w:sz="4" w:space="0"/>
              <w:right w:val="single" w:color="auto" w:sz="4" w:space="0"/>
            </w:tcBorders>
            <w:vAlign w:val="center"/>
          </w:tcPr>
          <w:p w14:paraId="7196F112">
            <w:pPr>
              <w:widowControl w:val="0"/>
              <w:adjustRightInd w:val="0"/>
              <w:textAlignment w:val="auto"/>
              <w:rPr>
                <w:rFonts w:ascii="宋体" w:hAnsi="宋体" w:cs="宋体"/>
                <w:color w:val="auto"/>
                <w:szCs w:val="21"/>
              </w:rPr>
            </w:pPr>
            <w:r>
              <w:rPr>
                <w:rFonts w:hint="eastAsia" w:ascii="宋体" w:hAnsi="宋体" w:cs="宋体"/>
                <w:color w:val="auto"/>
                <w:szCs w:val="21"/>
              </w:rPr>
              <w:t>序号</w:t>
            </w:r>
          </w:p>
        </w:tc>
        <w:tc>
          <w:tcPr>
            <w:tcW w:w="2913" w:type="pct"/>
            <w:tcBorders>
              <w:top w:val="single" w:color="auto" w:sz="4" w:space="0"/>
              <w:left w:val="single" w:color="auto" w:sz="4" w:space="0"/>
              <w:bottom w:val="single" w:color="auto" w:sz="4" w:space="0"/>
              <w:right w:val="single" w:color="auto" w:sz="4" w:space="0"/>
              <w:tl2br w:val="single" w:color="auto" w:sz="4" w:space="0"/>
            </w:tcBorders>
          </w:tcPr>
          <w:p w14:paraId="56E22D36">
            <w:pPr>
              <w:widowControl w:val="0"/>
              <w:adjustRightInd w:val="0"/>
              <w:textAlignment w:val="auto"/>
              <w:rPr>
                <w:rFonts w:ascii="宋体" w:hAnsi="宋体" w:cs="宋体"/>
                <w:color w:val="auto"/>
                <w:szCs w:val="21"/>
              </w:rPr>
            </w:pPr>
            <w:r>
              <w:rPr>
                <w:rFonts w:hint="eastAsia" w:ascii="宋体" w:hAnsi="宋体" w:cs="宋体"/>
                <w:color w:val="auto"/>
                <w:szCs w:val="21"/>
              </w:rPr>
              <w:t xml:space="preserve">                                                              投标人</w:t>
            </w:r>
          </w:p>
          <w:p w14:paraId="202D546F">
            <w:pPr>
              <w:widowControl w:val="0"/>
              <w:adjustRightInd w:val="0"/>
              <w:textAlignment w:val="auto"/>
              <w:rPr>
                <w:rFonts w:ascii="宋体" w:hAnsi="宋体" w:cs="宋体"/>
                <w:color w:val="auto"/>
                <w:szCs w:val="21"/>
              </w:rPr>
            </w:pPr>
            <w:r>
              <w:rPr>
                <w:rFonts w:hint="eastAsia" w:ascii="宋体" w:hAnsi="宋体" w:cs="宋体"/>
                <w:color w:val="auto"/>
                <w:szCs w:val="21"/>
              </w:rPr>
              <w:t>评审内容</w:t>
            </w:r>
          </w:p>
        </w:tc>
        <w:tc>
          <w:tcPr>
            <w:tcW w:w="686" w:type="pct"/>
            <w:tcBorders>
              <w:top w:val="single" w:color="auto" w:sz="4" w:space="0"/>
              <w:left w:val="single" w:color="auto" w:sz="4" w:space="0"/>
              <w:bottom w:val="single" w:color="auto" w:sz="4" w:space="0"/>
              <w:right w:val="single" w:color="auto" w:sz="4" w:space="0"/>
            </w:tcBorders>
          </w:tcPr>
          <w:p w14:paraId="34026A5D">
            <w:pPr>
              <w:widowControl w:val="0"/>
              <w:adjustRightInd w:val="0"/>
              <w:textAlignment w:val="auto"/>
              <w:rPr>
                <w:rFonts w:ascii="宋体" w:hAnsi="宋体" w:cs="宋体"/>
                <w:color w:val="auto"/>
                <w:szCs w:val="21"/>
              </w:rPr>
            </w:pPr>
          </w:p>
        </w:tc>
        <w:tc>
          <w:tcPr>
            <w:tcW w:w="500" w:type="pct"/>
            <w:tcBorders>
              <w:top w:val="single" w:color="auto" w:sz="4" w:space="0"/>
              <w:left w:val="single" w:color="auto" w:sz="4" w:space="0"/>
              <w:bottom w:val="single" w:color="auto" w:sz="4" w:space="0"/>
              <w:right w:val="single" w:color="auto" w:sz="4" w:space="0"/>
            </w:tcBorders>
          </w:tcPr>
          <w:p w14:paraId="26D5D38F">
            <w:pPr>
              <w:widowControl w:val="0"/>
              <w:adjustRightInd w:val="0"/>
              <w:textAlignment w:val="auto"/>
              <w:rPr>
                <w:rFonts w:ascii="宋体" w:hAnsi="宋体" w:cs="宋体"/>
                <w:color w:val="auto"/>
                <w:szCs w:val="21"/>
              </w:rPr>
            </w:pPr>
          </w:p>
        </w:tc>
        <w:tc>
          <w:tcPr>
            <w:tcW w:w="578" w:type="pct"/>
            <w:tcBorders>
              <w:top w:val="single" w:color="auto" w:sz="4" w:space="0"/>
              <w:left w:val="single" w:color="auto" w:sz="4" w:space="0"/>
              <w:bottom w:val="single" w:color="auto" w:sz="4" w:space="0"/>
              <w:right w:val="single" w:color="auto" w:sz="4" w:space="0"/>
            </w:tcBorders>
          </w:tcPr>
          <w:p w14:paraId="04898266">
            <w:pPr>
              <w:widowControl w:val="0"/>
              <w:adjustRightInd w:val="0"/>
              <w:textAlignment w:val="auto"/>
              <w:rPr>
                <w:rFonts w:ascii="宋体" w:hAnsi="宋体" w:cs="宋体"/>
                <w:color w:val="auto"/>
                <w:szCs w:val="21"/>
              </w:rPr>
            </w:pPr>
          </w:p>
        </w:tc>
      </w:tr>
      <w:tr w14:paraId="06E4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0" w:type="pct"/>
            <w:tcBorders>
              <w:top w:val="single" w:color="auto" w:sz="4" w:space="0"/>
              <w:left w:val="single" w:color="auto" w:sz="4" w:space="0"/>
              <w:bottom w:val="single" w:color="auto" w:sz="4" w:space="0"/>
              <w:right w:val="single" w:color="auto" w:sz="4" w:space="0"/>
            </w:tcBorders>
            <w:vAlign w:val="center"/>
          </w:tcPr>
          <w:p w14:paraId="7E8EDD5D">
            <w:pPr>
              <w:widowControl w:val="0"/>
              <w:adjustRightInd w:val="0"/>
              <w:textAlignment w:val="auto"/>
              <w:rPr>
                <w:rFonts w:ascii="宋体" w:hAnsi="宋体" w:cs="宋体"/>
                <w:color w:val="auto"/>
                <w:szCs w:val="21"/>
              </w:rPr>
            </w:pPr>
            <w:r>
              <w:rPr>
                <w:rFonts w:hint="eastAsia" w:ascii="宋体" w:hAnsi="宋体" w:cs="宋体"/>
                <w:color w:val="auto"/>
                <w:szCs w:val="21"/>
              </w:rPr>
              <w:t>1</w:t>
            </w:r>
          </w:p>
        </w:tc>
        <w:tc>
          <w:tcPr>
            <w:tcW w:w="2913" w:type="pct"/>
            <w:tcBorders>
              <w:top w:val="single" w:color="auto" w:sz="4" w:space="0"/>
              <w:left w:val="single" w:color="auto" w:sz="4" w:space="0"/>
              <w:bottom w:val="single" w:color="auto" w:sz="4" w:space="0"/>
              <w:right w:val="single" w:color="auto" w:sz="4" w:space="0"/>
            </w:tcBorders>
            <w:vAlign w:val="center"/>
          </w:tcPr>
          <w:p w14:paraId="772F4DF2">
            <w:pPr>
              <w:widowControl w:val="0"/>
              <w:adjustRightInd w:val="0"/>
              <w:textAlignment w:val="auto"/>
              <w:rPr>
                <w:rFonts w:ascii="宋体" w:hAnsi="宋体" w:cs="宋体"/>
                <w:color w:val="auto"/>
                <w:szCs w:val="21"/>
              </w:rPr>
            </w:pPr>
            <w:r>
              <w:rPr>
                <w:rFonts w:hint="eastAsia" w:ascii="宋体" w:hAnsi="宋体" w:cs="宋体"/>
                <w:color w:val="auto"/>
                <w:szCs w:val="21"/>
              </w:rPr>
              <w:t>《广州建设工程施工招标投标书》中投标总工期不能满足完成投标项目工期的；</w:t>
            </w:r>
          </w:p>
        </w:tc>
        <w:tc>
          <w:tcPr>
            <w:tcW w:w="686" w:type="pct"/>
            <w:tcBorders>
              <w:top w:val="single" w:color="auto" w:sz="4" w:space="0"/>
              <w:left w:val="single" w:color="auto" w:sz="4" w:space="0"/>
              <w:bottom w:val="single" w:color="auto" w:sz="4" w:space="0"/>
              <w:right w:val="single" w:color="auto" w:sz="4" w:space="0"/>
            </w:tcBorders>
          </w:tcPr>
          <w:p w14:paraId="1D36B18B">
            <w:pPr>
              <w:widowControl w:val="0"/>
              <w:adjustRightInd w:val="0"/>
              <w:textAlignment w:val="auto"/>
              <w:rPr>
                <w:rFonts w:ascii="宋体" w:hAnsi="宋体" w:cs="宋体"/>
                <w:color w:val="auto"/>
                <w:szCs w:val="21"/>
              </w:rPr>
            </w:pPr>
          </w:p>
        </w:tc>
        <w:tc>
          <w:tcPr>
            <w:tcW w:w="500" w:type="pct"/>
            <w:tcBorders>
              <w:top w:val="single" w:color="auto" w:sz="4" w:space="0"/>
              <w:left w:val="single" w:color="auto" w:sz="4" w:space="0"/>
              <w:bottom w:val="single" w:color="auto" w:sz="4" w:space="0"/>
              <w:right w:val="single" w:color="auto" w:sz="4" w:space="0"/>
            </w:tcBorders>
          </w:tcPr>
          <w:p w14:paraId="056BB2B6">
            <w:pPr>
              <w:widowControl w:val="0"/>
              <w:adjustRightInd w:val="0"/>
              <w:textAlignment w:val="auto"/>
              <w:rPr>
                <w:rFonts w:ascii="宋体" w:hAnsi="宋体" w:cs="宋体"/>
                <w:color w:val="auto"/>
                <w:szCs w:val="21"/>
              </w:rPr>
            </w:pPr>
          </w:p>
        </w:tc>
        <w:tc>
          <w:tcPr>
            <w:tcW w:w="578" w:type="pct"/>
            <w:tcBorders>
              <w:top w:val="single" w:color="auto" w:sz="4" w:space="0"/>
              <w:left w:val="single" w:color="auto" w:sz="4" w:space="0"/>
              <w:bottom w:val="single" w:color="auto" w:sz="4" w:space="0"/>
              <w:right w:val="single" w:color="auto" w:sz="4" w:space="0"/>
            </w:tcBorders>
          </w:tcPr>
          <w:p w14:paraId="0A12691E">
            <w:pPr>
              <w:widowControl w:val="0"/>
              <w:adjustRightInd w:val="0"/>
              <w:textAlignment w:val="auto"/>
              <w:rPr>
                <w:rFonts w:ascii="宋体" w:hAnsi="宋体" w:cs="宋体"/>
                <w:color w:val="auto"/>
                <w:szCs w:val="21"/>
              </w:rPr>
            </w:pPr>
          </w:p>
        </w:tc>
      </w:tr>
      <w:tr w14:paraId="5EDC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0" w:type="pct"/>
            <w:tcBorders>
              <w:top w:val="single" w:color="auto" w:sz="4" w:space="0"/>
              <w:left w:val="single" w:color="auto" w:sz="4" w:space="0"/>
              <w:bottom w:val="single" w:color="auto" w:sz="4" w:space="0"/>
              <w:right w:val="single" w:color="auto" w:sz="4" w:space="0"/>
            </w:tcBorders>
            <w:vAlign w:val="center"/>
          </w:tcPr>
          <w:p w14:paraId="72167FE7">
            <w:pPr>
              <w:widowControl w:val="0"/>
              <w:adjustRightInd w:val="0"/>
              <w:textAlignment w:val="auto"/>
              <w:rPr>
                <w:rFonts w:ascii="宋体" w:hAnsi="宋体" w:cs="宋体"/>
                <w:strike/>
                <w:color w:val="auto"/>
                <w:szCs w:val="21"/>
              </w:rPr>
            </w:pPr>
            <w:r>
              <w:rPr>
                <w:rFonts w:hint="eastAsia" w:ascii="宋体" w:hAnsi="宋体" w:cs="宋体"/>
                <w:color w:val="auto"/>
                <w:szCs w:val="21"/>
              </w:rPr>
              <w:t>2</w:t>
            </w:r>
          </w:p>
        </w:tc>
        <w:tc>
          <w:tcPr>
            <w:tcW w:w="2913" w:type="pct"/>
            <w:tcBorders>
              <w:top w:val="single" w:color="auto" w:sz="4" w:space="0"/>
              <w:left w:val="single" w:color="auto" w:sz="4" w:space="0"/>
              <w:bottom w:val="single" w:color="auto" w:sz="4" w:space="0"/>
              <w:right w:val="single" w:color="auto" w:sz="4" w:space="0"/>
            </w:tcBorders>
            <w:vAlign w:val="center"/>
          </w:tcPr>
          <w:p w14:paraId="4A34CD0B">
            <w:pPr>
              <w:widowControl w:val="0"/>
              <w:adjustRightInd w:val="0"/>
              <w:textAlignment w:val="auto"/>
              <w:rPr>
                <w:rFonts w:ascii="宋体" w:hAnsi="宋体" w:cs="宋体"/>
                <w:strike/>
                <w:color w:val="auto"/>
                <w:szCs w:val="21"/>
              </w:rPr>
            </w:pPr>
            <w:r>
              <w:rPr>
                <w:rFonts w:hint="eastAsia" w:ascii="宋体" w:hAnsi="宋体" w:cs="宋体"/>
                <w:color w:val="auto"/>
                <w:szCs w:val="21"/>
              </w:rPr>
              <w:t>《广州建设工程施工招标投标书》中工程质量标准不符合招标文件要求的；</w:t>
            </w:r>
          </w:p>
        </w:tc>
        <w:tc>
          <w:tcPr>
            <w:tcW w:w="686" w:type="pct"/>
            <w:tcBorders>
              <w:top w:val="single" w:color="auto" w:sz="4" w:space="0"/>
              <w:left w:val="single" w:color="auto" w:sz="4" w:space="0"/>
              <w:bottom w:val="single" w:color="auto" w:sz="4" w:space="0"/>
              <w:right w:val="single" w:color="auto" w:sz="4" w:space="0"/>
            </w:tcBorders>
          </w:tcPr>
          <w:p w14:paraId="5213ABAC">
            <w:pPr>
              <w:widowControl w:val="0"/>
              <w:adjustRightInd w:val="0"/>
              <w:textAlignment w:val="auto"/>
              <w:rPr>
                <w:rFonts w:ascii="宋体" w:hAnsi="宋体" w:cs="宋体"/>
                <w:color w:val="auto"/>
                <w:szCs w:val="21"/>
              </w:rPr>
            </w:pPr>
          </w:p>
        </w:tc>
        <w:tc>
          <w:tcPr>
            <w:tcW w:w="500" w:type="pct"/>
            <w:tcBorders>
              <w:top w:val="single" w:color="auto" w:sz="4" w:space="0"/>
              <w:left w:val="single" w:color="auto" w:sz="4" w:space="0"/>
              <w:bottom w:val="single" w:color="auto" w:sz="4" w:space="0"/>
              <w:right w:val="single" w:color="auto" w:sz="4" w:space="0"/>
            </w:tcBorders>
          </w:tcPr>
          <w:p w14:paraId="7D01893C">
            <w:pPr>
              <w:widowControl w:val="0"/>
              <w:adjustRightInd w:val="0"/>
              <w:textAlignment w:val="auto"/>
              <w:rPr>
                <w:rFonts w:ascii="宋体" w:hAnsi="宋体" w:cs="宋体"/>
                <w:color w:val="auto"/>
                <w:szCs w:val="21"/>
              </w:rPr>
            </w:pPr>
          </w:p>
        </w:tc>
        <w:tc>
          <w:tcPr>
            <w:tcW w:w="578" w:type="pct"/>
            <w:tcBorders>
              <w:top w:val="single" w:color="auto" w:sz="4" w:space="0"/>
              <w:left w:val="single" w:color="auto" w:sz="4" w:space="0"/>
              <w:bottom w:val="single" w:color="auto" w:sz="4" w:space="0"/>
              <w:right w:val="single" w:color="auto" w:sz="4" w:space="0"/>
            </w:tcBorders>
          </w:tcPr>
          <w:p w14:paraId="03D4F241">
            <w:pPr>
              <w:widowControl w:val="0"/>
              <w:adjustRightInd w:val="0"/>
              <w:textAlignment w:val="auto"/>
              <w:rPr>
                <w:rFonts w:ascii="宋体" w:hAnsi="宋体" w:cs="宋体"/>
                <w:color w:val="auto"/>
                <w:szCs w:val="21"/>
              </w:rPr>
            </w:pPr>
          </w:p>
        </w:tc>
      </w:tr>
      <w:tr w14:paraId="7593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0" w:type="pct"/>
            <w:tcBorders>
              <w:top w:val="single" w:color="auto" w:sz="4" w:space="0"/>
              <w:left w:val="single" w:color="auto" w:sz="4" w:space="0"/>
              <w:bottom w:val="single" w:color="auto" w:sz="4" w:space="0"/>
              <w:right w:val="single" w:color="auto" w:sz="4" w:space="0"/>
            </w:tcBorders>
            <w:vAlign w:val="center"/>
          </w:tcPr>
          <w:p w14:paraId="19378021">
            <w:pPr>
              <w:widowControl w:val="0"/>
              <w:adjustRightInd w:val="0"/>
              <w:textAlignment w:val="auto"/>
              <w:rPr>
                <w:rFonts w:ascii="宋体" w:hAnsi="宋体" w:cs="宋体"/>
                <w:color w:val="auto"/>
                <w:szCs w:val="21"/>
              </w:rPr>
            </w:pPr>
            <w:r>
              <w:rPr>
                <w:rFonts w:hint="eastAsia" w:ascii="宋体" w:hAnsi="宋体" w:cs="宋体"/>
                <w:color w:val="auto"/>
                <w:szCs w:val="21"/>
              </w:rPr>
              <w:t>3</w:t>
            </w:r>
          </w:p>
        </w:tc>
        <w:tc>
          <w:tcPr>
            <w:tcW w:w="2913" w:type="pct"/>
            <w:tcBorders>
              <w:top w:val="single" w:color="auto" w:sz="4" w:space="0"/>
              <w:left w:val="single" w:color="auto" w:sz="4" w:space="0"/>
              <w:bottom w:val="single" w:color="auto" w:sz="4" w:space="0"/>
              <w:right w:val="single" w:color="auto" w:sz="4" w:space="0"/>
            </w:tcBorders>
            <w:vAlign w:val="center"/>
          </w:tcPr>
          <w:p w14:paraId="524D3A88">
            <w:pPr>
              <w:widowControl w:val="0"/>
              <w:adjustRightInd w:val="0"/>
              <w:textAlignment w:val="auto"/>
              <w:rPr>
                <w:rFonts w:ascii="宋体" w:hAnsi="宋体" w:cs="宋体"/>
                <w:color w:val="auto"/>
                <w:szCs w:val="21"/>
              </w:rPr>
            </w:pPr>
            <w:r>
              <w:rPr>
                <w:rFonts w:hint="eastAsia" w:ascii="宋体" w:hAnsi="宋体" w:cs="宋体"/>
                <w:color w:val="auto"/>
                <w:szCs w:val="21"/>
              </w:rPr>
              <w:t>投标文件中没有有效的法定代表人证明书，或由委托代理人签署或盖章的投标文件中没有法定代表人授权书；</w:t>
            </w:r>
          </w:p>
        </w:tc>
        <w:tc>
          <w:tcPr>
            <w:tcW w:w="686" w:type="pct"/>
            <w:tcBorders>
              <w:top w:val="single" w:color="auto" w:sz="4" w:space="0"/>
              <w:left w:val="single" w:color="auto" w:sz="4" w:space="0"/>
              <w:bottom w:val="single" w:color="auto" w:sz="4" w:space="0"/>
              <w:right w:val="single" w:color="auto" w:sz="4" w:space="0"/>
            </w:tcBorders>
          </w:tcPr>
          <w:p w14:paraId="040728B6">
            <w:pPr>
              <w:widowControl w:val="0"/>
              <w:adjustRightInd w:val="0"/>
              <w:textAlignment w:val="auto"/>
              <w:rPr>
                <w:rFonts w:ascii="宋体" w:hAnsi="宋体" w:cs="宋体"/>
                <w:color w:val="auto"/>
                <w:szCs w:val="21"/>
              </w:rPr>
            </w:pPr>
          </w:p>
        </w:tc>
        <w:tc>
          <w:tcPr>
            <w:tcW w:w="500" w:type="pct"/>
            <w:tcBorders>
              <w:top w:val="single" w:color="auto" w:sz="4" w:space="0"/>
              <w:left w:val="single" w:color="auto" w:sz="4" w:space="0"/>
              <w:bottom w:val="single" w:color="auto" w:sz="4" w:space="0"/>
              <w:right w:val="single" w:color="auto" w:sz="4" w:space="0"/>
            </w:tcBorders>
          </w:tcPr>
          <w:p w14:paraId="1AE1C119">
            <w:pPr>
              <w:widowControl w:val="0"/>
              <w:adjustRightInd w:val="0"/>
              <w:textAlignment w:val="auto"/>
              <w:rPr>
                <w:rFonts w:ascii="宋体" w:hAnsi="宋体" w:cs="宋体"/>
                <w:color w:val="auto"/>
                <w:szCs w:val="21"/>
              </w:rPr>
            </w:pPr>
          </w:p>
        </w:tc>
        <w:tc>
          <w:tcPr>
            <w:tcW w:w="578" w:type="pct"/>
            <w:tcBorders>
              <w:top w:val="single" w:color="auto" w:sz="4" w:space="0"/>
              <w:left w:val="single" w:color="auto" w:sz="4" w:space="0"/>
              <w:bottom w:val="single" w:color="auto" w:sz="4" w:space="0"/>
              <w:right w:val="single" w:color="auto" w:sz="4" w:space="0"/>
            </w:tcBorders>
          </w:tcPr>
          <w:p w14:paraId="6AE02A55">
            <w:pPr>
              <w:widowControl w:val="0"/>
              <w:adjustRightInd w:val="0"/>
              <w:textAlignment w:val="auto"/>
              <w:rPr>
                <w:rFonts w:ascii="宋体" w:hAnsi="宋体" w:cs="宋体"/>
                <w:color w:val="auto"/>
                <w:szCs w:val="21"/>
              </w:rPr>
            </w:pPr>
          </w:p>
        </w:tc>
      </w:tr>
      <w:tr w14:paraId="0421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0" w:type="pct"/>
            <w:tcBorders>
              <w:top w:val="single" w:color="auto" w:sz="4" w:space="0"/>
              <w:left w:val="single" w:color="auto" w:sz="4" w:space="0"/>
              <w:bottom w:val="single" w:color="auto" w:sz="4" w:space="0"/>
              <w:right w:val="single" w:color="auto" w:sz="4" w:space="0"/>
            </w:tcBorders>
            <w:vAlign w:val="center"/>
          </w:tcPr>
          <w:p w14:paraId="40772526">
            <w:pPr>
              <w:widowControl w:val="0"/>
              <w:adjustRightInd w:val="0"/>
              <w:textAlignment w:val="auto"/>
              <w:rPr>
                <w:rFonts w:ascii="宋体" w:hAnsi="宋体" w:cs="宋体"/>
                <w:color w:val="auto"/>
                <w:szCs w:val="21"/>
              </w:rPr>
            </w:pPr>
            <w:r>
              <w:rPr>
                <w:rFonts w:hint="eastAsia" w:ascii="宋体" w:hAnsi="宋体" w:cs="宋体"/>
                <w:color w:val="auto"/>
                <w:szCs w:val="21"/>
              </w:rPr>
              <w:t>4</w:t>
            </w:r>
          </w:p>
        </w:tc>
        <w:tc>
          <w:tcPr>
            <w:tcW w:w="2913" w:type="pct"/>
            <w:tcBorders>
              <w:top w:val="single" w:color="auto" w:sz="4" w:space="0"/>
              <w:left w:val="single" w:color="auto" w:sz="4" w:space="0"/>
              <w:bottom w:val="single" w:color="auto" w:sz="4" w:space="0"/>
              <w:right w:val="single" w:color="auto" w:sz="4" w:space="0"/>
            </w:tcBorders>
            <w:vAlign w:val="center"/>
          </w:tcPr>
          <w:p w14:paraId="28A492D1">
            <w:pPr>
              <w:widowControl w:val="0"/>
              <w:adjustRightInd w:val="0"/>
              <w:textAlignment w:val="auto"/>
              <w:rPr>
                <w:rFonts w:ascii="宋体" w:hAnsi="宋体" w:cs="宋体"/>
                <w:color w:val="auto"/>
                <w:szCs w:val="21"/>
              </w:rPr>
            </w:pPr>
            <w:r>
              <w:rPr>
                <w:rFonts w:hint="eastAsia" w:ascii="宋体" w:hAnsi="宋体" w:cs="宋体"/>
                <w:color w:val="auto"/>
                <w:szCs w:val="21"/>
              </w:rPr>
              <w:t>投标文件未按规定的格式</w:t>
            </w:r>
            <w:r>
              <w:rPr>
                <w:rFonts w:hint="eastAsia" w:ascii="宋体" w:hAnsi="宋体" w:cs="宋体"/>
                <w:b/>
                <w:bCs/>
                <w:color w:val="auto"/>
                <w:szCs w:val="21"/>
                <w:u w:val="single"/>
              </w:rPr>
              <w:t>（指</w:t>
            </w:r>
            <w:r>
              <w:rPr>
                <w:rFonts w:hint="eastAsia" w:ascii="宋体" w:hAnsi="宋体" w:cs="宋体"/>
                <w:b/>
                <w:bCs/>
                <w:color w:val="auto"/>
                <w:u w:val="single"/>
              </w:rPr>
              <w:t>“第四章技术标投标文件格式”的格式一、格式二、格式三、格式四、格式五、格式六</w:t>
            </w:r>
            <w:r>
              <w:rPr>
                <w:rFonts w:hint="eastAsia" w:ascii="宋体" w:hAnsi="宋体" w:cs="宋体"/>
                <w:b/>
                <w:bCs/>
                <w:color w:val="auto"/>
                <w:szCs w:val="21"/>
                <w:u w:val="single"/>
              </w:rPr>
              <w:t>）</w:t>
            </w:r>
            <w:r>
              <w:rPr>
                <w:rFonts w:hint="eastAsia" w:ascii="宋体" w:hAnsi="宋体" w:cs="宋体"/>
                <w:color w:val="auto"/>
                <w:szCs w:val="21"/>
              </w:rPr>
              <w:t>填写，或主要内容不全，或关键字迹模糊、无法辨认的；</w:t>
            </w:r>
          </w:p>
        </w:tc>
        <w:tc>
          <w:tcPr>
            <w:tcW w:w="686" w:type="pct"/>
            <w:tcBorders>
              <w:top w:val="single" w:color="auto" w:sz="4" w:space="0"/>
              <w:left w:val="single" w:color="auto" w:sz="4" w:space="0"/>
              <w:bottom w:val="single" w:color="auto" w:sz="4" w:space="0"/>
              <w:right w:val="single" w:color="auto" w:sz="4" w:space="0"/>
            </w:tcBorders>
          </w:tcPr>
          <w:p w14:paraId="090C5557">
            <w:pPr>
              <w:widowControl w:val="0"/>
              <w:adjustRightInd w:val="0"/>
              <w:textAlignment w:val="auto"/>
              <w:rPr>
                <w:rFonts w:ascii="宋体" w:hAnsi="宋体" w:cs="宋体"/>
                <w:color w:val="auto"/>
                <w:szCs w:val="21"/>
              </w:rPr>
            </w:pPr>
          </w:p>
        </w:tc>
        <w:tc>
          <w:tcPr>
            <w:tcW w:w="500" w:type="pct"/>
            <w:tcBorders>
              <w:top w:val="single" w:color="auto" w:sz="4" w:space="0"/>
              <w:left w:val="single" w:color="auto" w:sz="4" w:space="0"/>
              <w:bottom w:val="single" w:color="auto" w:sz="4" w:space="0"/>
              <w:right w:val="single" w:color="auto" w:sz="4" w:space="0"/>
            </w:tcBorders>
          </w:tcPr>
          <w:p w14:paraId="6E2C5744">
            <w:pPr>
              <w:widowControl w:val="0"/>
              <w:adjustRightInd w:val="0"/>
              <w:textAlignment w:val="auto"/>
              <w:rPr>
                <w:rFonts w:ascii="宋体" w:hAnsi="宋体" w:cs="宋体"/>
                <w:color w:val="auto"/>
                <w:szCs w:val="21"/>
              </w:rPr>
            </w:pPr>
          </w:p>
        </w:tc>
        <w:tc>
          <w:tcPr>
            <w:tcW w:w="578" w:type="pct"/>
            <w:tcBorders>
              <w:top w:val="single" w:color="auto" w:sz="4" w:space="0"/>
              <w:left w:val="single" w:color="auto" w:sz="4" w:space="0"/>
              <w:bottom w:val="single" w:color="auto" w:sz="4" w:space="0"/>
              <w:right w:val="single" w:color="auto" w:sz="4" w:space="0"/>
            </w:tcBorders>
          </w:tcPr>
          <w:p w14:paraId="2933F10A">
            <w:pPr>
              <w:widowControl w:val="0"/>
              <w:adjustRightInd w:val="0"/>
              <w:textAlignment w:val="auto"/>
              <w:rPr>
                <w:rFonts w:ascii="宋体" w:hAnsi="宋体" w:cs="宋体"/>
                <w:color w:val="auto"/>
                <w:szCs w:val="21"/>
              </w:rPr>
            </w:pPr>
          </w:p>
        </w:tc>
      </w:tr>
      <w:tr w14:paraId="612B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0" w:type="pct"/>
            <w:tcBorders>
              <w:top w:val="single" w:color="auto" w:sz="4" w:space="0"/>
              <w:left w:val="single" w:color="auto" w:sz="4" w:space="0"/>
              <w:bottom w:val="single" w:color="auto" w:sz="4" w:space="0"/>
              <w:right w:val="single" w:color="auto" w:sz="4" w:space="0"/>
            </w:tcBorders>
            <w:vAlign w:val="center"/>
          </w:tcPr>
          <w:p w14:paraId="143C2355">
            <w:pPr>
              <w:widowControl w:val="0"/>
              <w:adjustRightInd w:val="0"/>
              <w:textAlignment w:val="auto"/>
              <w:rPr>
                <w:rFonts w:ascii="宋体" w:hAnsi="宋体" w:cs="宋体"/>
                <w:color w:val="auto"/>
                <w:szCs w:val="21"/>
              </w:rPr>
            </w:pPr>
            <w:r>
              <w:rPr>
                <w:rFonts w:hint="eastAsia" w:ascii="宋体" w:hAnsi="宋体" w:cs="宋体"/>
                <w:color w:val="auto"/>
                <w:szCs w:val="21"/>
              </w:rPr>
              <w:t>5</w:t>
            </w:r>
          </w:p>
        </w:tc>
        <w:tc>
          <w:tcPr>
            <w:tcW w:w="2913" w:type="pct"/>
            <w:tcBorders>
              <w:top w:val="single" w:color="auto" w:sz="4" w:space="0"/>
              <w:left w:val="single" w:color="auto" w:sz="4" w:space="0"/>
              <w:bottom w:val="single" w:color="auto" w:sz="4" w:space="0"/>
              <w:right w:val="single" w:color="auto" w:sz="4" w:space="0"/>
            </w:tcBorders>
            <w:vAlign w:val="center"/>
          </w:tcPr>
          <w:p w14:paraId="1A9DCDEE">
            <w:pPr>
              <w:widowControl w:val="0"/>
              <w:adjustRightInd w:val="0"/>
              <w:textAlignment w:val="auto"/>
              <w:rPr>
                <w:rFonts w:ascii="宋体" w:hAnsi="宋体" w:cs="宋体"/>
                <w:color w:val="auto"/>
                <w:szCs w:val="21"/>
              </w:rPr>
            </w:pPr>
            <w:r>
              <w:rPr>
                <w:rFonts w:hint="eastAsia" w:ascii="宋体" w:hAnsi="宋体" w:cs="宋体"/>
                <w:color w:val="auto"/>
                <w:szCs w:val="21"/>
              </w:rPr>
              <w:t>投标人之间存在《广东省实施&lt;中华人民共和国招标投标法&gt;》第十六条所禁止的情形的；</w:t>
            </w:r>
          </w:p>
        </w:tc>
        <w:tc>
          <w:tcPr>
            <w:tcW w:w="686" w:type="pct"/>
            <w:tcBorders>
              <w:top w:val="single" w:color="auto" w:sz="4" w:space="0"/>
              <w:left w:val="single" w:color="auto" w:sz="4" w:space="0"/>
              <w:bottom w:val="single" w:color="auto" w:sz="4" w:space="0"/>
              <w:right w:val="single" w:color="auto" w:sz="4" w:space="0"/>
            </w:tcBorders>
          </w:tcPr>
          <w:p w14:paraId="0DE217D9">
            <w:pPr>
              <w:widowControl w:val="0"/>
              <w:adjustRightInd w:val="0"/>
              <w:textAlignment w:val="auto"/>
              <w:rPr>
                <w:rFonts w:ascii="宋体" w:hAnsi="宋体" w:cs="宋体"/>
                <w:color w:val="auto"/>
                <w:szCs w:val="21"/>
                <w:shd w:val="pct10" w:color="auto" w:fill="FFFFFF"/>
              </w:rPr>
            </w:pPr>
          </w:p>
        </w:tc>
        <w:tc>
          <w:tcPr>
            <w:tcW w:w="500" w:type="pct"/>
            <w:tcBorders>
              <w:top w:val="single" w:color="auto" w:sz="4" w:space="0"/>
              <w:left w:val="single" w:color="auto" w:sz="4" w:space="0"/>
              <w:bottom w:val="single" w:color="auto" w:sz="4" w:space="0"/>
              <w:right w:val="single" w:color="auto" w:sz="4" w:space="0"/>
            </w:tcBorders>
          </w:tcPr>
          <w:p w14:paraId="396D475C">
            <w:pPr>
              <w:widowControl w:val="0"/>
              <w:adjustRightInd w:val="0"/>
              <w:textAlignment w:val="auto"/>
              <w:rPr>
                <w:rFonts w:ascii="宋体" w:hAnsi="宋体" w:cs="宋体"/>
                <w:color w:val="auto"/>
                <w:szCs w:val="21"/>
                <w:shd w:val="pct10" w:color="auto" w:fill="FFFFFF"/>
              </w:rPr>
            </w:pPr>
          </w:p>
        </w:tc>
        <w:tc>
          <w:tcPr>
            <w:tcW w:w="578" w:type="pct"/>
            <w:tcBorders>
              <w:top w:val="single" w:color="auto" w:sz="4" w:space="0"/>
              <w:left w:val="single" w:color="auto" w:sz="4" w:space="0"/>
              <w:bottom w:val="single" w:color="auto" w:sz="4" w:space="0"/>
              <w:right w:val="single" w:color="auto" w:sz="4" w:space="0"/>
            </w:tcBorders>
          </w:tcPr>
          <w:p w14:paraId="265B4A71">
            <w:pPr>
              <w:widowControl w:val="0"/>
              <w:adjustRightInd w:val="0"/>
              <w:textAlignment w:val="auto"/>
              <w:rPr>
                <w:rFonts w:ascii="宋体" w:hAnsi="宋体" w:cs="宋体"/>
                <w:color w:val="auto"/>
                <w:szCs w:val="21"/>
                <w:shd w:val="pct10" w:color="auto" w:fill="FFFFFF"/>
              </w:rPr>
            </w:pPr>
          </w:p>
        </w:tc>
      </w:tr>
      <w:tr w14:paraId="1D8C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0" w:type="pct"/>
            <w:tcBorders>
              <w:top w:val="single" w:color="auto" w:sz="4" w:space="0"/>
              <w:left w:val="single" w:color="auto" w:sz="4" w:space="0"/>
              <w:bottom w:val="single" w:color="auto" w:sz="4" w:space="0"/>
              <w:right w:val="single" w:color="auto" w:sz="4" w:space="0"/>
            </w:tcBorders>
            <w:vAlign w:val="center"/>
          </w:tcPr>
          <w:p w14:paraId="0CE35C83">
            <w:pPr>
              <w:widowControl w:val="0"/>
              <w:adjustRightInd w:val="0"/>
              <w:textAlignment w:val="auto"/>
              <w:rPr>
                <w:rFonts w:ascii="宋体" w:hAnsi="宋体" w:cs="宋体"/>
                <w:color w:val="auto"/>
                <w:szCs w:val="21"/>
              </w:rPr>
            </w:pPr>
            <w:r>
              <w:rPr>
                <w:rFonts w:hint="eastAsia" w:ascii="宋体" w:hAnsi="宋体" w:cs="宋体"/>
                <w:color w:val="auto"/>
                <w:szCs w:val="21"/>
              </w:rPr>
              <w:t>6</w:t>
            </w:r>
          </w:p>
        </w:tc>
        <w:tc>
          <w:tcPr>
            <w:tcW w:w="2913" w:type="pct"/>
            <w:tcBorders>
              <w:top w:val="single" w:color="auto" w:sz="4" w:space="0"/>
              <w:left w:val="single" w:color="auto" w:sz="4" w:space="0"/>
              <w:bottom w:val="single" w:color="auto" w:sz="4" w:space="0"/>
              <w:right w:val="single" w:color="auto" w:sz="4" w:space="0"/>
            </w:tcBorders>
            <w:vAlign w:val="center"/>
          </w:tcPr>
          <w:p w14:paraId="1E9B43D1">
            <w:pPr>
              <w:widowControl w:val="0"/>
              <w:adjustRightInd w:val="0"/>
              <w:textAlignment w:val="auto"/>
              <w:rPr>
                <w:rFonts w:ascii="宋体" w:hAnsi="宋体" w:cs="宋体"/>
                <w:color w:val="auto"/>
                <w:szCs w:val="21"/>
              </w:rPr>
            </w:pPr>
            <w:r>
              <w:rPr>
                <w:rFonts w:hint="eastAsia" w:ascii="宋体" w:hAnsi="宋体" w:cs="宋体"/>
                <w:color w:val="auto"/>
                <w:szCs w:val="21"/>
              </w:rPr>
              <w:t>无《参与编制技术标投标文件人员名单》的</w:t>
            </w:r>
          </w:p>
        </w:tc>
        <w:tc>
          <w:tcPr>
            <w:tcW w:w="686" w:type="pct"/>
            <w:tcBorders>
              <w:top w:val="single" w:color="auto" w:sz="4" w:space="0"/>
              <w:left w:val="single" w:color="auto" w:sz="4" w:space="0"/>
              <w:bottom w:val="single" w:color="auto" w:sz="4" w:space="0"/>
              <w:right w:val="single" w:color="auto" w:sz="4" w:space="0"/>
            </w:tcBorders>
          </w:tcPr>
          <w:p w14:paraId="5C3347F7">
            <w:pPr>
              <w:widowControl w:val="0"/>
              <w:adjustRightInd w:val="0"/>
              <w:textAlignment w:val="auto"/>
              <w:rPr>
                <w:rFonts w:ascii="宋体" w:hAnsi="宋体" w:cs="宋体"/>
                <w:color w:val="auto"/>
                <w:szCs w:val="21"/>
              </w:rPr>
            </w:pPr>
          </w:p>
        </w:tc>
        <w:tc>
          <w:tcPr>
            <w:tcW w:w="500" w:type="pct"/>
            <w:tcBorders>
              <w:top w:val="single" w:color="auto" w:sz="4" w:space="0"/>
              <w:left w:val="single" w:color="auto" w:sz="4" w:space="0"/>
              <w:bottom w:val="single" w:color="auto" w:sz="4" w:space="0"/>
              <w:right w:val="single" w:color="auto" w:sz="4" w:space="0"/>
            </w:tcBorders>
          </w:tcPr>
          <w:p w14:paraId="3719FA24">
            <w:pPr>
              <w:widowControl w:val="0"/>
              <w:adjustRightInd w:val="0"/>
              <w:textAlignment w:val="auto"/>
              <w:rPr>
                <w:rFonts w:ascii="宋体" w:hAnsi="宋体" w:cs="宋体"/>
                <w:color w:val="auto"/>
                <w:szCs w:val="21"/>
              </w:rPr>
            </w:pPr>
          </w:p>
        </w:tc>
        <w:tc>
          <w:tcPr>
            <w:tcW w:w="578" w:type="pct"/>
            <w:tcBorders>
              <w:top w:val="single" w:color="auto" w:sz="4" w:space="0"/>
              <w:left w:val="single" w:color="auto" w:sz="4" w:space="0"/>
              <w:bottom w:val="single" w:color="auto" w:sz="4" w:space="0"/>
              <w:right w:val="single" w:color="auto" w:sz="4" w:space="0"/>
            </w:tcBorders>
          </w:tcPr>
          <w:p w14:paraId="2ADAE26F">
            <w:pPr>
              <w:widowControl w:val="0"/>
              <w:adjustRightInd w:val="0"/>
              <w:textAlignment w:val="auto"/>
              <w:rPr>
                <w:rFonts w:ascii="宋体" w:hAnsi="宋体" w:cs="宋体"/>
                <w:color w:val="auto"/>
                <w:szCs w:val="21"/>
              </w:rPr>
            </w:pPr>
          </w:p>
        </w:tc>
      </w:tr>
      <w:tr w14:paraId="0087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0" w:type="pct"/>
            <w:tcBorders>
              <w:top w:val="single" w:color="auto" w:sz="4" w:space="0"/>
              <w:left w:val="single" w:color="auto" w:sz="4" w:space="0"/>
              <w:bottom w:val="single" w:color="auto" w:sz="4" w:space="0"/>
              <w:right w:val="single" w:color="auto" w:sz="4" w:space="0"/>
            </w:tcBorders>
            <w:vAlign w:val="center"/>
          </w:tcPr>
          <w:p w14:paraId="3A471C44">
            <w:pPr>
              <w:widowControl w:val="0"/>
              <w:adjustRightInd w:val="0"/>
              <w:textAlignment w:val="auto"/>
              <w:rPr>
                <w:rFonts w:ascii="宋体" w:hAnsi="宋体" w:cs="宋体"/>
                <w:color w:val="auto"/>
                <w:szCs w:val="21"/>
              </w:rPr>
            </w:pPr>
            <w:r>
              <w:rPr>
                <w:rFonts w:hint="eastAsia" w:ascii="宋体" w:hAnsi="宋体" w:cs="宋体"/>
                <w:color w:val="auto"/>
                <w:szCs w:val="21"/>
              </w:rPr>
              <w:t>7</w:t>
            </w:r>
          </w:p>
        </w:tc>
        <w:tc>
          <w:tcPr>
            <w:tcW w:w="2913" w:type="pct"/>
            <w:tcBorders>
              <w:top w:val="single" w:color="auto" w:sz="4" w:space="0"/>
              <w:left w:val="single" w:color="auto" w:sz="4" w:space="0"/>
              <w:bottom w:val="single" w:color="auto" w:sz="4" w:space="0"/>
              <w:right w:val="single" w:color="auto" w:sz="4" w:space="0"/>
            </w:tcBorders>
            <w:vAlign w:val="center"/>
          </w:tcPr>
          <w:p w14:paraId="7DAA60D7">
            <w:pPr>
              <w:widowControl w:val="0"/>
              <w:adjustRightInd w:val="0"/>
              <w:textAlignment w:val="auto"/>
              <w:rPr>
                <w:rFonts w:ascii="宋体" w:hAnsi="宋体" w:cs="宋体"/>
                <w:color w:val="auto"/>
                <w:szCs w:val="21"/>
              </w:rPr>
            </w:pPr>
            <w:r>
              <w:rPr>
                <w:rFonts w:hint="eastAsia" w:ascii="Times New Roman" w:hAnsi="Times New Roman"/>
                <w:color w:val="auto"/>
                <w:szCs w:val="21"/>
              </w:rPr>
              <w:t>投标人未按要求提交投标保证金的</w:t>
            </w:r>
          </w:p>
        </w:tc>
        <w:tc>
          <w:tcPr>
            <w:tcW w:w="686" w:type="pct"/>
            <w:tcBorders>
              <w:top w:val="single" w:color="auto" w:sz="4" w:space="0"/>
              <w:left w:val="single" w:color="auto" w:sz="4" w:space="0"/>
              <w:bottom w:val="single" w:color="auto" w:sz="4" w:space="0"/>
              <w:right w:val="single" w:color="auto" w:sz="4" w:space="0"/>
            </w:tcBorders>
          </w:tcPr>
          <w:p w14:paraId="390566CF">
            <w:pPr>
              <w:widowControl w:val="0"/>
              <w:adjustRightInd w:val="0"/>
              <w:textAlignment w:val="auto"/>
              <w:rPr>
                <w:rFonts w:ascii="宋体" w:hAnsi="宋体" w:cs="宋体"/>
                <w:color w:val="auto"/>
                <w:szCs w:val="21"/>
              </w:rPr>
            </w:pPr>
          </w:p>
        </w:tc>
        <w:tc>
          <w:tcPr>
            <w:tcW w:w="500" w:type="pct"/>
            <w:tcBorders>
              <w:top w:val="single" w:color="auto" w:sz="4" w:space="0"/>
              <w:left w:val="single" w:color="auto" w:sz="4" w:space="0"/>
              <w:bottom w:val="single" w:color="auto" w:sz="4" w:space="0"/>
              <w:right w:val="single" w:color="auto" w:sz="4" w:space="0"/>
            </w:tcBorders>
          </w:tcPr>
          <w:p w14:paraId="1AD9BE1D">
            <w:pPr>
              <w:widowControl w:val="0"/>
              <w:adjustRightInd w:val="0"/>
              <w:textAlignment w:val="auto"/>
              <w:rPr>
                <w:rFonts w:ascii="宋体" w:hAnsi="宋体" w:cs="宋体"/>
                <w:color w:val="auto"/>
                <w:szCs w:val="21"/>
              </w:rPr>
            </w:pPr>
          </w:p>
        </w:tc>
        <w:tc>
          <w:tcPr>
            <w:tcW w:w="578" w:type="pct"/>
            <w:tcBorders>
              <w:top w:val="single" w:color="auto" w:sz="4" w:space="0"/>
              <w:left w:val="single" w:color="auto" w:sz="4" w:space="0"/>
              <w:bottom w:val="single" w:color="auto" w:sz="4" w:space="0"/>
              <w:right w:val="single" w:color="auto" w:sz="4" w:space="0"/>
            </w:tcBorders>
          </w:tcPr>
          <w:p w14:paraId="252A3778">
            <w:pPr>
              <w:widowControl w:val="0"/>
              <w:adjustRightInd w:val="0"/>
              <w:textAlignment w:val="auto"/>
              <w:rPr>
                <w:rFonts w:ascii="宋体" w:hAnsi="宋体" w:cs="宋体"/>
                <w:color w:val="auto"/>
                <w:szCs w:val="21"/>
              </w:rPr>
            </w:pPr>
          </w:p>
        </w:tc>
      </w:tr>
      <w:tr w14:paraId="3E68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20" w:type="pct"/>
            <w:tcBorders>
              <w:top w:val="single" w:color="auto" w:sz="4" w:space="0"/>
              <w:left w:val="single" w:color="auto" w:sz="4" w:space="0"/>
              <w:bottom w:val="single" w:color="auto" w:sz="4" w:space="0"/>
              <w:right w:val="single" w:color="auto" w:sz="4" w:space="0"/>
            </w:tcBorders>
            <w:vAlign w:val="center"/>
          </w:tcPr>
          <w:p w14:paraId="4D7CEA71">
            <w:pPr>
              <w:widowControl w:val="0"/>
              <w:adjustRightInd w:val="0"/>
              <w:textAlignment w:val="auto"/>
              <w:rPr>
                <w:rFonts w:ascii="宋体" w:hAnsi="宋体" w:cs="宋体"/>
                <w:color w:val="auto"/>
                <w:szCs w:val="21"/>
              </w:rPr>
            </w:pPr>
            <w:r>
              <w:rPr>
                <w:rFonts w:hint="eastAsia" w:ascii="宋体" w:hAnsi="宋体" w:cs="宋体"/>
                <w:color w:val="auto"/>
                <w:szCs w:val="21"/>
              </w:rPr>
              <w:t>8</w:t>
            </w:r>
          </w:p>
        </w:tc>
        <w:tc>
          <w:tcPr>
            <w:tcW w:w="2913" w:type="pct"/>
            <w:tcBorders>
              <w:top w:val="single" w:color="auto" w:sz="4" w:space="0"/>
              <w:left w:val="single" w:color="auto" w:sz="4" w:space="0"/>
              <w:bottom w:val="single" w:color="auto" w:sz="4" w:space="0"/>
              <w:right w:val="single" w:color="auto" w:sz="4" w:space="0"/>
            </w:tcBorders>
            <w:vAlign w:val="center"/>
          </w:tcPr>
          <w:p w14:paraId="22A6713E">
            <w:pPr>
              <w:widowControl w:val="0"/>
              <w:adjustRightInd w:val="0"/>
              <w:textAlignment w:val="auto"/>
              <w:rPr>
                <w:rFonts w:ascii="宋体" w:hAnsi="宋体" w:cs="宋体"/>
                <w:color w:val="auto"/>
                <w:szCs w:val="21"/>
              </w:rPr>
            </w:pPr>
            <w:r>
              <w:rPr>
                <w:rFonts w:hint="eastAsia" w:ascii="宋体" w:hAnsi="宋体" w:cs="宋体"/>
                <w:color w:val="auto"/>
                <w:szCs w:val="21"/>
              </w:rPr>
              <w:t>投标人与本项目其他投标人加密打包投标文件电脑机器特征码一致的(以交易平台评标系统的检索信息为准)</w:t>
            </w:r>
          </w:p>
        </w:tc>
        <w:tc>
          <w:tcPr>
            <w:tcW w:w="686" w:type="pct"/>
            <w:tcBorders>
              <w:top w:val="single" w:color="auto" w:sz="4" w:space="0"/>
              <w:left w:val="single" w:color="auto" w:sz="4" w:space="0"/>
              <w:bottom w:val="single" w:color="auto" w:sz="4" w:space="0"/>
              <w:right w:val="single" w:color="auto" w:sz="4" w:space="0"/>
            </w:tcBorders>
          </w:tcPr>
          <w:p w14:paraId="7774F0D6">
            <w:pPr>
              <w:widowControl w:val="0"/>
              <w:adjustRightInd w:val="0"/>
              <w:textAlignment w:val="auto"/>
              <w:rPr>
                <w:rFonts w:ascii="宋体" w:hAnsi="宋体" w:cs="宋体"/>
                <w:color w:val="auto"/>
                <w:szCs w:val="21"/>
              </w:rPr>
            </w:pPr>
          </w:p>
        </w:tc>
        <w:tc>
          <w:tcPr>
            <w:tcW w:w="500" w:type="pct"/>
            <w:tcBorders>
              <w:top w:val="single" w:color="auto" w:sz="4" w:space="0"/>
              <w:left w:val="single" w:color="auto" w:sz="4" w:space="0"/>
              <w:bottom w:val="single" w:color="auto" w:sz="4" w:space="0"/>
              <w:right w:val="single" w:color="auto" w:sz="4" w:space="0"/>
            </w:tcBorders>
          </w:tcPr>
          <w:p w14:paraId="246D46F6">
            <w:pPr>
              <w:widowControl w:val="0"/>
              <w:adjustRightInd w:val="0"/>
              <w:textAlignment w:val="auto"/>
              <w:rPr>
                <w:rFonts w:ascii="宋体" w:hAnsi="宋体" w:cs="宋体"/>
                <w:color w:val="auto"/>
                <w:szCs w:val="21"/>
              </w:rPr>
            </w:pPr>
          </w:p>
        </w:tc>
        <w:tc>
          <w:tcPr>
            <w:tcW w:w="578" w:type="pct"/>
            <w:tcBorders>
              <w:top w:val="single" w:color="auto" w:sz="4" w:space="0"/>
              <w:left w:val="single" w:color="auto" w:sz="4" w:space="0"/>
              <w:bottom w:val="single" w:color="auto" w:sz="4" w:space="0"/>
              <w:right w:val="single" w:color="auto" w:sz="4" w:space="0"/>
            </w:tcBorders>
          </w:tcPr>
          <w:p w14:paraId="4A4B5161">
            <w:pPr>
              <w:widowControl w:val="0"/>
              <w:adjustRightInd w:val="0"/>
              <w:textAlignment w:val="auto"/>
              <w:rPr>
                <w:rFonts w:ascii="宋体" w:hAnsi="宋体" w:cs="宋体"/>
                <w:color w:val="auto"/>
                <w:szCs w:val="21"/>
              </w:rPr>
            </w:pPr>
          </w:p>
        </w:tc>
      </w:tr>
    </w:tbl>
    <w:p w14:paraId="533A7028">
      <w:pPr>
        <w:widowControl w:val="0"/>
        <w:textAlignment w:val="auto"/>
        <w:rPr>
          <w:rFonts w:ascii="宋体" w:hAnsi="宋体" w:cs="宋体"/>
          <w:color w:val="auto"/>
          <w:szCs w:val="21"/>
        </w:rPr>
      </w:pPr>
      <w:r>
        <w:rPr>
          <w:rFonts w:hint="eastAsia" w:ascii="宋体" w:hAnsi="宋体" w:cs="宋体"/>
          <w:color w:val="auto"/>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20E22892">
      <w:pPr>
        <w:widowControl w:val="0"/>
        <w:textAlignment w:val="auto"/>
        <w:rPr>
          <w:rFonts w:ascii="宋体" w:hAnsi="宋体" w:cs="宋体"/>
          <w:color w:val="auto"/>
          <w:szCs w:val="21"/>
        </w:rPr>
      </w:pPr>
      <w:r>
        <w:rPr>
          <w:rFonts w:hint="eastAsia" w:ascii="宋体" w:hAnsi="宋体" w:cs="宋体"/>
          <w:color w:val="auto"/>
          <w:szCs w:val="21"/>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08B37E01">
      <w:pPr>
        <w:widowControl w:val="0"/>
        <w:textAlignment w:val="auto"/>
        <w:rPr>
          <w:rFonts w:ascii="宋体" w:hAnsi="宋体" w:cs="宋体"/>
          <w:color w:val="auto"/>
          <w:szCs w:val="21"/>
        </w:rPr>
      </w:pPr>
      <w:r>
        <w:rPr>
          <w:rFonts w:hint="eastAsia" w:ascii="宋体" w:hAnsi="宋体" w:cs="宋体"/>
          <w:color w:val="auto"/>
          <w:szCs w:val="21"/>
        </w:rPr>
        <w:t xml:space="preserve">    3.凡出现以上任何一项情形，结论均为无效，否则就为有效。</w:t>
      </w:r>
    </w:p>
    <w:p w14:paraId="60EF4DDB">
      <w:pPr>
        <w:widowControl w:val="0"/>
        <w:ind w:firstLine="420" w:firstLineChars="200"/>
        <w:textAlignment w:val="auto"/>
        <w:rPr>
          <w:rFonts w:ascii="宋体" w:hAnsi="宋体" w:cs="宋体"/>
          <w:color w:val="auto"/>
          <w:szCs w:val="21"/>
        </w:rPr>
      </w:pPr>
      <w:r>
        <w:rPr>
          <w:rFonts w:hint="eastAsia" w:ascii="宋体" w:hAnsi="宋体" w:cs="宋体"/>
          <w:color w:val="auto"/>
          <w:szCs w:val="21"/>
        </w:rPr>
        <w:t>4.如对本表中某种情形的评审意见不一致时，以评标委员会过半数成员的意见作为评标委员会对该情形的认定结论。</w:t>
      </w:r>
    </w:p>
    <w:p w14:paraId="106614F9">
      <w:pPr>
        <w:widowControl w:val="0"/>
        <w:textAlignment w:val="auto"/>
        <w:rPr>
          <w:rFonts w:ascii="宋体" w:hAnsi="宋体" w:cs="宋体"/>
          <w:color w:val="auto"/>
          <w:szCs w:val="21"/>
        </w:rPr>
      </w:pPr>
      <w:r>
        <w:rPr>
          <w:rFonts w:hint="eastAsia" w:ascii="宋体" w:hAnsi="宋体" w:cs="宋体"/>
          <w:color w:val="auto"/>
          <w:szCs w:val="21"/>
        </w:rPr>
        <w:t>评委签名：</w:t>
      </w:r>
      <w:r>
        <w:rPr>
          <w:rFonts w:hint="eastAsia" w:ascii="宋体" w:hAnsi="宋体" w:cs="宋体"/>
          <w:color w:val="auto"/>
        </w:rPr>
        <w:br w:type="page"/>
      </w:r>
      <w:r>
        <w:rPr>
          <w:rFonts w:hint="eastAsia" w:ascii="宋体" w:hAnsi="宋体" w:cs="宋体"/>
          <w:color w:val="auto"/>
          <w:szCs w:val="21"/>
        </w:rPr>
        <w:t>附表三</w:t>
      </w:r>
    </w:p>
    <w:p w14:paraId="5292D2D0">
      <w:pPr>
        <w:widowControl w:val="0"/>
        <w:jc w:val="center"/>
        <w:textAlignment w:val="auto"/>
        <w:rPr>
          <w:rFonts w:ascii="宋体" w:hAnsi="宋体" w:cs="宋体"/>
          <w:b/>
          <w:color w:val="auto"/>
          <w:sz w:val="36"/>
          <w:szCs w:val="36"/>
        </w:rPr>
      </w:pPr>
      <w:r>
        <w:rPr>
          <w:rFonts w:hint="eastAsia" w:ascii="宋体" w:hAnsi="宋体" w:cs="宋体"/>
          <w:b/>
          <w:color w:val="auto"/>
          <w:sz w:val="36"/>
          <w:szCs w:val="36"/>
        </w:rPr>
        <w:t>经济标有效性审查表</w:t>
      </w:r>
    </w:p>
    <w:p w14:paraId="04F0CFA2">
      <w:pPr>
        <w:widowControl w:val="0"/>
        <w:textAlignment w:val="auto"/>
        <w:rPr>
          <w:rFonts w:ascii="宋体" w:hAnsi="宋体" w:cs="宋体"/>
          <w:color w:val="auto"/>
          <w:szCs w:val="21"/>
        </w:rPr>
      </w:pPr>
      <w:r>
        <w:rPr>
          <w:rFonts w:hint="eastAsia" w:ascii="宋体" w:hAnsi="宋体" w:cs="宋体"/>
          <w:color w:val="auto"/>
          <w:szCs w:val="21"/>
        </w:rPr>
        <w:t>工程名称：</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396"/>
        <w:gridCol w:w="1855"/>
        <w:gridCol w:w="1855"/>
        <w:gridCol w:w="1856"/>
      </w:tblGrid>
      <w:tr w14:paraId="7D35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0" w:type="pct"/>
            <w:tcBorders>
              <w:top w:val="single" w:color="auto" w:sz="4" w:space="0"/>
              <w:left w:val="single" w:color="auto" w:sz="4" w:space="0"/>
              <w:bottom w:val="single" w:color="auto" w:sz="4" w:space="0"/>
              <w:right w:val="single" w:color="auto" w:sz="4" w:space="0"/>
            </w:tcBorders>
            <w:vAlign w:val="center"/>
          </w:tcPr>
          <w:p w14:paraId="3B0712D4">
            <w:pPr>
              <w:widowControl w:val="0"/>
              <w:textAlignment w:val="auto"/>
              <w:rPr>
                <w:rFonts w:ascii="宋体" w:hAnsi="宋体" w:cs="宋体"/>
                <w:color w:val="auto"/>
                <w:szCs w:val="21"/>
              </w:rPr>
            </w:pPr>
            <w:r>
              <w:rPr>
                <w:rFonts w:hint="eastAsia" w:ascii="宋体" w:hAnsi="宋体" w:cs="宋体"/>
                <w:color w:val="auto"/>
                <w:szCs w:val="21"/>
              </w:rPr>
              <w:t>序号</w:t>
            </w:r>
          </w:p>
        </w:tc>
        <w:tc>
          <w:tcPr>
            <w:tcW w:w="2860" w:type="pct"/>
            <w:tcBorders>
              <w:top w:val="single" w:color="auto" w:sz="4" w:space="0"/>
              <w:left w:val="single" w:color="auto" w:sz="4" w:space="0"/>
              <w:bottom w:val="single" w:color="auto" w:sz="4" w:space="0"/>
              <w:right w:val="single" w:color="auto" w:sz="4" w:space="0"/>
              <w:tl2br w:val="single" w:color="auto" w:sz="4" w:space="0"/>
            </w:tcBorders>
          </w:tcPr>
          <w:p w14:paraId="37CD64A2">
            <w:pPr>
              <w:widowControl w:val="0"/>
              <w:textAlignment w:val="auto"/>
              <w:rPr>
                <w:rFonts w:ascii="宋体" w:hAnsi="宋体" w:cs="宋体"/>
                <w:color w:val="auto"/>
                <w:szCs w:val="21"/>
              </w:rPr>
            </w:pPr>
            <w:r>
              <w:rPr>
                <w:rFonts w:hint="eastAsia" w:ascii="宋体" w:hAnsi="宋体" w:cs="宋体"/>
                <w:color w:val="auto"/>
                <w:szCs w:val="21"/>
              </w:rPr>
              <w:t xml:space="preserve">                                                                投标人</w:t>
            </w:r>
          </w:p>
          <w:p w14:paraId="52C64D33">
            <w:pPr>
              <w:widowControl w:val="0"/>
              <w:textAlignment w:val="auto"/>
              <w:rPr>
                <w:rFonts w:ascii="宋体" w:hAnsi="宋体" w:cs="宋体"/>
                <w:color w:val="auto"/>
                <w:szCs w:val="21"/>
              </w:rPr>
            </w:pPr>
          </w:p>
          <w:p w14:paraId="59CC9982">
            <w:pPr>
              <w:widowControl w:val="0"/>
              <w:textAlignment w:val="auto"/>
              <w:rPr>
                <w:rFonts w:ascii="宋体" w:hAnsi="宋体" w:cs="宋体"/>
                <w:color w:val="auto"/>
                <w:szCs w:val="21"/>
              </w:rPr>
            </w:pPr>
            <w:r>
              <w:rPr>
                <w:rFonts w:hint="eastAsia" w:ascii="宋体" w:hAnsi="宋体" w:cs="宋体"/>
                <w:color w:val="auto"/>
                <w:szCs w:val="21"/>
              </w:rPr>
              <w:t>评审内容</w:t>
            </w:r>
          </w:p>
        </w:tc>
        <w:tc>
          <w:tcPr>
            <w:tcW w:w="632" w:type="pct"/>
            <w:tcBorders>
              <w:top w:val="single" w:color="auto" w:sz="4" w:space="0"/>
              <w:left w:val="single" w:color="auto" w:sz="4" w:space="0"/>
              <w:bottom w:val="single" w:color="auto" w:sz="4" w:space="0"/>
              <w:right w:val="single" w:color="auto" w:sz="4" w:space="0"/>
            </w:tcBorders>
          </w:tcPr>
          <w:p w14:paraId="7EE92B1F">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76B60BC3">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3455C368">
            <w:pPr>
              <w:widowControl w:val="0"/>
              <w:textAlignment w:val="auto"/>
              <w:rPr>
                <w:rFonts w:ascii="宋体" w:hAnsi="宋体" w:cs="宋体"/>
                <w:color w:val="auto"/>
                <w:szCs w:val="21"/>
              </w:rPr>
            </w:pPr>
          </w:p>
        </w:tc>
      </w:tr>
      <w:tr w14:paraId="205E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0" w:type="pct"/>
            <w:tcBorders>
              <w:top w:val="single" w:color="auto" w:sz="4" w:space="0"/>
              <w:left w:val="single" w:color="auto" w:sz="4" w:space="0"/>
              <w:bottom w:val="single" w:color="auto" w:sz="4" w:space="0"/>
              <w:right w:val="single" w:color="auto" w:sz="4" w:space="0"/>
            </w:tcBorders>
            <w:vAlign w:val="center"/>
          </w:tcPr>
          <w:p w14:paraId="7682CF64">
            <w:pPr>
              <w:widowControl w:val="0"/>
              <w:textAlignment w:val="auto"/>
              <w:rPr>
                <w:rFonts w:ascii="宋体" w:hAnsi="宋体" w:cs="宋体"/>
                <w:color w:val="auto"/>
                <w:szCs w:val="21"/>
              </w:rPr>
            </w:pPr>
            <w:r>
              <w:rPr>
                <w:rFonts w:hint="eastAsia" w:ascii="宋体" w:hAnsi="宋体" w:cs="宋体"/>
                <w:color w:val="auto"/>
                <w:szCs w:val="21"/>
              </w:rPr>
              <w:t>1</w:t>
            </w:r>
          </w:p>
        </w:tc>
        <w:tc>
          <w:tcPr>
            <w:tcW w:w="2860" w:type="pct"/>
            <w:tcBorders>
              <w:top w:val="single" w:color="auto" w:sz="4" w:space="0"/>
              <w:left w:val="single" w:color="auto" w:sz="4" w:space="0"/>
              <w:bottom w:val="single" w:color="auto" w:sz="4" w:space="0"/>
              <w:right w:val="single" w:color="auto" w:sz="4" w:space="0"/>
            </w:tcBorders>
            <w:vAlign w:val="center"/>
          </w:tcPr>
          <w:p w14:paraId="014FD45E">
            <w:pPr>
              <w:widowControl w:val="0"/>
              <w:textAlignment w:val="auto"/>
              <w:rPr>
                <w:rFonts w:ascii="宋体" w:hAnsi="宋体" w:cs="宋体"/>
                <w:color w:val="auto"/>
                <w:szCs w:val="21"/>
              </w:rPr>
            </w:pPr>
            <w:r>
              <w:rPr>
                <w:rFonts w:hint="eastAsia" w:ascii="宋体" w:hAnsi="宋体" w:cs="宋体"/>
                <w:color w:val="auto"/>
                <w:szCs w:val="21"/>
              </w:rPr>
              <w:t>对同一招标项目出现两个或以上的投标报价，且没有申明哪个有效；</w:t>
            </w:r>
          </w:p>
        </w:tc>
        <w:tc>
          <w:tcPr>
            <w:tcW w:w="632" w:type="pct"/>
            <w:tcBorders>
              <w:top w:val="single" w:color="auto" w:sz="4" w:space="0"/>
              <w:left w:val="single" w:color="auto" w:sz="4" w:space="0"/>
              <w:bottom w:val="single" w:color="auto" w:sz="4" w:space="0"/>
              <w:right w:val="single" w:color="auto" w:sz="4" w:space="0"/>
            </w:tcBorders>
          </w:tcPr>
          <w:p w14:paraId="2B903E45">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56D90C23">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7255A8F7">
            <w:pPr>
              <w:widowControl w:val="0"/>
              <w:textAlignment w:val="auto"/>
              <w:rPr>
                <w:rFonts w:ascii="宋体" w:hAnsi="宋体" w:cs="宋体"/>
                <w:color w:val="auto"/>
                <w:szCs w:val="21"/>
              </w:rPr>
            </w:pPr>
          </w:p>
        </w:tc>
      </w:tr>
      <w:tr w14:paraId="3244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0" w:type="pct"/>
            <w:tcBorders>
              <w:top w:val="single" w:color="auto" w:sz="4" w:space="0"/>
              <w:left w:val="single" w:color="auto" w:sz="4" w:space="0"/>
              <w:bottom w:val="single" w:color="auto" w:sz="4" w:space="0"/>
              <w:right w:val="single" w:color="auto" w:sz="4" w:space="0"/>
            </w:tcBorders>
            <w:vAlign w:val="center"/>
          </w:tcPr>
          <w:p w14:paraId="249F97C2">
            <w:pPr>
              <w:widowControl w:val="0"/>
              <w:textAlignment w:val="auto"/>
              <w:rPr>
                <w:rFonts w:ascii="宋体" w:hAnsi="宋体" w:cs="宋体"/>
                <w:color w:val="auto"/>
                <w:szCs w:val="21"/>
              </w:rPr>
            </w:pPr>
            <w:r>
              <w:rPr>
                <w:rFonts w:hint="eastAsia" w:ascii="宋体" w:hAnsi="宋体" w:cs="宋体"/>
                <w:color w:val="auto"/>
                <w:szCs w:val="21"/>
              </w:rPr>
              <w:t>2</w:t>
            </w:r>
          </w:p>
        </w:tc>
        <w:tc>
          <w:tcPr>
            <w:tcW w:w="2860" w:type="pct"/>
            <w:tcBorders>
              <w:top w:val="single" w:color="auto" w:sz="4" w:space="0"/>
              <w:left w:val="single" w:color="auto" w:sz="4" w:space="0"/>
              <w:bottom w:val="single" w:color="auto" w:sz="4" w:space="0"/>
              <w:right w:val="single" w:color="auto" w:sz="4" w:space="0"/>
            </w:tcBorders>
            <w:vAlign w:val="center"/>
          </w:tcPr>
          <w:p w14:paraId="48B3B4A1">
            <w:pPr>
              <w:widowControl w:val="0"/>
              <w:textAlignment w:val="auto"/>
              <w:rPr>
                <w:rFonts w:ascii="宋体" w:hAnsi="宋体" w:cs="宋体"/>
                <w:color w:val="auto"/>
                <w:szCs w:val="21"/>
              </w:rPr>
            </w:pPr>
            <w:r>
              <w:rPr>
                <w:rFonts w:hint="eastAsia" w:ascii="宋体" w:hAnsi="宋体" w:cs="宋体"/>
                <w:color w:val="auto"/>
                <w:szCs w:val="21"/>
              </w:rPr>
              <w:t>投标报价高于最高投标限价的；</w:t>
            </w:r>
          </w:p>
        </w:tc>
        <w:tc>
          <w:tcPr>
            <w:tcW w:w="632" w:type="pct"/>
            <w:tcBorders>
              <w:top w:val="single" w:color="auto" w:sz="4" w:space="0"/>
              <w:left w:val="single" w:color="auto" w:sz="4" w:space="0"/>
              <w:bottom w:val="single" w:color="auto" w:sz="4" w:space="0"/>
              <w:right w:val="single" w:color="auto" w:sz="4" w:space="0"/>
            </w:tcBorders>
          </w:tcPr>
          <w:p w14:paraId="66396E04">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006EC8A1">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53B7DAD2">
            <w:pPr>
              <w:widowControl w:val="0"/>
              <w:textAlignment w:val="auto"/>
              <w:rPr>
                <w:rFonts w:ascii="宋体" w:hAnsi="宋体" w:cs="宋体"/>
                <w:color w:val="auto"/>
                <w:szCs w:val="21"/>
              </w:rPr>
            </w:pPr>
          </w:p>
        </w:tc>
      </w:tr>
      <w:tr w14:paraId="7DC4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0" w:type="pct"/>
            <w:tcBorders>
              <w:top w:val="single" w:color="auto" w:sz="4" w:space="0"/>
              <w:left w:val="single" w:color="auto" w:sz="4" w:space="0"/>
              <w:bottom w:val="single" w:color="auto" w:sz="4" w:space="0"/>
              <w:right w:val="single" w:color="auto" w:sz="4" w:space="0"/>
            </w:tcBorders>
            <w:vAlign w:val="center"/>
          </w:tcPr>
          <w:p w14:paraId="6F1DBC2B">
            <w:pPr>
              <w:widowControl w:val="0"/>
              <w:textAlignment w:val="auto"/>
              <w:rPr>
                <w:rFonts w:ascii="宋体" w:hAnsi="宋体" w:cs="宋体"/>
                <w:color w:val="auto"/>
                <w:szCs w:val="21"/>
              </w:rPr>
            </w:pPr>
            <w:r>
              <w:rPr>
                <w:rFonts w:hint="eastAsia" w:ascii="宋体" w:hAnsi="宋体" w:cs="宋体"/>
                <w:color w:val="auto"/>
                <w:szCs w:val="21"/>
              </w:rPr>
              <w:t>3</w:t>
            </w:r>
          </w:p>
        </w:tc>
        <w:tc>
          <w:tcPr>
            <w:tcW w:w="2860" w:type="pct"/>
            <w:tcBorders>
              <w:top w:val="single" w:color="auto" w:sz="4" w:space="0"/>
              <w:left w:val="single" w:color="auto" w:sz="4" w:space="0"/>
              <w:bottom w:val="single" w:color="auto" w:sz="4" w:space="0"/>
              <w:right w:val="single" w:color="auto" w:sz="4" w:space="0"/>
            </w:tcBorders>
            <w:vAlign w:val="center"/>
          </w:tcPr>
          <w:p w14:paraId="1CCA21C0">
            <w:pPr>
              <w:widowControl w:val="0"/>
              <w:autoSpaceDE w:val="0"/>
              <w:autoSpaceDN w:val="0"/>
              <w:adjustRightInd w:val="0"/>
              <w:ind w:left="-2" w:leftChars="-1"/>
              <w:jc w:val="left"/>
              <w:textAlignment w:val="auto"/>
              <w:rPr>
                <w:rFonts w:ascii="宋体" w:hAnsi="宋体" w:cs="宋体"/>
                <w:color w:val="auto"/>
                <w:szCs w:val="21"/>
              </w:rPr>
            </w:pPr>
            <w:r>
              <w:rPr>
                <w:rFonts w:hint="eastAsia" w:ascii="宋体" w:hAnsi="宋体" w:cs="宋体"/>
                <w:color w:val="auto"/>
                <w:szCs w:val="21"/>
              </w:rPr>
              <w:t>投标报价低于成本的；</w:t>
            </w:r>
          </w:p>
        </w:tc>
        <w:tc>
          <w:tcPr>
            <w:tcW w:w="632" w:type="pct"/>
            <w:tcBorders>
              <w:top w:val="single" w:color="auto" w:sz="4" w:space="0"/>
              <w:left w:val="single" w:color="auto" w:sz="4" w:space="0"/>
              <w:bottom w:val="single" w:color="auto" w:sz="4" w:space="0"/>
              <w:right w:val="single" w:color="auto" w:sz="4" w:space="0"/>
            </w:tcBorders>
          </w:tcPr>
          <w:p w14:paraId="64F873AF">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3664A25E">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183731B4">
            <w:pPr>
              <w:widowControl w:val="0"/>
              <w:textAlignment w:val="auto"/>
              <w:rPr>
                <w:rFonts w:ascii="宋体" w:hAnsi="宋体" w:cs="宋体"/>
                <w:color w:val="auto"/>
                <w:szCs w:val="21"/>
              </w:rPr>
            </w:pPr>
          </w:p>
        </w:tc>
      </w:tr>
      <w:tr w14:paraId="6A6E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0" w:type="pct"/>
            <w:tcBorders>
              <w:top w:val="single" w:color="auto" w:sz="4" w:space="0"/>
              <w:left w:val="single" w:color="auto" w:sz="4" w:space="0"/>
              <w:bottom w:val="single" w:color="auto" w:sz="4" w:space="0"/>
              <w:right w:val="single" w:color="auto" w:sz="4" w:space="0"/>
            </w:tcBorders>
            <w:vAlign w:val="center"/>
          </w:tcPr>
          <w:p w14:paraId="50A20F5C">
            <w:pPr>
              <w:widowControl w:val="0"/>
              <w:textAlignment w:val="auto"/>
              <w:rPr>
                <w:rFonts w:ascii="宋体" w:hAnsi="宋体" w:cs="宋体"/>
                <w:color w:val="auto"/>
                <w:szCs w:val="21"/>
              </w:rPr>
            </w:pPr>
            <w:r>
              <w:rPr>
                <w:rFonts w:hint="eastAsia" w:ascii="宋体" w:hAnsi="宋体" w:cs="宋体"/>
                <w:color w:val="auto"/>
                <w:szCs w:val="21"/>
              </w:rPr>
              <w:t>4</w:t>
            </w:r>
          </w:p>
        </w:tc>
        <w:tc>
          <w:tcPr>
            <w:tcW w:w="2860" w:type="pct"/>
            <w:tcBorders>
              <w:top w:val="single" w:color="auto" w:sz="4" w:space="0"/>
              <w:left w:val="single" w:color="auto" w:sz="4" w:space="0"/>
              <w:bottom w:val="single" w:color="auto" w:sz="4" w:space="0"/>
              <w:right w:val="single" w:color="auto" w:sz="4" w:space="0"/>
            </w:tcBorders>
            <w:vAlign w:val="center"/>
          </w:tcPr>
          <w:p w14:paraId="3DBDA2B1">
            <w:pPr>
              <w:widowControl w:val="0"/>
              <w:textAlignment w:val="auto"/>
              <w:rPr>
                <w:rFonts w:ascii="宋体" w:hAnsi="宋体" w:cs="宋体"/>
                <w:color w:val="auto"/>
                <w:szCs w:val="21"/>
              </w:rPr>
            </w:pPr>
            <w:r>
              <w:rPr>
                <w:rFonts w:hint="eastAsia" w:ascii="宋体" w:hAnsi="宋体" w:cs="宋体"/>
                <w:color w:val="auto"/>
                <w:szCs w:val="21"/>
              </w:rPr>
              <w:t>投标文件未按规定的格式</w:t>
            </w:r>
            <w:r>
              <w:rPr>
                <w:rFonts w:hint="eastAsia" w:ascii="宋体" w:hAnsi="宋体" w:cs="宋体"/>
                <w:b/>
                <w:bCs/>
                <w:color w:val="auto"/>
                <w:szCs w:val="21"/>
                <w:u w:val="single"/>
              </w:rPr>
              <w:t>（指</w:t>
            </w:r>
            <w:r>
              <w:rPr>
                <w:rFonts w:hint="eastAsia" w:ascii="宋体" w:hAnsi="宋体" w:cs="宋体"/>
                <w:b/>
                <w:bCs/>
                <w:color w:val="auto"/>
                <w:u w:val="single"/>
              </w:rPr>
              <w:t>“第四章经济标投标文件格式”的格式一、格式二</w:t>
            </w:r>
            <w:r>
              <w:rPr>
                <w:rFonts w:hint="eastAsia" w:ascii="宋体" w:hAnsi="宋体" w:cs="宋体"/>
                <w:b/>
                <w:bCs/>
                <w:color w:val="auto"/>
                <w:szCs w:val="21"/>
                <w:u w:val="single"/>
              </w:rPr>
              <w:t>）</w:t>
            </w:r>
            <w:r>
              <w:rPr>
                <w:rFonts w:hint="eastAsia" w:ascii="宋体" w:hAnsi="宋体" w:cs="宋体"/>
                <w:color w:val="auto"/>
                <w:szCs w:val="21"/>
              </w:rPr>
              <w:t>填写，或主要内容不全，或关键字迹模糊、无法辨认的；</w:t>
            </w:r>
          </w:p>
        </w:tc>
        <w:tc>
          <w:tcPr>
            <w:tcW w:w="632" w:type="pct"/>
            <w:tcBorders>
              <w:top w:val="single" w:color="auto" w:sz="4" w:space="0"/>
              <w:left w:val="single" w:color="auto" w:sz="4" w:space="0"/>
              <w:bottom w:val="single" w:color="auto" w:sz="4" w:space="0"/>
              <w:right w:val="single" w:color="auto" w:sz="4" w:space="0"/>
            </w:tcBorders>
          </w:tcPr>
          <w:p w14:paraId="6B61DA0E">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059CAEE0">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7A869BBA">
            <w:pPr>
              <w:widowControl w:val="0"/>
              <w:textAlignment w:val="auto"/>
              <w:rPr>
                <w:rFonts w:ascii="宋体" w:hAnsi="宋体" w:cs="宋体"/>
                <w:color w:val="auto"/>
                <w:szCs w:val="21"/>
              </w:rPr>
            </w:pPr>
          </w:p>
        </w:tc>
      </w:tr>
      <w:tr w14:paraId="78ED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0" w:type="pct"/>
            <w:tcBorders>
              <w:top w:val="single" w:color="auto" w:sz="4" w:space="0"/>
              <w:left w:val="single" w:color="auto" w:sz="4" w:space="0"/>
              <w:bottom w:val="single" w:color="auto" w:sz="4" w:space="0"/>
              <w:right w:val="single" w:color="auto" w:sz="4" w:space="0"/>
            </w:tcBorders>
            <w:vAlign w:val="center"/>
          </w:tcPr>
          <w:p w14:paraId="15A833D3">
            <w:pPr>
              <w:widowControl w:val="0"/>
              <w:textAlignment w:val="auto"/>
              <w:rPr>
                <w:rFonts w:ascii="宋体" w:hAnsi="宋体" w:cs="宋体"/>
                <w:color w:val="auto"/>
                <w:szCs w:val="21"/>
              </w:rPr>
            </w:pPr>
            <w:r>
              <w:rPr>
                <w:rFonts w:hint="eastAsia" w:ascii="宋体" w:hAnsi="宋体" w:cs="宋体"/>
                <w:color w:val="auto"/>
                <w:szCs w:val="21"/>
              </w:rPr>
              <w:t>5</w:t>
            </w:r>
          </w:p>
        </w:tc>
        <w:tc>
          <w:tcPr>
            <w:tcW w:w="2860" w:type="pct"/>
            <w:tcBorders>
              <w:top w:val="single" w:color="auto" w:sz="4" w:space="0"/>
              <w:left w:val="single" w:color="auto" w:sz="4" w:space="0"/>
              <w:bottom w:val="single" w:color="auto" w:sz="4" w:space="0"/>
              <w:right w:val="single" w:color="auto" w:sz="4" w:space="0"/>
            </w:tcBorders>
            <w:vAlign w:val="center"/>
          </w:tcPr>
          <w:p w14:paraId="03C8056A">
            <w:pPr>
              <w:widowControl w:val="0"/>
              <w:textAlignment w:val="auto"/>
              <w:rPr>
                <w:rFonts w:ascii="宋体" w:hAnsi="宋体" w:cs="宋体"/>
                <w:color w:val="auto"/>
                <w:szCs w:val="21"/>
              </w:rPr>
            </w:pPr>
            <w:r>
              <w:rPr>
                <w:rFonts w:hint="eastAsia" w:ascii="宋体" w:hAnsi="宋体" w:cs="宋体"/>
                <w:color w:val="auto"/>
                <w:szCs w:val="21"/>
              </w:rPr>
              <w:t>投标人之间存在《广东省实施&lt;中华人民共和国招标投标法&gt;》第十六条所禁止的情形的；</w:t>
            </w:r>
          </w:p>
        </w:tc>
        <w:tc>
          <w:tcPr>
            <w:tcW w:w="632" w:type="pct"/>
            <w:tcBorders>
              <w:top w:val="single" w:color="auto" w:sz="4" w:space="0"/>
              <w:left w:val="single" w:color="auto" w:sz="4" w:space="0"/>
              <w:bottom w:val="single" w:color="auto" w:sz="4" w:space="0"/>
              <w:right w:val="single" w:color="auto" w:sz="4" w:space="0"/>
            </w:tcBorders>
          </w:tcPr>
          <w:p w14:paraId="5E06C932">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45003A22">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46F661FA">
            <w:pPr>
              <w:widowControl w:val="0"/>
              <w:textAlignment w:val="auto"/>
              <w:rPr>
                <w:rFonts w:ascii="宋体" w:hAnsi="宋体" w:cs="宋体"/>
                <w:color w:val="auto"/>
                <w:szCs w:val="21"/>
              </w:rPr>
            </w:pPr>
          </w:p>
        </w:tc>
      </w:tr>
      <w:tr w14:paraId="3C40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0" w:type="pct"/>
            <w:tcBorders>
              <w:top w:val="single" w:color="auto" w:sz="4" w:space="0"/>
              <w:left w:val="single" w:color="auto" w:sz="4" w:space="0"/>
              <w:bottom w:val="single" w:color="auto" w:sz="4" w:space="0"/>
              <w:right w:val="single" w:color="auto" w:sz="4" w:space="0"/>
            </w:tcBorders>
            <w:vAlign w:val="center"/>
          </w:tcPr>
          <w:p w14:paraId="1DF3B2E5">
            <w:pPr>
              <w:widowControl w:val="0"/>
              <w:textAlignment w:val="auto"/>
              <w:rPr>
                <w:rFonts w:ascii="宋体" w:hAnsi="宋体" w:cs="宋体"/>
                <w:color w:val="auto"/>
                <w:szCs w:val="21"/>
              </w:rPr>
            </w:pPr>
            <w:r>
              <w:rPr>
                <w:rFonts w:hint="eastAsia" w:ascii="宋体" w:hAnsi="宋体" w:cs="宋体"/>
                <w:color w:val="auto"/>
                <w:szCs w:val="21"/>
              </w:rPr>
              <w:t>6</w:t>
            </w:r>
          </w:p>
        </w:tc>
        <w:tc>
          <w:tcPr>
            <w:tcW w:w="2860" w:type="pct"/>
            <w:tcBorders>
              <w:top w:val="single" w:color="auto" w:sz="4" w:space="0"/>
              <w:left w:val="single" w:color="auto" w:sz="4" w:space="0"/>
              <w:bottom w:val="single" w:color="auto" w:sz="4" w:space="0"/>
              <w:right w:val="single" w:color="auto" w:sz="4" w:space="0"/>
            </w:tcBorders>
            <w:vAlign w:val="center"/>
          </w:tcPr>
          <w:p w14:paraId="10F0B094">
            <w:pPr>
              <w:widowControl w:val="0"/>
              <w:textAlignment w:val="auto"/>
              <w:rPr>
                <w:rFonts w:ascii="宋体" w:hAnsi="宋体" w:cs="宋体"/>
                <w:color w:val="auto"/>
                <w:szCs w:val="21"/>
              </w:rPr>
            </w:pPr>
            <w:r>
              <w:rPr>
                <w:rFonts w:hint="eastAsia" w:ascii="宋体" w:hAnsi="宋体" w:cs="宋体"/>
                <w:color w:val="auto"/>
                <w:szCs w:val="21"/>
              </w:rPr>
              <w:t>无《参与编制经济标投标文件人员名单》的；</w:t>
            </w:r>
          </w:p>
        </w:tc>
        <w:tc>
          <w:tcPr>
            <w:tcW w:w="632" w:type="pct"/>
            <w:tcBorders>
              <w:top w:val="single" w:color="auto" w:sz="4" w:space="0"/>
              <w:left w:val="single" w:color="auto" w:sz="4" w:space="0"/>
              <w:bottom w:val="single" w:color="auto" w:sz="4" w:space="0"/>
              <w:right w:val="single" w:color="auto" w:sz="4" w:space="0"/>
            </w:tcBorders>
          </w:tcPr>
          <w:p w14:paraId="0A029747">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591662E2">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184C5AC8">
            <w:pPr>
              <w:widowControl w:val="0"/>
              <w:textAlignment w:val="auto"/>
              <w:rPr>
                <w:rFonts w:ascii="宋体" w:hAnsi="宋体" w:cs="宋体"/>
                <w:color w:val="auto"/>
                <w:szCs w:val="21"/>
              </w:rPr>
            </w:pPr>
          </w:p>
        </w:tc>
      </w:tr>
      <w:tr w14:paraId="075F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0" w:type="pct"/>
            <w:tcBorders>
              <w:top w:val="single" w:color="auto" w:sz="4" w:space="0"/>
              <w:left w:val="single" w:color="auto" w:sz="4" w:space="0"/>
              <w:bottom w:val="single" w:color="auto" w:sz="4" w:space="0"/>
              <w:right w:val="single" w:color="auto" w:sz="4" w:space="0"/>
            </w:tcBorders>
            <w:vAlign w:val="center"/>
          </w:tcPr>
          <w:p w14:paraId="19344FE3">
            <w:pPr>
              <w:widowControl w:val="0"/>
              <w:textAlignment w:val="auto"/>
              <w:rPr>
                <w:rFonts w:ascii="宋体" w:hAnsi="宋体" w:cs="宋体"/>
                <w:color w:val="auto"/>
                <w:szCs w:val="21"/>
              </w:rPr>
            </w:pPr>
            <w:r>
              <w:rPr>
                <w:rFonts w:hint="eastAsia" w:ascii="宋体" w:hAnsi="宋体" w:cs="宋体"/>
                <w:color w:val="auto"/>
                <w:szCs w:val="21"/>
              </w:rPr>
              <w:t>7</w:t>
            </w:r>
          </w:p>
        </w:tc>
        <w:tc>
          <w:tcPr>
            <w:tcW w:w="2860" w:type="pct"/>
            <w:tcBorders>
              <w:top w:val="single" w:color="auto" w:sz="4" w:space="0"/>
              <w:left w:val="single" w:color="auto" w:sz="4" w:space="0"/>
              <w:bottom w:val="single" w:color="auto" w:sz="4" w:space="0"/>
              <w:right w:val="single" w:color="auto" w:sz="4" w:space="0"/>
            </w:tcBorders>
            <w:vAlign w:val="center"/>
          </w:tcPr>
          <w:p w14:paraId="7210EC2E">
            <w:pPr>
              <w:widowControl w:val="0"/>
              <w:textAlignment w:val="auto"/>
              <w:rPr>
                <w:rFonts w:ascii="宋体" w:hAnsi="宋体" w:cs="宋体"/>
                <w:color w:val="auto"/>
                <w:szCs w:val="21"/>
              </w:rPr>
            </w:pPr>
            <w:r>
              <w:rPr>
                <w:rFonts w:hint="eastAsia" w:ascii="宋体" w:hAnsi="宋体" w:cs="宋体"/>
                <w:color w:val="auto"/>
                <w:szCs w:val="21"/>
              </w:rPr>
              <w:t>无《对投标文件编制的承诺》</w:t>
            </w:r>
          </w:p>
        </w:tc>
        <w:tc>
          <w:tcPr>
            <w:tcW w:w="632" w:type="pct"/>
            <w:tcBorders>
              <w:top w:val="single" w:color="auto" w:sz="4" w:space="0"/>
              <w:left w:val="single" w:color="auto" w:sz="4" w:space="0"/>
              <w:bottom w:val="single" w:color="auto" w:sz="4" w:space="0"/>
              <w:right w:val="single" w:color="auto" w:sz="4" w:space="0"/>
            </w:tcBorders>
          </w:tcPr>
          <w:p w14:paraId="19EB3CEC">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7F96D0EB">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45B48EE4">
            <w:pPr>
              <w:widowControl w:val="0"/>
              <w:textAlignment w:val="auto"/>
              <w:rPr>
                <w:rFonts w:ascii="宋体" w:hAnsi="宋体" w:cs="宋体"/>
                <w:color w:val="auto"/>
                <w:szCs w:val="21"/>
              </w:rPr>
            </w:pPr>
          </w:p>
        </w:tc>
      </w:tr>
      <w:tr w14:paraId="5404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0" w:type="pct"/>
            <w:tcBorders>
              <w:top w:val="single" w:color="auto" w:sz="4" w:space="0"/>
              <w:left w:val="single" w:color="auto" w:sz="4" w:space="0"/>
              <w:bottom w:val="single" w:color="auto" w:sz="4" w:space="0"/>
              <w:right w:val="single" w:color="auto" w:sz="4" w:space="0"/>
            </w:tcBorders>
            <w:vAlign w:val="center"/>
          </w:tcPr>
          <w:p w14:paraId="3D02BF79">
            <w:pPr>
              <w:widowControl w:val="0"/>
              <w:textAlignment w:val="auto"/>
              <w:rPr>
                <w:rFonts w:ascii="宋体" w:hAnsi="宋体" w:cs="宋体"/>
                <w:color w:val="auto"/>
                <w:szCs w:val="21"/>
              </w:rPr>
            </w:pPr>
            <w:r>
              <w:rPr>
                <w:rFonts w:hint="eastAsia" w:ascii="宋体" w:hAnsi="宋体" w:cs="宋体"/>
                <w:color w:val="auto"/>
                <w:szCs w:val="21"/>
              </w:rPr>
              <w:t>8</w:t>
            </w:r>
          </w:p>
        </w:tc>
        <w:tc>
          <w:tcPr>
            <w:tcW w:w="2860" w:type="pct"/>
            <w:tcBorders>
              <w:top w:val="single" w:color="auto" w:sz="4" w:space="0"/>
              <w:left w:val="single" w:color="auto" w:sz="4" w:space="0"/>
              <w:bottom w:val="single" w:color="auto" w:sz="4" w:space="0"/>
              <w:right w:val="single" w:color="auto" w:sz="4" w:space="0"/>
            </w:tcBorders>
            <w:vAlign w:val="center"/>
          </w:tcPr>
          <w:p w14:paraId="7E5EBA7B">
            <w:pPr>
              <w:widowControl w:val="0"/>
              <w:textAlignment w:val="auto"/>
              <w:rPr>
                <w:rFonts w:ascii="宋体" w:hAnsi="宋体" w:cs="宋体"/>
                <w:color w:val="auto"/>
                <w:szCs w:val="21"/>
              </w:rPr>
            </w:pPr>
            <w:r>
              <w:rPr>
                <w:rFonts w:hint="eastAsia" w:ascii="宋体" w:hAnsi="宋体" w:cs="宋体"/>
                <w:color w:val="auto"/>
                <w:szCs w:val="21"/>
              </w:rPr>
              <w:t>投标人与本项目其他投标人的投标文件工程量清单编制机器硬件信息一致的（以交易平台评标系统的检索信息为准）</w:t>
            </w:r>
          </w:p>
        </w:tc>
        <w:tc>
          <w:tcPr>
            <w:tcW w:w="632" w:type="pct"/>
            <w:tcBorders>
              <w:top w:val="single" w:color="auto" w:sz="4" w:space="0"/>
              <w:left w:val="single" w:color="auto" w:sz="4" w:space="0"/>
              <w:bottom w:val="single" w:color="auto" w:sz="4" w:space="0"/>
              <w:right w:val="single" w:color="auto" w:sz="4" w:space="0"/>
            </w:tcBorders>
          </w:tcPr>
          <w:p w14:paraId="5D181F43">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0AAFDD2A">
            <w:pPr>
              <w:widowControl w:val="0"/>
              <w:textAlignment w:val="auto"/>
              <w:rPr>
                <w:rFonts w:ascii="宋体" w:hAnsi="宋体" w:cs="宋体"/>
                <w:color w:val="auto"/>
                <w:szCs w:val="21"/>
              </w:rPr>
            </w:pPr>
          </w:p>
        </w:tc>
        <w:tc>
          <w:tcPr>
            <w:tcW w:w="632" w:type="pct"/>
            <w:tcBorders>
              <w:top w:val="single" w:color="auto" w:sz="4" w:space="0"/>
              <w:left w:val="single" w:color="auto" w:sz="4" w:space="0"/>
              <w:bottom w:val="single" w:color="auto" w:sz="4" w:space="0"/>
              <w:right w:val="single" w:color="auto" w:sz="4" w:space="0"/>
            </w:tcBorders>
          </w:tcPr>
          <w:p w14:paraId="403A65A9">
            <w:pPr>
              <w:widowControl w:val="0"/>
              <w:textAlignment w:val="auto"/>
              <w:rPr>
                <w:rFonts w:ascii="宋体" w:hAnsi="宋体" w:cs="宋体"/>
                <w:color w:val="auto"/>
                <w:szCs w:val="21"/>
              </w:rPr>
            </w:pPr>
          </w:p>
        </w:tc>
      </w:tr>
    </w:tbl>
    <w:p w14:paraId="0279857B">
      <w:pPr>
        <w:widowControl w:val="0"/>
        <w:ind w:firstLine="458"/>
        <w:textAlignment w:val="auto"/>
        <w:rPr>
          <w:rFonts w:ascii="宋体" w:hAnsi="宋体" w:cs="宋体"/>
          <w:color w:val="auto"/>
          <w:szCs w:val="21"/>
        </w:rPr>
      </w:pPr>
      <w:r>
        <w:rPr>
          <w:rFonts w:hint="eastAsia" w:ascii="宋体" w:hAnsi="宋体" w:cs="宋体"/>
          <w:color w:val="auto"/>
          <w:szCs w:val="21"/>
        </w:rPr>
        <w:t>注：1.本表使用GZZB2018-3招标文件范本，与范本内容不同之处均以下划线标明。</w:t>
      </w:r>
    </w:p>
    <w:p w14:paraId="2026F2E6">
      <w:pPr>
        <w:widowControl w:val="0"/>
        <w:ind w:firstLine="458"/>
        <w:textAlignment w:val="auto"/>
        <w:rPr>
          <w:rFonts w:ascii="宋体" w:hAnsi="宋体" w:cs="宋体"/>
          <w:color w:val="auto"/>
          <w:szCs w:val="21"/>
        </w:rPr>
      </w:pPr>
      <w:r>
        <w:rPr>
          <w:rFonts w:hint="eastAsia" w:ascii="宋体" w:hAnsi="宋体" w:cs="宋体"/>
          <w:color w:val="auto"/>
          <w:szCs w:val="21"/>
        </w:rPr>
        <w:t>2.凡出现以上任何一项情形，结论均为无效，否则就为有效。</w:t>
      </w:r>
    </w:p>
    <w:p w14:paraId="73ADF9CF">
      <w:pPr>
        <w:widowControl w:val="0"/>
        <w:ind w:firstLine="458"/>
        <w:textAlignment w:val="auto"/>
        <w:rPr>
          <w:rFonts w:ascii="宋体" w:hAnsi="宋体" w:cs="宋体"/>
          <w:color w:val="auto"/>
          <w:szCs w:val="21"/>
        </w:rPr>
      </w:pPr>
      <w:r>
        <w:rPr>
          <w:rFonts w:hint="eastAsia" w:ascii="宋体" w:hAnsi="宋体" w:cs="宋体"/>
          <w:color w:val="auto"/>
          <w:szCs w:val="21"/>
        </w:rPr>
        <w:t>3.如对本表中某种情形的评审意见不一致时，以评标委员会过半数成员的意见作为评标委员会对该情形的认定结论。</w:t>
      </w:r>
    </w:p>
    <w:p w14:paraId="1F1235EB">
      <w:pPr>
        <w:widowControl w:val="0"/>
        <w:spacing w:after="120"/>
        <w:ind w:firstLine="458"/>
        <w:rPr>
          <w:rFonts w:ascii="宋体" w:hAnsi="宋体" w:cs="宋体"/>
          <w:color w:val="auto"/>
          <w:kern w:val="0"/>
          <w:sz w:val="20"/>
          <w:szCs w:val="21"/>
        </w:rPr>
      </w:pPr>
      <w:r>
        <w:rPr>
          <w:rFonts w:hint="eastAsia" w:ascii="宋体" w:hAnsi="宋体" w:cs="宋体"/>
          <w:color w:val="auto"/>
          <w:kern w:val="0"/>
          <w:sz w:val="20"/>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A3F36DA">
      <w:pPr>
        <w:ind w:firstLine="458"/>
        <w:rPr>
          <w:rFonts w:ascii="宋体" w:hAnsi="宋体" w:cs="宋体"/>
          <w:color w:val="auto"/>
          <w:szCs w:val="21"/>
        </w:rPr>
        <w:sectPr>
          <w:pgSz w:w="16838" w:h="11906" w:orient="landscape"/>
          <w:pgMar w:top="1418" w:right="1247" w:bottom="1418" w:left="1134" w:header="851" w:footer="737" w:gutter="0"/>
          <w:pgNumType w:fmt="decimal"/>
          <w:cols w:space="720" w:num="1"/>
          <w:titlePg/>
          <w:docGrid w:type="lines" w:linePitch="312" w:charSpace="0"/>
        </w:sectPr>
      </w:pPr>
      <w:r>
        <w:rPr>
          <w:rFonts w:hint="eastAsia" w:ascii="宋体" w:hAnsi="宋体" w:cs="宋体"/>
          <w:color w:val="auto"/>
          <w:kern w:val="0"/>
          <w:sz w:val="20"/>
          <w:szCs w:val="21"/>
        </w:rPr>
        <w:t>评委签名：</w:t>
      </w:r>
    </w:p>
    <w:p w14:paraId="6CE2E230">
      <w:pPr>
        <w:widowControl w:val="0"/>
        <w:textAlignment w:val="auto"/>
        <w:rPr>
          <w:rFonts w:ascii="Times New Roman" w:hAnsi="Times New Roman"/>
          <w:color w:val="auto"/>
          <w:szCs w:val="21"/>
        </w:rPr>
      </w:pPr>
      <w:r>
        <w:rPr>
          <w:rFonts w:hint="eastAsia" w:ascii="Times New Roman" w:hAnsi="Times New Roman"/>
          <w:color w:val="auto"/>
          <w:szCs w:val="21"/>
        </w:rPr>
        <w:t>附表四</w:t>
      </w:r>
    </w:p>
    <w:p w14:paraId="1D1819C0">
      <w:pPr>
        <w:widowControl w:val="0"/>
        <w:spacing w:line="360" w:lineRule="auto"/>
        <w:jc w:val="center"/>
        <w:textAlignment w:val="auto"/>
        <w:rPr>
          <w:rFonts w:ascii="宋体" w:hAnsi="宋体" w:cs="宋体"/>
          <w:b/>
          <w:color w:val="auto"/>
          <w:sz w:val="32"/>
          <w:szCs w:val="32"/>
        </w:rPr>
      </w:pPr>
      <w:r>
        <w:rPr>
          <w:rFonts w:hint="eastAsia" w:ascii="宋体" w:hAnsi="宋体" w:cs="宋体"/>
          <w:b/>
          <w:color w:val="auto"/>
          <w:sz w:val="32"/>
          <w:szCs w:val="32"/>
        </w:rPr>
        <w:t>技术标详细审查评分表</w:t>
      </w:r>
    </w:p>
    <w:tbl>
      <w:tblPr>
        <w:tblStyle w:val="24"/>
        <w:tblW w:w="14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300"/>
        <w:gridCol w:w="960"/>
        <w:gridCol w:w="10800"/>
      </w:tblGrid>
      <w:tr w14:paraId="7EF0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trPr>
        <w:tc>
          <w:tcPr>
            <w:tcW w:w="1340" w:type="dxa"/>
            <w:shd w:val="clear" w:color="auto" w:fill="auto"/>
            <w:vAlign w:val="center"/>
          </w:tcPr>
          <w:p w14:paraId="25A5B340">
            <w:pPr>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评分项目</w:t>
            </w:r>
          </w:p>
        </w:tc>
        <w:tc>
          <w:tcPr>
            <w:tcW w:w="1300" w:type="dxa"/>
            <w:shd w:val="clear" w:color="auto" w:fill="auto"/>
            <w:vAlign w:val="center"/>
          </w:tcPr>
          <w:p w14:paraId="24C95780">
            <w:pPr>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评分内容</w:t>
            </w:r>
          </w:p>
        </w:tc>
        <w:tc>
          <w:tcPr>
            <w:tcW w:w="960" w:type="dxa"/>
            <w:shd w:val="clear" w:color="auto" w:fill="auto"/>
            <w:vAlign w:val="center"/>
          </w:tcPr>
          <w:p w14:paraId="176AF158">
            <w:pPr>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分值</w:t>
            </w:r>
          </w:p>
        </w:tc>
        <w:tc>
          <w:tcPr>
            <w:tcW w:w="10800" w:type="dxa"/>
            <w:shd w:val="clear" w:color="auto" w:fill="auto"/>
            <w:vAlign w:val="center"/>
          </w:tcPr>
          <w:p w14:paraId="24472423">
            <w:pPr>
              <w:jc w:val="center"/>
              <w:textAlignment w:val="auto"/>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评审标准</w:t>
            </w:r>
          </w:p>
        </w:tc>
      </w:tr>
      <w:tr w14:paraId="2474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40" w:type="dxa"/>
            <w:vMerge w:val="restart"/>
            <w:shd w:val="clear" w:color="auto" w:fill="auto"/>
            <w:vAlign w:val="center"/>
          </w:tcPr>
          <w:p w14:paraId="7F0EDD28">
            <w:pP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一、企业资信（30 分）</w:t>
            </w:r>
          </w:p>
        </w:tc>
        <w:tc>
          <w:tcPr>
            <w:tcW w:w="1300" w:type="dxa"/>
            <w:shd w:val="clear" w:color="auto" w:fill="auto"/>
            <w:vAlign w:val="center"/>
          </w:tcPr>
          <w:p w14:paraId="51288D76">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类似工程业绩</w:t>
            </w:r>
          </w:p>
        </w:tc>
        <w:tc>
          <w:tcPr>
            <w:tcW w:w="960" w:type="dxa"/>
            <w:shd w:val="clear" w:color="auto" w:fill="auto"/>
            <w:vAlign w:val="center"/>
          </w:tcPr>
          <w:p w14:paraId="7AA213DB">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20</w:t>
            </w:r>
          </w:p>
        </w:tc>
        <w:tc>
          <w:tcPr>
            <w:tcW w:w="10800" w:type="dxa"/>
            <w:shd w:val="clear" w:color="auto" w:fill="auto"/>
            <w:vAlign w:val="center"/>
          </w:tcPr>
          <w:p w14:paraId="1438ECFD">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投标人自</w:t>
            </w:r>
            <w:r>
              <w:rPr>
                <w:rFonts w:ascii="微软雅黑" w:hAnsi="微软雅黑" w:eastAsia="微软雅黑" w:cs="宋体"/>
                <w:color w:val="auto"/>
                <w:kern w:val="0"/>
                <w:sz w:val="18"/>
                <w:szCs w:val="18"/>
              </w:rPr>
              <w:t>2021年1月1日至投标截止时间止，完成过质量合格且金额大于或等于人民币1500万元的</w:t>
            </w:r>
            <w:r>
              <w:rPr>
                <w:rFonts w:hint="eastAsia" w:ascii="微软雅黑" w:hAnsi="微软雅黑" w:eastAsia="微软雅黑" w:cs="宋体"/>
                <w:color w:val="auto"/>
                <w:kern w:val="0"/>
                <w:sz w:val="18"/>
                <w:szCs w:val="18"/>
              </w:rPr>
              <w:t>建筑装修装饰工程</w:t>
            </w:r>
            <w:r>
              <w:rPr>
                <w:rFonts w:ascii="微软雅黑" w:hAnsi="微软雅黑" w:eastAsia="微软雅黑" w:cs="宋体"/>
                <w:color w:val="auto"/>
                <w:kern w:val="0"/>
                <w:sz w:val="18"/>
                <w:szCs w:val="18"/>
              </w:rPr>
              <w:t>,</w:t>
            </w:r>
            <w:r>
              <w:rPr>
                <w:rFonts w:hint="eastAsia" w:ascii="微软雅黑" w:hAnsi="微软雅黑" w:eastAsia="微软雅黑" w:cs="宋体"/>
                <w:color w:val="auto"/>
                <w:kern w:val="0"/>
                <w:sz w:val="18"/>
                <w:szCs w:val="18"/>
              </w:rPr>
              <w:t>每项得</w:t>
            </w:r>
            <w:r>
              <w:rPr>
                <w:rFonts w:ascii="微软雅黑" w:hAnsi="微软雅黑" w:eastAsia="微软雅黑" w:cs="宋体"/>
                <w:color w:val="auto"/>
                <w:kern w:val="0"/>
                <w:sz w:val="18"/>
                <w:szCs w:val="18"/>
              </w:rPr>
              <w:t>10</w:t>
            </w:r>
            <w:r>
              <w:rPr>
                <w:rFonts w:hint="eastAsia" w:ascii="微软雅黑" w:hAnsi="微软雅黑" w:eastAsia="微软雅黑" w:cs="宋体"/>
                <w:color w:val="auto"/>
                <w:kern w:val="0"/>
                <w:sz w:val="18"/>
                <w:szCs w:val="18"/>
              </w:rPr>
              <w:t>分</w:t>
            </w:r>
            <w:r>
              <w:rPr>
                <w:rFonts w:hint="eastAsia" w:ascii="微软雅黑" w:hAnsi="微软雅黑" w:eastAsia="微软雅黑" w:cs="宋体"/>
                <w:color w:val="auto"/>
                <w:kern w:val="0"/>
                <w:sz w:val="18"/>
                <w:szCs w:val="18"/>
              </w:rPr>
              <w:t>，不满足上述情况的不得分；本项最高得</w:t>
            </w:r>
            <w:r>
              <w:rPr>
                <w:rFonts w:ascii="微软雅黑" w:hAnsi="微软雅黑" w:eastAsia="微软雅黑" w:cs="宋体"/>
                <w:color w:val="auto"/>
                <w:kern w:val="0"/>
                <w:sz w:val="18"/>
                <w:szCs w:val="18"/>
              </w:rPr>
              <w:t>20分。</w:t>
            </w:r>
          </w:p>
        </w:tc>
      </w:tr>
      <w:tr w14:paraId="0286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340" w:type="dxa"/>
            <w:vMerge w:val="continue"/>
            <w:vAlign w:val="center"/>
          </w:tcPr>
          <w:p w14:paraId="29EBB61B">
            <w:pPr>
              <w:jc w:val="left"/>
              <w:textAlignment w:val="auto"/>
              <w:rPr>
                <w:rFonts w:ascii="微软雅黑" w:hAnsi="微软雅黑" w:eastAsia="微软雅黑" w:cs="宋体"/>
                <w:color w:val="auto"/>
                <w:kern w:val="0"/>
                <w:sz w:val="18"/>
                <w:szCs w:val="18"/>
              </w:rPr>
            </w:pPr>
          </w:p>
        </w:tc>
        <w:tc>
          <w:tcPr>
            <w:tcW w:w="1300" w:type="dxa"/>
            <w:shd w:val="clear" w:color="auto" w:fill="auto"/>
            <w:vAlign w:val="center"/>
          </w:tcPr>
          <w:p w14:paraId="671B9D6F">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工程奖项</w:t>
            </w:r>
          </w:p>
        </w:tc>
        <w:tc>
          <w:tcPr>
            <w:tcW w:w="960" w:type="dxa"/>
            <w:shd w:val="clear" w:color="auto" w:fill="auto"/>
            <w:vAlign w:val="center"/>
          </w:tcPr>
          <w:p w14:paraId="540A7637">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w:t>
            </w:r>
          </w:p>
        </w:tc>
        <w:tc>
          <w:tcPr>
            <w:tcW w:w="10800" w:type="dxa"/>
            <w:shd w:val="clear" w:color="auto" w:fill="auto"/>
            <w:vAlign w:val="center"/>
          </w:tcPr>
          <w:p w14:paraId="40CB6DBB">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投标人自</w:t>
            </w:r>
            <w:r>
              <w:rPr>
                <w:rFonts w:ascii="微软雅黑" w:hAnsi="微软雅黑" w:eastAsia="微软雅黑" w:cs="宋体"/>
                <w:color w:val="auto"/>
                <w:kern w:val="0"/>
                <w:sz w:val="18"/>
                <w:szCs w:val="18"/>
              </w:rPr>
              <w:t>2021年1月1日至投标截止时间止，承接的装修工程：</w:t>
            </w:r>
          </w:p>
          <w:p w14:paraId="78DD88FF">
            <w:pPr>
              <w:jc w:val="left"/>
              <w:textAlignment w:val="auto"/>
              <w:rPr>
                <w:rFonts w:ascii="微软雅黑" w:hAnsi="微软雅黑" w:eastAsia="微软雅黑" w:cs="宋体"/>
                <w:color w:val="auto"/>
                <w:kern w:val="0"/>
                <w:sz w:val="18"/>
                <w:szCs w:val="18"/>
              </w:rPr>
            </w:pPr>
            <w:r>
              <w:rPr>
                <w:rFonts w:ascii="微软雅黑" w:hAnsi="微软雅黑" w:eastAsia="微软雅黑" w:cs="宋体"/>
                <w:color w:val="auto"/>
                <w:kern w:val="0"/>
                <w:sz w:val="18"/>
                <w:szCs w:val="18"/>
              </w:rPr>
              <w:t>(1)获得国家级</w:t>
            </w:r>
            <w:r>
              <w:rPr>
                <w:rFonts w:hint="eastAsia" w:ascii="微软雅黑" w:hAnsi="微软雅黑" w:eastAsia="微软雅黑" w:cs="宋体"/>
                <w:color w:val="auto"/>
                <w:kern w:val="0"/>
                <w:sz w:val="18"/>
                <w:szCs w:val="18"/>
              </w:rPr>
              <w:t>质量</w:t>
            </w:r>
            <w:r>
              <w:rPr>
                <w:rFonts w:ascii="微软雅黑" w:hAnsi="微软雅黑" w:eastAsia="微软雅黑" w:cs="宋体"/>
                <w:color w:val="auto"/>
                <w:kern w:val="0"/>
                <w:sz w:val="18"/>
                <w:szCs w:val="18"/>
              </w:rPr>
              <w:t>奖项的，每项得3</w:t>
            </w:r>
            <w:r>
              <w:rPr>
                <w:rFonts w:hint="eastAsia" w:ascii="微软雅黑" w:hAnsi="微软雅黑" w:eastAsia="微软雅黑" w:cs="宋体"/>
                <w:color w:val="auto"/>
                <w:kern w:val="0"/>
                <w:sz w:val="18"/>
                <w:szCs w:val="18"/>
              </w:rPr>
              <w:t>分，最高得</w:t>
            </w:r>
            <w:r>
              <w:rPr>
                <w:rFonts w:ascii="微软雅黑" w:hAnsi="微软雅黑" w:eastAsia="微软雅黑" w:cs="宋体"/>
                <w:color w:val="auto"/>
                <w:kern w:val="0"/>
                <w:sz w:val="18"/>
                <w:szCs w:val="18"/>
              </w:rPr>
              <w:t>6分；</w:t>
            </w:r>
          </w:p>
          <w:p w14:paraId="3EBD41EA">
            <w:pPr>
              <w:jc w:val="left"/>
              <w:textAlignment w:val="auto"/>
              <w:rPr>
                <w:rFonts w:ascii="微软雅黑" w:hAnsi="微软雅黑" w:eastAsia="微软雅黑" w:cs="宋体"/>
                <w:color w:val="auto"/>
                <w:kern w:val="0"/>
                <w:sz w:val="18"/>
                <w:szCs w:val="18"/>
              </w:rPr>
            </w:pPr>
            <w:r>
              <w:rPr>
                <w:rFonts w:ascii="微软雅黑" w:hAnsi="微软雅黑" w:eastAsia="微软雅黑" w:cs="宋体"/>
                <w:color w:val="auto"/>
                <w:kern w:val="0"/>
                <w:sz w:val="18"/>
                <w:szCs w:val="18"/>
              </w:rPr>
              <w:t>(2)获得省级（或直辖市）质量类奖项的，每项得2</w:t>
            </w:r>
            <w:r>
              <w:rPr>
                <w:rFonts w:hint="eastAsia" w:ascii="微软雅黑" w:hAnsi="微软雅黑" w:eastAsia="微软雅黑" w:cs="宋体"/>
                <w:color w:val="auto"/>
                <w:kern w:val="0"/>
                <w:sz w:val="18"/>
                <w:szCs w:val="18"/>
              </w:rPr>
              <w:t>分，最高得</w:t>
            </w:r>
            <w:r>
              <w:rPr>
                <w:rFonts w:ascii="微软雅黑" w:hAnsi="微软雅黑" w:eastAsia="微软雅黑" w:cs="宋体"/>
                <w:color w:val="auto"/>
                <w:kern w:val="0"/>
                <w:sz w:val="18"/>
                <w:szCs w:val="18"/>
              </w:rPr>
              <w:t>6</w:t>
            </w:r>
            <w:r>
              <w:rPr>
                <w:rFonts w:hint="eastAsia" w:ascii="微软雅黑" w:hAnsi="微软雅黑" w:eastAsia="微软雅黑" w:cs="宋体"/>
                <w:color w:val="auto"/>
                <w:kern w:val="0"/>
                <w:sz w:val="18"/>
                <w:szCs w:val="18"/>
              </w:rPr>
              <w:t>分；</w:t>
            </w:r>
          </w:p>
          <w:p w14:paraId="4912533F">
            <w:pPr>
              <w:jc w:val="left"/>
              <w:textAlignment w:val="auto"/>
              <w:rPr>
                <w:rFonts w:ascii="微软雅黑" w:hAnsi="微软雅黑" w:eastAsia="微软雅黑" w:cs="宋体"/>
                <w:color w:val="auto"/>
                <w:kern w:val="0"/>
                <w:sz w:val="18"/>
                <w:szCs w:val="18"/>
              </w:rPr>
            </w:pPr>
            <w:r>
              <w:rPr>
                <w:rFonts w:ascii="微软雅黑" w:hAnsi="微软雅黑" w:eastAsia="微软雅黑" w:cs="宋体"/>
                <w:color w:val="auto"/>
                <w:kern w:val="0"/>
                <w:sz w:val="18"/>
                <w:szCs w:val="18"/>
              </w:rPr>
              <w:t>(3)获得市级质量类奖项的，</w:t>
            </w:r>
            <w:r>
              <w:rPr>
                <w:rFonts w:ascii="微软雅黑" w:hAnsi="微软雅黑" w:eastAsia="微软雅黑" w:cs="宋体"/>
                <w:color w:val="auto"/>
                <w:kern w:val="0"/>
                <w:sz w:val="18"/>
                <w:szCs w:val="18"/>
              </w:rPr>
              <w:t>每项得1</w:t>
            </w:r>
            <w:r>
              <w:rPr>
                <w:rFonts w:hint="eastAsia" w:ascii="微软雅黑" w:hAnsi="微软雅黑" w:eastAsia="微软雅黑" w:cs="宋体"/>
                <w:color w:val="auto"/>
                <w:kern w:val="0"/>
                <w:sz w:val="18"/>
                <w:szCs w:val="18"/>
              </w:rPr>
              <w:t>分，最高得</w:t>
            </w:r>
            <w:r>
              <w:rPr>
                <w:rFonts w:ascii="微软雅黑" w:hAnsi="微软雅黑" w:eastAsia="微软雅黑" w:cs="宋体"/>
                <w:color w:val="auto"/>
                <w:kern w:val="0"/>
                <w:sz w:val="18"/>
                <w:szCs w:val="18"/>
              </w:rPr>
              <w:t>6</w:t>
            </w:r>
            <w:r>
              <w:rPr>
                <w:rFonts w:hint="eastAsia" w:ascii="微软雅黑" w:hAnsi="微软雅黑" w:eastAsia="微软雅黑" w:cs="宋体"/>
                <w:color w:val="auto"/>
                <w:kern w:val="0"/>
                <w:sz w:val="18"/>
                <w:szCs w:val="18"/>
              </w:rPr>
              <w:t>分</w:t>
            </w:r>
            <w:r>
              <w:rPr>
                <w:rFonts w:hint="eastAsia" w:ascii="微软雅黑" w:hAnsi="微软雅黑" w:eastAsia="微软雅黑" w:cs="宋体"/>
                <w:color w:val="auto"/>
                <w:kern w:val="0"/>
                <w:sz w:val="18"/>
                <w:szCs w:val="18"/>
              </w:rPr>
              <w:t>。</w:t>
            </w:r>
          </w:p>
          <w:p w14:paraId="542255C9">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以上</w:t>
            </w:r>
            <w:r>
              <w:rPr>
                <w:rFonts w:ascii="微软雅黑" w:hAnsi="微软雅黑" w:eastAsia="微软雅黑" w:cs="宋体"/>
                <w:color w:val="auto"/>
                <w:kern w:val="0"/>
                <w:sz w:val="18"/>
                <w:szCs w:val="18"/>
              </w:rPr>
              <w:t>各项累计最高得6分。</w:t>
            </w:r>
          </w:p>
        </w:tc>
      </w:tr>
      <w:tr w14:paraId="0A23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340" w:type="dxa"/>
            <w:vMerge w:val="continue"/>
            <w:vAlign w:val="center"/>
          </w:tcPr>
          <w:p w14:paraId="7AC7B713">
            <w:pPr>
              <w:jc w:val="left"/>
              <w:textAlignment w:val="auto"/>
              <w:rPr>
                <w:rFonts w:ascii="微软雅黑" w:hAnsi="微软雅黑" w:eastAsia="微软雅黑" w:cs="宋体"/>
                <w:color w:val="auto"/>
                <w:kern w:val="0"/>
                <w:sz w:val="18"/>
                <w:szCs w:val="18"/>
              </w:rPr>
            </w:pPr>
          </w:p>
        </w:tc>
        <w:tc>
          <w:tcPr>
            <w:tcW w:w="1300" w:type="dxa"/>
            <w:shd w:val="clear" w:color="auto" w:fill="auto"/>
            <w:vAlign w:val="center"/>
          </w:tcPr>
          <w:p w14:paraId="73BEC066">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第三方评价</w:t>
            </w:r>
          </w:p>
        </w:tc>
        <w:tc>
          <w:tcPr>
            <w:tcW w:w="960" w:type="dxa"/>
            <w:shd w:val="clear" w:color="auto" w:fill="auto"/>
            <w:vAlign w:val="center"/>
          </w:tcPr>
          <w:p w14:paraId="5CC0BC04">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w:t>
            </w:r>
          </w:p>
        </w:tc>
        <w:tc>
          <w:tcPr>
            <w:tcW w:w="10800" w:type="dxa"/>
            <w:shd w:val="clear" w:color="auto" w:fill="auto"/>
            <w:vAlign w:val="center"/>
          </w:tcPr>
          <w:p w14:paraId="6E6138F4">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投标人至今(必须含202</w:t>
            </w:r>
            <w:r>
              <w:rPr>
                <w:rFonts w:ascii="微软雅黑" w:hAnsi="微软雅黑" w:eastAsia="微软雅黑" w:cs="宋体"/>
                <w:color w:val="auto"/>
                <w:kern w:val="0"/>
                <w:sz w:val="18"/>
                <w:szCs w:val="18"/>
              </w:rPr>
              <w:t>3</w:t>
            </w:r>
            <w:r>
              <w:rPr>
                <w:rFonts w:hint="eastAsia" w:ascii="微软雅黑" w:hAnsi="微软雅黑" w:eastAsia="微软雅黑" w:cs="宋体"/>
                <w:color w:val="auto"/>
                <w:kern w:val="0"/>
                <w:sz w:val="18"/>
                <w:szCs w:val="18"/>
              </w:rPr>
              <w:t>年)获得税务机关评定为“纳税信用A级纳税人”称号: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(1)连续</w:t>
            </w:r>
            <w:r>
              <w:rPr>
                <w:rFonts w:ascii="微软雅黑" w:hAnsi="微软雅黑" w:eastAsia="微软雅黑" w:cs="宋体"/>
                <w:color w:val="auto"/>
                <w:kern w:val="0"/>
                <w:sz w:val="18"/>
                <w:szCs w:val="18"/>
              </w:rPr>
              <w:t>4</w:t>
            </w:r>
            <w:r>
              <w:rPr>
                <w:rFonts w:hint="eastAsia" w:ascii="微软雅黑" w:hAnsi="微软雅黑" w:eastAsia="微软雅黑" w:cs="宋体"/>
                <w:color w:val="auto"/>
                <w:kern w:val="0"/>
                <w:sz w:val="18"/>
                <w:szCs w:val="18"/>
              </w:rPr>
              <w:t>个年度或以上被评为纳税信用A级纳税人称号的得4分;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(2)连续</w:t>
            </w:r>
            <w:r>
              <w:rPr>
                <w:rFonts w:ascii="微软雅黑" w:hAnsi="微软雅黑" w:eastAsia="微软雅黑" w:cs="宋体"/>
                <w:color w:val="auto"/>
                <w:kern w:val="0"/>
                <w:sz w:val="18"/>
                <w:szCs w:val="18"/>
              </w:rPr>
              <w:t>3</w:t>
            </w:r>
            <w:r>
              <w:rPr>
                <w:rFonts w:hint="eastAsia" w:ascii="微软雅黑" w:hAnsi="微软雅黑" w:eastAsia="微软雅黑" w:cs="宋体"/>
                <w:color w:val="auto"/>
                <w:kern w:val="0"/>
                <w:sz w:val="18"/>
                <w:szCs w:val="18"/>
              </w:rPr>
              <w:t>个年度被评为纳税信用A级纳税人称号的得2分;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(3)连续</w:t>
            </w:r>
            <w:r>
              <w:rPr>
                <w:rFonts w:ascii="微软雅黑" w:hAnsi="微软雅黑" w:eastAsia="微软雅黑" w:cs="宋体"/>
                <w:color w:val="auto"/>
                <w:kern w:val="0"/>
                <w:sz w:val="18"/>
                <w:szCs w:val="18"/>
              </w:rPr>
              <w:t>2</w:t>
            </w:r>
            <w:r>
              <w:rPr>
                <w:rFonts w:hint="eastAsia" w:ascii="微软雅黑" w:hAnsi="微软雅黑" w:eastAsia="微软雅黑" w:cs="宋体"/>
                <w:color w:val="auto"/>
                <w:kern w:val="0"/>
                <w:sz w:val="18"/>
                <w:szCs w:val="18"/>
              </w:rPr>
              <w:t>个年度被评为纳税信用A级纳税人称号的得1分;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(4)连续</w:t>
            </w:r>
            <w:r>
              <w:rPr>
                <w:rFonts w:ascii="微软雅黑" w:hAnsi="微软雅黑" w:eastAsia="微软雅黑" w:cs="宋体"/>
                <w:color w:val="auto"/>
                <w:kern w:val="0"/>
                <w:sz w:val="18"/>
                <w:szCs w:val="18"/>
              </w:rPr>
              <w:t>1</w:t>
            </w:r>
            <w:r>
              <w:rPr>
                <w:rFonts w:hint="eastAsia" w:ascii="微软雅黑" w:hAnsi="微软雅黑" w:eastAsia="微软雅黑" w:cs="宋体"/>
                <w:color w:val="auto"/>
                <w:kern w:val="0"/>
                <w:sz w:val="18"/>
                <w:szCs w:val="18"/>
              </w:rPr>
              <w:t>个年度被评为纳税信用A级纳税人称号的得0.5分。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无或其他不得分。</w:t>
            </w:r>
          </w:p>
        </w:tc>
      </w:tr>
      <w:tr w14:paraId="76BC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340" w:type="dxa"/>
            <w:vMerge w:val="restart"/>
            <w:shd w:val="clear" w:color="auto" w:fill="auto"/>
            <w:vAlign w:val="center"/>
          </w:tcPr>
          <w:p w14:paraId="15AED3E0">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二、项目管理机构（20分）</w:t>
            </w:r>
          </w:p>
        </w:tc>
        <w:tc>
          <w:tcPr>
            <w:tcW w:w="1300" w:type="dxa"/>
            <w:shd w:val="clear" w:color="auto" w:fill="auto"/>
            <w:vAlign w:val="center"/>
          </w:tcPr>
          <w:p w14:paraId="1B7AD3A5">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项目负责人</w:t>
            </w:r>
          </w:p>
        </w:tc>
        <w:tc>
          <w:tcPr>
            <w:tcW w:w="960" w:type="dxa"/>
            <w:shd w:val="clear" w:color="auto" w:fill="auto"/>
            <w:vAlign w:val="center"/>
          </w:tcPr>
          <w:p w14:paraId="77632FE5">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w:t>
            </w:r>
          </w:p>
        </w:tc>
        <w:tc>
          <w:tcPr>
            <w:tcW w:w="10800" w:type="dxa"/>
            <w:shd w:val="clear" w:color="auto" w:fill="auto"/>
            <w:vAlign w:val="center"/>
          </w:tcPr>
          <w:p w14:paraId="6C9565B8">
            <w:pP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（1）具有建筑工程类</w:t>
            </w:r>
            <w:r>
              <w:rPr>
                <w:rFonts w:hint="eastAsia" w:ascii="微软雅黑" w:hAnsi="微软雅黑" w:eastAsia="微软雅黑" w:cs="宋体"/>
                <w:color w:val="auto"/>
                <w:kern w:val="0"/>
                <w:sz w:val="18"/>
                <w:szCs w:val="18"/>
              </w:rPr>
              <w:t>专业</w:t>
            </w:r>
            <w:r>
              <w:rPr>
                <w:rFonts w:hint="eastAsia" w:ascii="微软雅黑" w:hAnsi="微软雅黑" w:eastAsia="微软雅黑" w:cs="宋体"/>
                <w:color w:val="auto"/>
                <w:kern w:val="0"/>
                <w:sz w:val="18"/>
                <w:szCs w:val="18"/>
              </w:rPr>
              <w:t>副高级工程师（或以上）职称得2分；其它情况不得分。</w:t>
            </w:r>
          </w:p>
          <w:p w14:paraId="7446B6B2">
            <w:pP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（2）项目负责人自2021年1月1日至投标截止时间止，具有大于或等于人民币1500万元的建筑装修装饰工程项目业绩，且在该项目中担任项目负责人的，得2分。</w:t>
            </w:r>
          </w:p>
        </w:tc>
      </w:tr>
      <w:tr w14:paraId="560F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40" w:type="dxa"/>
            <w:vMerge w:val="continue"/>
            <w:shd w:val="clear" w:color="auto" w:fill="auto"/>
            <w:vAlign w:val="center"/>
          </w:tcPr>
          <w:p w14:paraId="4B0A193F">
            <w:pPr>
              <w:jc w:val="center"/>
              <w:textAlignment w:val="auto"/>
              <w:rPr>
                <w:rFonts w:ascii="微软雅黑" w:hAnsi="微软雅黑" w:eastAsia="微软雅黑" w:cs="宋体"/>
                <w:color w:val="auto"/>
                <w:kern w:val="0"/>
                <w:sz w:val="18"/>
                <w:szCs w:val="18"/>
              </w:rPr>
            </w:pPr>
          </w:p>
        </w:tc>
        <w:tc>
          <w:tcPr>
            <w:tcW w:w="1300" w:type="dxa"/>
            <w:shd w:val="clear" w:color="auto" w:fill="auto"/>
            <w:vAlign w:val="center"/>
          </w:tcPr>
          <w:p w14:paraId="09FB079C">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技术负责人</w:t>
            </w:r>
          </w:p>
        </w:tc>
        <w:tc>
          <w:tcPr>
            <w:tcW w:w="960" w:type="dxa"/>
            <w:shd w:val="clear" w:color="auto" w:fill="auto"/>
            <w:vAlign w:val="center"/>
          </w:tcPr>
          <w:p w14:paraId="49F27548">
            <w:pPr>
              <w:jc w:val="center"/>
              <w:textAlignment w:val="auto"/>
              <w:rPr>
                <w:rFonts w:ascii="微软雅黑" w:hAnsi="微软雅黑" w:eastAsia="微软雅黑" w:cs="宋体"/>
                <w:color w:val="auto"/>
                <w:kern w:val="0"/>
                <w:sz w:val="18"/>
                <w:szCs w:val="18"/>
              </w:rPr>
            </w:pPr>
            <w:r>
              <w:rPr>
                <w:rFonts w:ascii="微软雅黑" w:hAnsi="微软雅黑" w:eastAsia="微软雅黑" w:cs="宋体"/>
                <w:color w:val="auto"/>
                <w:kern w:val="0"/>
                <w:sz w:val="18"/>
                <w:szCs w:val="18"/>
              </w:rPr>
              <w:t>4</w:t>
            </w:r>
          </w:p>
        </w:tc>
        <w:tc>
          <w:tcPr>
            <w:tcW w:w="10800" w:type="dxa"/>
            <w:shd w:val="clear" w:color="auto" w:fill="auto"/>
            <w:vAlign w:val="center"/>
          </w:tcPr>
          <w:p w14:paraId="6B785E1E">
            <w:pP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（1）具有建筑装饰</w:t>
            </w:r>
            <w:r>
              <w:rPr>
                <w:rFonts w:hint="eastAsia" w:ascii="微软雅黑" w:hAnsi="微软雅黑" w:eastAsia="微软雅黑" w:cs="宋体"/>
                <w:color w:val="auto"/>
                <w:kern w:val="0"/>
                <w:sz w:val="18"/>
                <w:szCs w:val="18"/>
              </w:rPr>
              <w:t>施工类专业</w:t>
            </w:r>
            <w:r>
              <w:rPr>
                <w:rFonts w:hint="eastAsia" w:ascii="微软雅黑" w:hAnsi="微软雅黑" w:eastAsia="微软雅黑" w:cs="宋体"/>
                <w:color w:val="auto"/>
                <w:kern w:val="0"/>
                <w:sz w:val="18"/>
                <w:szCs w:val="18"/>
              </w:rPr>
              <w:t>副高级工程师（或以上）职称得</w:t>
            </w:r>
            <w:r>
              <w:rPr>
                <w:rFonts w:ascii="微软雅黑" w:hAnsi="微软雅黑" w:eastAsia="微软雅黑" w:cs="宋体"/>
                <w:color w:val="auto"/>
                <w:kern w:val="0"/>
                <w:sz w:val="18"/>
                <w:szCs w:val="18"/>
              </w:rPr>
              <w:t>2</w:t>
            </w:r>
            <w:r>
              <w:rPr>
                <w:rFonts w:hint="eastAsia" w:ascii="微软雅黑" w:hAnsi="微软雅黑" w:eastAsia="微软雅黑" w:cs="宋体"/>
                <w:color w:val="auto"/>
                <w:kern w:val="0"/>
                <w:sz w:val="18"/>
                <w:szCs w:val="18"/>
              </w:rPr>
              <w:t>分；其它情况不得分。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（2）取得建筑装饰</w:t>
            </w:r>
            <w:r>
              <w:rPr>
                <w:rFonts w:hint="eastAsia" w:ascii="微软雅黑" w:hAnsi="微软雅黑" w:eastAsia="微软雅黑" w:cs="宋体"/>
                <w:color w:val="auto"/>
                <w:kern w:val="0"/>
                <w:sz w:val="18"/>
                <w:szCs w:val="18"/>
              </w:rPr>
              <w:t>施工类专业</w:t>
            </w:r>
            <w:r>
              <w:rPr>
                <w:rFonts w:hint="eastAsia" w:ascii="微软雅黑" w:hAnsi="微软雅黑" w:eastAsia="微软雅黑" w:cs="宋体"/>
                <w:color w:val="auto"/>
                <w:kern w:val="0"/>
                <w:sz w:val="18"/>
                <w:szCs w:val="18"/>
              </w:rPr>
              <w:t>副高级工程师（或以上）</w:t>
            </w:r>
            <w:r>
              <w:rPr>
                <w:rFonts w:ascii="微软雅黑" w:hAnsi="微软雅黑" w:eastAsia="微软雅黑" w:cs="宋体"/>
                <w:color w:val="auto"/>
                <w:kern w:val="0"/>
                <w:sz w:val="18"/>
                <w:szCs w:val="18"/>
              </w:rPr>
              <w:t>2</w:t>
            </w:r>
            <w:r>
              <w:rPr>
                <w:rFonts w:hint="eastAsia" w:ascii="微软雅黑" w:hAnsi="微软雅黑" w:eastAsia="微软雅黑" w:cs="宋体"/>
                <w:color w:val="auto"/>
                <w:kern w:val="0"/>
                <w:sz w:val="18"/>
                <w:szCs w:val="18"/>
              </w:rPr>
              <w:t>年或以上</w:t>
            </w:r>
            <w:r>
              <w:rPr>
                <w:rFonts w:hint="eastAsia" w:ascii="微软雅黑" w:hAnsi="微软雅黑" w:eastAsia="微软雅黑" w:cs="宋体"/>
                <w:color w:val="auto"/>
                <w:kern w:val="0"/>
                <w:sz w:val="18"/>
                <w:szCs w:val="18"/>
              </w:rPr>
              <w:t>，得2分，</w:t>
            </w:r>
            <w:r>
              <w:rPr>
                <w:rFonts w:hint="eastAsia" w:ascii="微软雅黑" w:hAnsi="微软雅黑" w:eastAsia="微软雅黑" w:cs="宋体"/>
                <w:color w:val="auto"/>
                <w:kern w:val="0"/>
                <w:sz w:val="18"/>
                <w:szCs w:val="18"/>
              </w:rPr>
              <w:t>1</w:t>
            </w:r>
            <w:r>
              <w:rPr>
                <w:rFonts w:ascii="微软雅黑" w:hAnsi="微软雅黑" w:eastAsia="微软雅黑" w:cs="宋体"/>
                <w:color w:val="auto"/>
                <w:kern w:val="0"/>
                <w:sz w:val="18"/>
                <w:szCs w:val="18"/>
              </w:rPr>
              <w:t>-2</w:t>
            </w:r>
            <w:r>
              <w:rPr>
                <w:rFonts w:hint="eastAsia" w:ascii="微软雅黑" w:hAnsi="微软雅黑" w:eastAsia="微软雅黑" w:cs="宋体"/>
                <w:color w:val="auto"/>
                <w:kern w:val="0"/>
                <w:sz w:val="18"/>
                <w:szCs w:val="18"/>
              </w:rPr>
              <w:t>年（不含2年）得0.5分。</w:t>
            </w:r>
          </w:p>
        </w:tc>
      </w:tr>
      <w:tr w14:paraId="704F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40" w:type="dxa"/>
            <w:vMerge w:val="continue"/>
            <w:shd w:val="clear" w:color="auto" w:fill="auto"/>
            <w:vAlign w:val="center"/>
          </w:tcPr>
          <w:p w14:paraId="07BFD4CB">
            <w:pPr>
              <w:jc w:val="center"/>
              <w:textAlignment w:val="auto"/>
              <w:rPr>
                <w:rFonts w:ascii="微软雅黑" w:hAnsi="微软雅黑" w:eastAsia="微软雅黑" w:cs="宋体"/>
                <w:color w:val="auto"/>
                <w:kern w:val="0"/>
                <w:sz w:val="18"/>
                <w:szCs w:val="18"/>
              </w:rPr>
            </w:pPr>
          </w:p>
        </w:tc>
        <w:tc>
          <w:tcPr>
            <w:tcW w:w="1300" w:type="dxa"/>
            <w:shd w:val="clear" w:color="auto" w:fill="auto"/>
            <w:vAlign w:val="center"/>
          </w:tcPr>
          <w:p w14:paraId="4BD33DDC">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质量负责人</w:t>
            </w:r>
          </w:p>
        </w:tc>
        <w:tc>
          <w:tcPr>
            <w:tcW w:w="960" w:type="dxa"/>
            <w:shd w:val="clear" w:color="auto" w:fill="auto"/>
            <w:vAlign w:val="center"/>
          </w:tcPr>
          <w:p w14:paraId="6C4DAF3B">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w:t>
            </w:r>
          </w:p>
        </w:tc>
        <w:tc>
          <w:tcPr>
            <w:tcW w:w="10800" w:type="dxa"/>
            <w:shd w:val="clear" w:color="auto" w:fill="auto"/>
            <w:vAlign w:val="center"/>
          </w:tcPr>
          <w:p w14:paraId="7A8C5E14">
            <w:pP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（1）具有建筑装饰</w:t>
            </w:r>
            <w:r>
              <w:rPr>
                <w:rFonts w:hint="eastAsia" w:ascii="微软雅黑" w:hAnsi="微软雅黑" w:eastAsia="微软雅黑" w:cs="宋体"/>
                <w:color w:val="auto"/>
                <w:kern w:val="0"/>
                <w:sz w:val="18"/>
                <w:szCs w:val="18"/>
              </w:rPr>
              <w:t>施工类专业</w:t>
            </w:r>
            <w:r>
              <w:rPr>
                <w:rFonts w:hint="eastAsia" w:ascii="微软雅黑" w:hAnsi="微软雅黑" w:eastAsia="微软雅黑" w:cs="宋体"/>
                <w:color w:val="auto"/>
                <w:kern w:val="0"/>
                <w:sz w:val="18"/>
                <w:szCs w:val="18"/>
              </w:rPr>
              <w:t>副高级工程师（或以上）职称得2分；其它情况不得分。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（2）取得建筑装饰</w:t>
            </w:r>
            <w:r>
              <w:rPr>
                <w:rFonts w:hint="eastAsia" w:ascii="微软雅黑" w:hAnsi="微软雅黑" w:eastAsia="微软雅黑" w:cs="宋体"/>
                <w:color w:val="auto"/>
                <w:kern w:val="0"/>
                <w:sz w:val="18"/>
                <w:szCs w:val="18"/>
              </w:rPr>
              <w:t>施工类专业</w:t>
            </w:r>
            <w:r>
              <w:rPr>
                <w:rFonts w:hint="eastAsia" w:ascii="微软雅黑" w:hAnsi="微软雅黑" w:eastAsia="微软雅黑" w:cs="宋体"/>
                <w:color w:val="auto"/>
                <w:kern w:val="0"/>
                <w:sz w:val="18"/>
                <w:szCs w:val="18"/>
              </w:rPr>
              <w:t>副高级工程师（或以上）</w:t>
            </w:r>
            <w:r>
              <w:rPr>
                <w:rFonts w:ascii="微软雅黑" w:hAnsi="微软雅黑" w:eastAsia="微软雅黑" w:cs="宋体"/>
                <w:color w:val="auto"/>
                <w:kern w:val="0"/>
                <w:sz w:val="18"/>
                <w:szCs w:val="18"/>
              </w:rPr>
              <w:t>2</w:t>
            </w:r>
            <w:r>
              <w:rPr>
                <w:rFonts w:hint="eastAsia" w:ascii="微软雅黑" w:hAnsi="微软雅黑" w:eastAsia="微软雅黑" w:cs="宋体"/>
                <w:color w:val="auto"/>
                <w:kern w:val="0"/>
                <w:sz w:val="18"/>
                <w:szCs w:val="18"/>
              </w:rPr>
              <w:t>年或以上</w:t>
            </w:r>
            <w:r>
              <w:rPr>
                <w:rFonts w:hint="eastAsia" w:ascii="微软雅黑" w:hAnsi="微软雅黑" w:eastAsia="微软雅黑" w:cs="宋体"/>
                <w:color w:val="auto"/>
                <w:kern w:val="0"/>
                <w:sz w:val="18"/>
                <w:szCs w:val="18"/>
              </w:rPr>
              <w:t>，得</w:t>
            </w:r>
            <w:r>
              <w:rPr>
                <w:rFonts w:ascii="微软雅黑" w:hAnsi="微软雅黑" w:eastAsia="微软雅黑" w:cs="宋体"/>
                <w:color w:val="auto"/>
                <w:kern w:val="0"/>
                <w:sz w:val="18"/>
                <w:szCs w:val="18"/>
              </w:rPr>
              <w:t>2分，</w:t>
            </w:r>
            <w:r>
              <w:rPr>
                <w:rFonts w:hint="eastAsia" w:ascii="微软雅黑" w:hAnsi="微软雅黑" w:eastAsia="微软雅黑" w:cs="宋体"/>
                <w:color w:val="auto"/>
                <w:kern w:val="0"/>
                <w:sz w:val="18"/>
                <w:szCs w:val="18"/>
              </w:rPr>
              <w:t>1</w:t>
            </w:r>
            <w:r>
              <w:rPr>
                <w:rFonts w:ascii="微软雅黑" w:hAnsi="微软雅黑" w:eastAsia="微软雅黑" w:cs="宋体"/>
                <w:color w:val="auto"/>
                <w:kern w:val="0"/>
                <w:sz w:val="18"/>
                <w:szCs w:val="18"/>
              </w:rPr>
              <w:t>-2</w:t>
            </w:r>
            <w:r>
              <w:rPr>
                <w:rFonts w:hint="eastAsia" w:ascii="微软雅黑" w:hAnsi="微软雅黑" w:eastAsia="微软雅黑" w:cs="宋体"/>
                <w:color w:val="auto"/>
                <w:kern w:val="0"/>
                <w:sz w:val="18"/>
                <w:szCs w:val="18"/>
              </w:rPr>
              <w:t>年（不含2年）得0.5分</w:t>
            </w:r>
            <w:r>
              <w:rPr>
                <w:rFonts w:ascii="微软雅黑" w:hAnsi="微软雅黑" w:eastAsia="微软雅黑" w:cs="宋体"/>
                <w:color w:val="auto"/>
                <w:kern w:val="0"/>
                <w:sz w:val="18"/>
                <w:szCs w:val="18"/>
              </w:rPr>
              <w:t>。</w:t>
            </w:r>
          </w:p>
        </w:tc>
      </w:tr>
      <w:tr w14:paraId="21A4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340" w:type="dxa"/>
            <w:vMerge w:val="continue"/>
            <w:vAlign w:val="center"/>
          </w:tcPr>
          <w:p w14:paraId="26FEFA95">
            <w:pPr>
              <w:jc w:val="left"/>
              <w:textAlignment w:val="auto"/>
              <w:rPr>
                <w:rFonts w:ascii="微软雅黑" w:hAnsi="微软雅黑" w:eastAsia="微软雅黑" w:cs="宋体"/>
                <w:color w:val="auto"/>
                <w:kern w:val="0"/>
                <w:sz w:val="18"/>
                <w:szCs w:val="18"/>
              </w:rPr>
            </w:pPr>
          </w:p>
        </w:tc>
        <w:tc>
          <w:tcPr>
            <w:tcW w:w="1300" w:type="dxa"/>
            <w:shd w:val="clear" w:color="auto" w:fill="auto"/>
            <w:vAlign w:val="center"/>
          </w:tcPr>
          <w:p w14:paraId="072E6F80">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安全负责人</w:t>
            </w:r>
          </w:p>
        </w:tc>
        <w:tc>
          <w:tcPr>
            <w:tcW w:w="960" w:type="dxa"/>
            <w:shd w:val="clear" w:color="auto" w:fill="auto"/>
            <w:vAlign w:val="center"/>
          </w:tcPr>
          <w:p w14:paraId="695B1CFC">
            <w:pPr>
              <w:jc w:val="center"/>
              <w:textAlignment w:val="auto"/>
              <w:rPr>
                <w:rFonts w:ascii="微软雅黑" w:hAnsi="微软雅黑" w:eastAsia="微软雅黑" w:cs="宋体"/>
                <w:color w:val="auto"/>
                <w:kern w:val="0"/>
                <w:sz w:val="18"/>
                <w:szCs w:val="18"/>
              </w:rPr>
            </w:pPr>
            <w:r>
              <w:rPr>
                <w:rFonts w:ascii="微软雅黑" w:hAnsi="微软雅黑" w:eastAsia="微软雅黑" w:cs="宋体"/>
                <w:color w:val="auto"/>
                <w:kern w:val="0"/>
                <w:sz w:val="18"/>
                <w:szCs w:val="18"/>
              </w:rPr>
              <w:t>4</w:t>
            </w:r>
          </w:p>
        </w:tc>
        <w:tc>
          <w:tcPr>
            <w:tcW w:w="10800" w:type="dxa"/>
            <w:shd w:val="clear" w:color="auto" w:fill="auto"/>
            <w:vAlign w:val="center"/>
          </w:tcPr>
          <w:p w14:paraId="7F475F8C">
            <w:pP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sz w:val="18"/>
                <w:szCs w:val="18"/>
              </w:rPr>
              <w:t>（</w:t>
            </w:r>
            <w:r>
              <w:rPr>
                <w:rFonts w:hint="eastAsia" w:ascii="微软雅黑" w:hAnsi="微软雅黑" w:eastAsia="微软雅黑" w:cs="宋体"/>
                <w:color w:val="auto"/>
                <w:sz w:val="18"/>
                <w:szCs w:val="18"/>
                <w:lang w:val="en-US" w:eastAsia="zh-CN"/>
              </w:rPr>
              <w:t>1</w:t>
            </w:r>
            <w:bookmarkStart w:id="46" w:name="_GoBack"/>
            <w:bookmarkEnd w:id="46"/>
            <w:r>
              <w:rPr>
                <w:rFonts w:ascii="微软雅黑" w:hAnsi="微软雅黑" w:eastAsia="微软雅黑" w:cs="宋体"/>
                <w:color w:val="auto"/>
                <w:sz w:val="18"/>
                <w:szCs w:val="18"/>
              </w:rPr>
              <w:t>）具有</w:t>
            </w:r>
            <w:r>
              <w:rPr>
                <w:rFonts w:hint="eastAsia" w:ascii="微软雅黑" w:hAnsi="微软雅黑" w:eastAsia="微软雅黑" w:cs="宋体"/>
                <w:color w:val="auto"/>
                <w:sz w:val="18"/>
                <w:szCs w:val="18"/>
              </w:rPr>
              <w:t>安全工程师证（建筑施工安全）证书（须在有效期内）的，得</w:t>
            </w:r>
            <w:r>
              <w:rPr>
                <w:rFonts w:ascii="微软雅黑" w:hAnsi="微软雅黑" w:eastAsia="微软雅黑" w:cs="宋体"/>
                <w:color w:val="auto"/>
                <w:sz w:val="18"/>
                <w:szCs w:val="18"/>
              </w:rPr>
              <w:t>2</w:t>
            </w:r>
            <w:r>
              <w:rPr>
                <w:rFonts w:hint="eastAsia" w:ascii="微软雅黑" w:hAnsi="微软雅黑" w:eastAsia="微软雅黑" w:cs="宋体"/>
                <w:color w:val="auto"/>
                <w:sz w:val="18"/>
                <w:szCs w:val="18"/>
              </w:rPr>
              <w:t>分；具有有效期内的建筑施工企业项目负责人安全生产考核合格证书或安全生产考核合格证</w:t>
            </w:r>
            <w:r>
              <w:rPr>
                <w:rFonts w:ascii="微软雅黑" w:hAnsi="微软雅黑" w:eastAsia="微软雅黑" w:cs="宋体"/>
                <w:color w:val="auto"/>
                <w:sz w:val="18"/>
                <w:szCs w:val="18"/>
              </w:rPr>
              <w:t>(C类)或建筑施工企业专职安全生产管理人员安全生产考核合格证书(C3)的</w:t>
            </w:r>
            <w:r>
              <w:rPr>
                <w:rFonts w:hint="eastAsia" w:ascii="微软雅黑" w:hAnsi="微软雅黑" w:eastAsia="微软雅黑" w:cs="宋体"/>
                <w:color w:val="auto"/>
                <w:sz w:val="18"/>
                <w:szCs w:val="18"/>
              </w:rPr>
              <w:t>，得</w:t>
            </w:r>
            <w:r>
              <w:rPr>
                <w:rFonts w:ascii="微软雅黑" w:hAnsi="微软雅黑" w:eastAsia="微软雅黑" w:cs="宋体"/>
                <w:color w:val="auto"/>
                <w:sz w:val="18"/>
                <w:szCs w:val="18"/>
              </w:rPr>
              <w:t>1</w:t>
            </w:r>
            <w:r>
              <w:rPr>
                <w:rFonts w:hint="eastAsia" w:ascii="微软雅黑" w:hAnsi="微软雅黑" w:eastAsia="微软雅黑" w:cs="宋体"/>
                <w:color w:val="auto"/>
                <w:sz w:val="18"/>
                <w:szCs w:val="18"/>
              </w:rPr>
              <w:t>分</w:t>
            </w:r>
            <w:r>
              <w:rPr>
                <w:rFonts w:ascii="微软雅黑" w:hAnsi="微软雅黑" w:eastAsia="微软雅黑" w:cs="宋体"/>
                <w:color w:val="auto"/>
                <w:sz w:val="18"/>
                <w:szCs w:val="18"/>
              </w:rPr>
              <w:t>;其它情况不得分。本项最高得2</w:t>
            </w:r>
            <w:r>
              <w:rPr>
                <w:rFonts w:hint="eastAsia" w:ascii="微软雅黑" w:hAnsi="微软雅黑" w:eastAsia="微软雅黑" w:cs="宋体"/>
                <w:color w:val="auto"/>
                <w:sz w:val="18"/>
                <w:szCs w:val="18"/>
              </w:rPr>
              <w:t>分。</w:t>
            </w:r>
            <w:r>
              <w:rPr>
                <w:rFonts w:ascii="微软雅黑" w:hAnsi="微软雅黑" w:eastAsia="微软雅黑" w:cs="宋体"/>
                <w:color w:val="auto"/>
                <w:sz w:val="18"/>
                <w:szCs w:val="18"/>
              </w:rPr>
              <w:br w:type="textWrapping"/>
            </w:r>
            <w:r>
              <w:rPr>
                <w:rFonts w:hint="eastAsia" w:ascii="微软雅黑" w:hAnsi="微软雅黑" w:eastAsia="微软雅黑" w:cs="宋体"/>
                <w:color w:val="auto"/>
                <w:sz w:val="18"/>
                <w:szCs w:val="18"/>
              </w:rPr>
              <w:t>（</w:t>
            </w:r>
            <w:r>
              <w:rPr>
                <w:rFonts w:ascii="微软雅黑" w:hAnsi="微软雅黑" w:eastAsia="微软雅黑" w:cs="宋体"/>
                <w:color w:val="auto"/>
                <w:sz w:val="18"/>
                <w:szCs w:val="18"/>
              </w:rPr>
              <w:t>2）取得</w:t>
            </w:r>
            <w:r>
              <w:rPr>
                <w:rFonts w:hint="eastAsia" w:ascii="微软雅黑" w:hAnsi="微软雅黑" w:eastAsia="微软雅黑" w:cs="宋体"/>
                <w:color w:val="auto"/>
                <w:sz w:val="18"/>
                <w:szCs w:val="18"/>
              </w:rPr>
              <w:t>安全工程师证（建筑施工安全）</w:t>
            </w:r>
            <w:r>
              <w:rPr>
                <w:rFonts w:hint="eastAsia" w:ascii="微软雅黑" w:hAnsi="微软雅黑" w:eastAsia="微软雅黑" w:cs="宋体"/>
                <w:color w:val="auto"/>
                <w:sz w:val="18"/>
                <w:szCs w:val="18"/>
              </w:rPr>
              <w:t>证书</w:t>
            </w:r>
            <w:r>
              <w:rPr>
                <w:rFonts w:ascii="微软雅黑" w:hAnsi="微软雅黑" w:eastAsia="微软雅黑" w:cs="宋体"/>
                <w:color w:val="auto"/>
                <w:sz w:val="18"/>
                <w:szCs w:val="18"/>
              </w:rPr>
              <w:t>2年或以上，得2分</w:t>
            </w:r>
            <w:r>
              <w:rPr>
                <w:rFonts w:hint="eastAsia" w:ascii="微软雅黑" w:hAnsi="微软雅黑" w:eastAsia="微软雅黑" w:cs="宋体"/>
                <w:color w:val="auto"/>
                <w:sz w:val="18"/>
                <w:szCs w:val="18"/>
              </w:rPr>
              <w:t>，1</w:t>
            </w:r>
            <w:r>
              <w:rPr>
                <w:rFonts w:ascii="微软雅黑" w:hAnsi="微软雅黑" w:eastAsia="微软雅黑" w:cs="宋体"/>
                <w:color w:val="auto"/>
                <w:sz w:val="18"/>
                <w:szCs w:val="18"/>
              </w:rPr>
              <w:t>-2</w:t>
            </w:r>
            <w:r>
              <w:rPr>
                <w:rFonts w:hint="eastAsia" w:ascii="微软雅黑" w:hAnsi="微软雅黑" w:eastAsia="微软雅黑" w:cs="宋体"/>
                <w:color w:val="auto"/>
                <w:sz w:val="18"/>
                <w:szCs w:val="18"/>
              </w:rPr>
              <w:t>年（不含2年）得0.5分</w:t>
            </w:r>
            <w:r>
              <w:rPr>
                <w:rFonts w:ascii="微软雅黑" w:hAnsi="微软雅黑" w:eastAsia="微软雅黑" w:cs="宋体"/>
                <w:color w:val="auto"/>
                <w:sz w:val="18"/>
                <w:szCs w:val="18"/>
              </w:rPr>
              <w:t>。</w:t>
            </w:r>
            <w:r>
              <w:rPr>
                <w:rFonts w:ascii="微软雅黑" w:hAnsi="微软雅黑" w:eastAsia="微软雅黑" w:cs="宋体"/>
                <w:color w:val="auto"/>
                <w:sz w:val="18"/>
                <w:szCs w:val="18"/>
              </w:rPr>
              <w:br w:type="textWrapping"/>
            </w:r>
            <w:r>
              <w:rPr>
                <w:rFonts w:hint="eastAsia" w:ascii="微软雅黑" w:hAnsi="微软雅黑" w:eastAsia="微软雅黑" w:cs="宋体"/>
                <w:b/>
                <w:bCs/>
                <w:color w:val="auto"/>
                <w:sz w:val="18"/>
                <w:szCs w:val="18"/>
              </w:rPr>
              <w:t>注：广东省建筑施工企业安全生产管理人员执行《广东省住房和城乡建设厅关于加快推进建筑施工企业安全生产管理人员考核合格证书电子证照办理相关工作的通知》（粤建质函〔</w:t>
            </w:r>
            <w:r>
              <w:rPr>
                <w:rFonts w:ascii="微软雅黑" w:hAnsi="微软雅黑" w:eastAsia="微软雅黑" w:cs="宋体"/>
                <w:b/>
                <w:bCs/>
                <w:color w:val="auto"/>
                <w:sz w:val="18"/>
                <w:szCs w:val="18"/>
              </w:rPr>
              <w:t>2023〕754号），从2023年11月1日起，旧版电子证照停止使用。其他地区建筑施工企业安全生产管理人员执行属地安全生产管理人员考核合格证书电子证照相关规定。</w:t>
            </w:r>
          </w:p>
        </w:tc>
      </w:tr>
      <w:tr w14:paraId="6F13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340" w:type="dxa"/>
            <w:vMerge w:val="continue"/>
            <w:vAlign w:val="center"/>
          </w:tcPr>
          <w:p w14:paraId="7B0060BB">
            <w:pPr>
              <w:jc w:val="left"/>
              <w:textAlignment w:val="auto"/>
              <w:rPr>
                <w:rFonts w:ascii="微软雅黑" w:hAnsi="微软雅黑" w:eastAsia="微软雅黑" w:cs="宋体"/>
                <w:color w:val="auto"/>
                <w:kern w:val="0"/>
                <w:sz w:val="18"/>
                <w:szCs w:val="18"/>
              </w:rPr>
            </w:pPr>
          </w:p>
        </w:tc>
        <w:tc>
          <w:tcPr>
            <w:tcW w:w="1300" w:type="dxa"/>
            <w:shd w:val="clear" w:color="auto" w:fill="auto"/>
            <w:vAlign w:val="center"/>
          </w:tcPr>
          <w:p w14:paraId="6CB82F2A">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造价负责人</w:t>
            </w:r>
          </w:p>
        </w:tc>
        <w:tc>
          <w:tcPr>
            <w:tcW w:w="960" w:type="dxa"/>
            <w:shd w:val="clear" w:color="auto" w:fill="auto"/>
            <w:vAlign w:val="center"/>
          </w:tcPr>
          <w:p w14:paraId="540C3FBB">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w:t>
            </w:r>
          </w:p>
        </w:tc>
        <w:tc>
          <w:tcPr>
            <w:tcW w:w="10800" w:type="dxa"/>
            <w:shd w:val="clear" w:color="auto" w:fill="auto"/>
            <w:vAlign w:val="center"/>
          </w:tcPr>
          <w:p w14:paraId="300DF83F">
            <w:pPr>
              <w:pStyle w:val="31"/>
              <w:rPr>
                <w:color w:val="auto"/>
              </w:rPr>
            </w:pPr>
            <w:r>
              <w:rPr>
                <w:rFonts w:hint="eastAsia" w:ascii="微软雅黑" w:hAnsi="微软雅黑" w:eastAsia="微软雅黑" w:cs="宋体"/>
                <w:color w:val="auto"/>
                <w:sz w:val="18"/>
                <w:szCs w:val="18"/>
              </w:rPr>
              <w:t>（1）</w:t>
            </w:r>
            <w:r>
              <w:rPr>
                <w:rFonts w:hint="eastAsia" w:ascii="微软雅黑" w:hAnsi="微软雅黑" w:eastAsia="微软雅黑" w:cs="宋体"/>
                <w:color w:val="auto"/>
                <w:sz w:val="18"/>
                <w:szCs w:val="18"/>
              </w:rPr>
              <w:t>具有建筑工程类专业副高级工程师（或以上）职称得1分；其它情况不得分</w:t>
            </w:r>
            <w:r>
              <w:rPr>
                <w:rFonts w:hint="eastAsia" w:ascii="微软雅黑" w:hAnsi="微软雅黑" w:eastAsia="微软雅黑" w:cs="宋体"/>
                <w:color w:val="auto"/>
                <w:sz w:val="18"/>
                <w:szCs w:val="18"/>
              </w:rPr>
              <w:t>。</w:t>
            </w:r>
            <w:r>
              <w:rPr>
                <w:rFonts w:hint="eastAsia" w:ascii="微软雅黑" w:hAnsi="微软雅黑" w:eastAsia="微软雅黑" w:cs="宋体"/>
                <w:color w:val="auto"/>
                <w:sz w:val="18"/>
                <w:szCs w:val="18"/>
              </w:rPr>
              <w:br w:type="textWrapping"/>
            </w:r>
            <w:r>
              <w:rPr>
                <w:rFonts w:hint="eastAsia" w:ascii="微软雅黑" w:hAnsi="微软雅黑" w:eastAsia="微软雅黑" w:cs="宋体"/>
                <w:color w:val="auto"/>
                <w:sz w:val="18"/>
                <w:szCs w:val="18"/>
              </w:rPr>
              <w:t>（2）取得</w:t>
            </w:r>
            <w:r>
              <w:rPr>
                <w:rFonts w:hint="eastAsia" w:ascii="微软雅黑" w:hAnsi="微软雅黑" w:eastAsia="微软雅黑" w:cs="宋体"/>
                <w:color w:val="auto"/>
                <w:sz w:val="18"/>
                <w:szCs w:val="18"/>
              </w:rPr>
              <w:t>土建专业</w:t>
            </w:r>
            <w:r>
              <w:rPr>
                <w:rFonts w:hint="eastAsia" w:ascii="微软雅黑" w:hAnsi="微软雅黑" w:eastAsia="微软雅黑" w:cs="宋体"/>
                <w:color w:val="auto"/>
                <w:sz w:val="18"/>
                <w:szCs w:val="18"/>
              </w:rPr>
              <w:t>一级造价工程师注册证书，得</w:t>
            </w:r>
            <w:r>
              <w:rPr>
                <w:rFonts w:ascii="微软雅黑" w:hAnsi="微软雅黑" w:eastAsia="微软雅黑" w:cs="宋体"/>
                <w:color w:val="auto"/>
                <w:sz w:val="18"/>
                <w:szCs w:val="18"/>
              </w:rPr>
              <w:t>1</w:t>
            </w:r>
            <w:r>
              <w:rPr>
                <w:rFonts w:hint="eastAsia" w:ascii="微软雅黑" w:hAnsi="微软雅黑" w:eastAsia="微软雅黑" w:cs="宋体"/>
                <w:color w:val="auto"/>
                <w:sz w:val="18"/>
                <w:szCs w:val="18"/>
              </w:rPr>
              <w:t>分。</w:t>
            </w:r>
          </w:p>
        </w:tc>
      </w:tr>
      <w:tr w14:paraId="046B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40" w:type="dxa"/>
            <w:vMerge w:val="continue"/>
            <w:vAlign w:val="center"/>
          </w:tcPr>
          <w:p w14:paraId="71B4C7D9">
            <w:pPr>
              <w:jc w:val="left"/>
              <w:textAlignment w:val="auto"/>
              <w:rPr>
                <w:rFonts w:ascii="微软雅黑" w:hAnsi="微软雅黑" w:eastAsia="微软雅黑" w:cs="宋体"/>
                <w:color w:val="auto"/>
                <w:kern w:val="0"/>
                <w:sz w:val="18"/>
                <w:szCs w:val="18"/>
              </w:rPr>
            </w:pPr>
          </w:p>
        </w:tc>
        <w:tc>
          <w:tcPr>
            <w:tcW w:w="1300" w:type="dxa"/>
            <w:shd w:val="clear" w:color="auto" w:fill="auto"/>
            <w:vAlign w:val="center"/>
          </w:tcPr>
          <w:p w14:paraId="3F63C53F">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项目管理机构其他人员</w:t>
            </w:r>
          </w:p>
        </w:tc>
        <w:tc>
          <w:tcPr>
            <w:tcW w:w="960" w:type="dxa"/>
            <w:shd w:val="clear" w:color="auto" w:fill="auto"/>
            <w:vAlign w:val="center"/>
          </w:tcPr>
          <w:p w14:paraId="7192CDA3">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w:t>
            </w:r>
          </w:p>
        </w:tc>
        <w:tc>
          <w:tcPr>
            <w:tcW w:w="10800" w:type="dxa"/>
            <w:shd w:val="clear" w:color="auto" w:fill="auto"/>
            <w:vAlign w:val="center"/>
          </w:tcPr>
          <w:p w14:paraId="0FA2ABE4">
            <w:pP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项目管理机构其他人员满足以下全部要求得2分，满足2项要求的得1分，满足1项要求的得0.5</w:t>
            </w:r>
            <w:r>
              <w:rPr>
                <w:rFonts w:ascii="微软雅黑" w:hAnsi="微软雅黑" w:eastAsia="微软雅黑" w:cs="宋体"/>
                <w:color w:val="auto"/>
                <w:kern w:val="0"/>
                <w:sz w:val="18"/>
                <w:szCs w:val="18"/>
              </w:rPr>
              <w:t>分</w:t>
            </w:r>
            <w:r>
              <w:rPr>
                <w:rFonts w:hint="eastAsia" w:ascii="微软雅黑" w:hAnsi="微软雅黑" w:eastAsia="微软雅黑" w:cs="宋体"/>
                <w:color w:val="auto"/>
                <w:kern w:val="0"/>
                <w:sz w:val="18"/>
                <w:szCs w:val="18"/>
              </w:rPr>
              <w:t>。</w:t>
            </w:r>
          </w:p>
          <w:p w14:paraId="27E7D88F">
            <w:pPr>
              <w:pStyle w:val="31"/>
              <w:rPr>
                <w:rFonts w:ascii="微软雅黑" w:hAnsi="微软雅黑" w:eastAsia="微软雅黑" w:cs="宋体"/>
                <w:color w:val="auto"/>
                <w:sz w:val="18"/>
                <w:szCs w:val="18"/>
              </w:rPr>
            </w:pPr>
            <w:r>
              <w:rPr>
                <w:rFonts w:hint="eastAsia" w:ascii="微软雅黑" w:hAnsi="微软雅黑" w:eastAsia="微软雅黑" w:cs="宋体"/>
                <w:color w:val="auto"/>
                <w:sz w:val="18"/>
                <w:szCs w:val="18"/>
              </w:rPr>
              <w:t>（</w:t>
            </w:r>
            <w:r>
              <w:rPr>
                <w:rFonts w:ascii="微软雅黑" w:hAnsi="微软雅黑" w:eastAsia="微软雅黑" w:cs="宋体"/>
                <w:color w:val="auto"/>
                <w:sz w:val="18"/>
                <w:szCs w:val="18"/>
              </w:rPr>
              <w:t>1）</w:t>
            </w:r>
            <w:r>
              <w:rPr>
                <w:rFonts w:hint="eastAsia" w:ascii="微软雅黑" w:hAnsi="微软雅黑" w:eastAsia="微软雅黑" w:cs="宋体"/>
                <w:color w:val="auto"/>
                <w:sz w:val="18"/>
                <w:szCs w:val="18"/>
              </w:rPr>
              <w:t>电气专业工程师：具有电气专</w:t>
            </w:r>
            <w:r>
              <w:rPr>
                <w:rFonts w:hint="eastAsia" w:ascii="微软雅黑" w:hAnsi="微软雅黑" w:eastAsia="微软雅黑" w:cs="宋体"/>
                <w:color w:val="auto"/>
                <w:sz w:val="18"/>
                <w:szCs w:val="18"/>
              </w:rPr>
              <w:t>类</w:t>
            </w:r>
            <w:r>
              <w:rPr>
                <w:rFonts w:hint="eastAsia" w:ascii="微软雅黑" w:hAnsi="微软雅黑" w:eastAsia="微软雅黑" w:cs="宋体"/>
                <w:color w:val="auto"/>
                <w:sz w:val="18"/>
                <w:szCs w:val="18"/>
              </w:rPr>
              <w:t>业工程师（或以上）技术职称；</w:t>
            </w:r>
            <w:r>
              <w:rPr>
                <w:rFonts w:ascii="微软雅黑" w:hAnsi="微软雅黑" w:eastAsia="微软雅黑" w:cs="宋体"/>
                <w:color w:val="auto"/>
                <w:sz w:val="18"/>
                <w:szCs w:val="18"/>
              </w:rPr>
              <w:br w:type="textWrapping"/>
            </w:r>
            <w:r>
              <w:rPr>
                <w:rFonts w:hint="eastAsia" w:ascii="微软雅黑" w:hAnsi="微软雅黑" w:eastAsia="微软雅黑" w:cs="宋体"/>
                <w:color w:val="auto"/>
                <w:sz w:val="18"/>
                <w:szCs w:val="18"/>
              </w:rPr>
              <w:t>（2</w:t>
            </w:r>
            <w:r>
              <w:rPr>
                <w:rFonts w:ascii="微软雅黑" w:hAnsi="微软雅黑" w:eastAsia="微软雅黑" w:cs="宋体"/>
                <w:color w:val="auto"/>
                <w:sz w:val="18"/>
                <w:szCs w:val="18"/>
              </w:rPr>
              <w:t>）</w:t>
            </w:r>
            <w:r>
              <w:rPr>
                <w:rFonts w:hint="eastAsia" w:ascii="微软雅黑" w:hAnsi="微软雅黑" w:eastAsia="微软雅黑" w:cs="宋体"/>
                <w:color w:val="auto"/>
                <w:sz w:val="18"/>
                <w:szCs w:val="18"/>
              </w:rPr>
              <w:t>给水排水专业工程师：具有给水排水</w:t>
            </w:r>
            <w:r>
              <w:rPr>
                <w:rFonts w:hint="eastAsia" w:ascii="微软雅黑" w:hAnsi="微软雅黑" w:eastAsia="微软雅黑" w:cs="宋体"/>
                <w:color w:val="auto"/>
                <w:sz w:val="18"/>
                <w:szCs w:val="18"/>
              </w:rPr>
              <w:t>类</w:t>
            </w:r>
            <w:r>
              <w:rPr>
                <w:rFonts w:hint="eastAsia" w:ascii="微软雅黑" w:hAnsi="微软雅黑" w:eastAsia="微软雅黑" w:cs="宋体"/>
                <w:color w:val="auto"/>
                <w:sz w:val="18"/>
                <w:szCs w:val="18"/>
              </w:rPr>
              <w:t>工程师（或以上）技术职称；</w:t>
            </w:r>
            <w:r>
              <w:rPr>
                <w:rFonts w:ascii="微软雅黑" w:hAnsi="微软雅黑" w:eastAsia="微软雅黑" w:cs="宋体"/>
                <w:color w:val="auto"/>
                <w:sz w:val="18"/>
                <w:szCs w:val="18"/>
              </w:rPr>
              <w:br w:type="textWrapping"/>
            </w:r>
            <w:r>
              <w:rPr>
                <w:rFonts w:hint="eastAsia" w:ascii="微软雅黑" w:hAnsi="微软雅黑" w:eastAsia="微软雅黑" w:cs="宋体"/>
                <w:color w:val="auto"/>
                <w:sz w:val="18"/>
                <w:szCs w:val="18"/>
              </w:rPr>
              <w:t>（3</w:t>
            </w:r>
            <w:r>
              <w:rPr>
                <w:rFonts w:ascii="微软雅黑" w:hAnsi="微软雅黑" w:eastAsia="微软雅黑" w:cs="宋体"/>
                <w:color w:val="auto"/>
                <w:sz w:val="18"/>
                <w:szCs w:val="18"/>
              </w:rPr>
              <w:t>）</w:t>
            </w:r>
            <w:r>
              <w:rPr>
                <w:rFonts w:hint="eastAsia" w:ascii="微软雅黑" w:hAnsi="微软雅黑" w:eastAsia="微软雅黑" w:cs="宋体"/>
                <w:color w:val="auto"/>
                <w:sz w:val="18"/>
                <w:szCs w:val="18"/>
              </w:rPr>
              <w:t>暖通空调专业工程师：具有暖通类工程师（或以上）技术职称。</w:t>
            </w:r>
          </w:p>
        </w:tc>
      </w:tr>
      <w:tr w14:paraId="0D92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340" w:type="dxa"/>
            <w:vMerge w:val="restart"/>
            <w:shd w:val="clear" w:color="auto" w:fill="auto"/>
            <w:vAlign w:val="center"/>
          </w:tcPr>
          <w:p w14:paraId="37C7C1D7">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三、施工组织设计（50分）</w:t>
            </w:r>
          </w:p>
        </w:tc>
        <w:tc>
          <w:tcPr>
            <w:tcW w:w="1300" w:type="dxa"/>
            <w:vMerge w:val="restart"/>
            <w:shd w:val="clear" w:color="auto" w:fill="auto"/>
            <w:vAlign w:val="center"/>
          </w:tcPr>
          <w:p w14:paraId="56608F93">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施工方案与技术措施</w:t>
            </w:r>
          </w:p>
        </w:tc>
        <w:tc>
          <w:tcPr>
            <w:tcW w:w="960" w:type="dxa"/>
            <w:vMerge w:val="restart"/>
            <w:shd w:val="clear" w:color="auto" w:fill="auto"/>
            <w:vAlign w:val="center"/>
          </w:tcPr>
          <w:p w14:paraId="0384CDAB">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20</w:t>
            </w:r>
          </w:p>
        </w:tc>
        <w:tc>
          <w:tcPr>
            <w:tcW w:w="10800" w:type="dxa"/>
            <w:shd w:val="clear" w:color="auto" w:fill="auto"/>
            <w:vAlign w:val="center"/>
          </w:tcPr>
          <w:p w14:paraId="150627C8">
            <w:pPr>
              <w:spacing w:line="360" w:lineRule="auto"/>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优】依据工程特点制定专项施工方案，对本项目工程装修、防渗漏、成品保护、绿色健康等难点分析透切，施工关键技术工艺把握及应用准确，制定的技术措施可以充分保障工程质量、工期和施工安全生产可行性高，得[20，15]分。</w:t>
            </w:r>
          </w:p>
        </w:tc>
      </w:tr>
      <w:tr w14:paraId="5C42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40" w:type="dxa"/>
            <w:vMerge w:val="continue"/>
            <w:vAlign w:val="center"/>
          </w:tcPr>
          <w:p w14:paraId="45109757">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4E0ED2EB">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7B1AB7C6">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340BC965">
            <w:pPr>
              <w:spacing w:line="360" w:lineRule="auto"/>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良】依据工程特点制定专项施工方案，对本项目工程装修、防渗漏、成品保护、绿色健康等难点分析较透切，施工关键技术工艺把握及应用较准确，制定的技术措施可以保障工程质量、工期和施工安全生产，可行性较高，得(15，10]分。</w:t>
            </w:r>
          </w:p>
        </w:tc>
      </w:tr>
      <w:tr w14:paraId="6A80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340" w:type="dxa"/>
            <w:vMerge w:val="continue"/>
            <w:vAlign w:val="center"/>
          </w:tcPr>
          <w:p w14:paraId="03606C36">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566AA039">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3561D10A">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51D135AD">
            <w:pPr>
              <w:spacing w:line="360" w:lineRule="auto"/>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依据工程特点制定专项施工方案，对本项目对本项目工程装修、防渗漏、成品保护、绿色健康等难点分析一般，施工关键技术工艺把握及应用基本可行，制定的技术措施基本能保障工程质量、工期和施工安全生产，基本可行，得（10,5]分。</w:t>
            </w:r>
          </w:p>
        </w:tc>
      </w:tr>
      <w:tr w14:paraId="7921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0" w:type="dxa"/>
            <w:vMerge w:val="continue"/>
            <w:vAlign w:val="center"/>
          </w:tcPr>
          <w:p w14:paraId="774F5356">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55041BD7">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454C837F">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718B4951">
            <w:pPr>
              <w:spacing w:line="360" w:lineRule="auto"/>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【差】不满足前述要求者，得（5,0]分。</w:t>
            </w:r>
          </w:p>
        </w:tc>
      </w:tr>
      <w:tr w14:paraId="088D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40" w:type="dxa"/>
            <w:vMerge w:val="continue"/>
            <w:vAlign w:val="center"/>
          </w:tcPr>
          <w:p w14:paraId="58B83E32">
            <w:pPr>
              <w:jc w:val="left"/>
              <w:textAlignment w:val="auto"/>
              <w:rPr>
                <w:rFonts w:ascii="微软雅黑" w:hAnsi="微软雅黑" w:eastAsia="微软雅黑" w:cs="宋体"/>
                <w:color w:val="auto"/>
                <w:kern w:val="0"/>
                <w:sz w:val="18"/>
                <w:szCs w:val="18"/>
              </w:rPr>
            </w:pPr>
          </w:p>
        </w:tc>
        <w:tc>
          <w:tcPr>
            <w:tcW w:w="1300" w:type="dxa"/>
            <w:vMerge w:val="restart"/>
            <w:shd w:val="clear" w:color="auto" w:fill="auto"/>
            <w:vAlign w:val="center"/>
          </w:tcPr>
          <w:p w14:paraId="6D4530FD">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施工总进度计划</w:t>
            </w:r>
          </w:p>
        </w:tc>
        <w:tc>
          <w:tcPr>
            <w:tcW w:w="960" w:type="dxa"/>
            <w:vMerge w:val="restart"/>
            <w:shd w:val="clear" w:color="auto" w:fill="auto"/>
            <w:vAlign w:val="center"/>
          </w:tcPr>
          <w:p w14:paraId="32BB0915">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w:t>
            </w:r>
          </w:p>
        </w:tc>
        <w:tc>
          <w:tcPr>
            <w:tcW w:w="10800" w:type="dxa"/>
            <w:shd w:val="clear" w:color="auto" w:fill="auto"/>
            <w:vAlign w:val="center"/>
          </w:tcPr>
          <w:p w14:paraId="1D0E7767">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【优】施工总进度计划逻辑性强、合理、可行，保证措施明确具体，有详细的施工进度计划图,得[10，8]分。</w:t>
            </w:r>
          </w:p>
        </w:tc>
      </w:tr>
      <w:tr w14:paraId="7EFD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40" w:type="dxa"/>
            <w:vMerge w:val="continue"/>
            <w:vAlign w:val="center"/>
          </w:tcPr>
          <w:p w14:paraId="0EC9097F">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4A6445D4">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044F0CFF">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67709AA8">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【良】施工总进度计划逻辑性较强、较合理可行，有保证措施，有详细的施工进度计划图,得(8，6]分。</w:t>
            </w:r>
          </w:p>
        </w:tc>
      </w:tr>
      <w:tr w14:paraId="0136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40" w:type="dxa"/>
            <w:vMerge w:val="continue"/>
            <w:vAlign w:val="center"/>
          </w:tcPr>
          <w:p w14:paraId="27163F18">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1E07A5E2">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4D867C2A">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5D46B889">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【中】施工总进度计划逻辑性一般、基本合理可行，有施工进度计划图,得（6,4]分。</w:t>
            </w:r>
          </w:p>
        </w:tc>
      </w:tr>
      <w:tr w14:paraId="7A31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40" w:type="dxa"/>
            <w:vMerge w:val="continue"/>
            <w:vAlign w:val="center"/>
          </w:tcPr>
          <w:p w14:paraId="2D4369A9">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08C5DB72">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4E6BF14A">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60910A5E">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【差】不满足前述要求者，得（4,0]分。</w:t>
            </w:r>
          </w:p>
        </w:tc>
      </w:tr>
      <w:tr w14:paraId="1599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0" w:type="dxa"/>
            <w:vMerge w:val="continue"/>
            <w:vAlign w:val="center"/>
          </w:tcPr>
          <w:p w14:paraId="627C201C">
            <w:pPr>
              <w:jc w:val="left"/>
              <w:textAlignment w:val="auto"/>
              <w:rPr>
                <w:rFonts w:ascii="微软雅黑" w:hAnsi="微软雅黑" w:eastAsia="微软雅黑" w:cs="宋体"/>
                <w:color w:val="auto"/>
                <w:kern w:val="0"/>
                <w:sz w:val="18"/>
                <w:szCs w:val="18"/>
              </w:rPr>
            </w:pPr>
          </w:p>
        </w:tc>
        <w:tc>
          <w:tcPr>
            <w:tcW w:w="1300" w:type="dxa"/>
            <w:vMerge w:val="restart"/>
            <w:shd w:val="clear" w:color="auto" w:fill="auto"/>
            <w:vAlign w:val="center"/>
          </w:tcPr>
          <w:p w14:paraId="040BED9E">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资源供应计划</w:t>
            </w:r>
          </w:p>
        </w:tc>
        <w:tc>
          <w:tcPr>
            <w:tcW w:w="960" w:type="dxa"/>
            <w:vMerge w:val="restart"/>
            <w:shd w:val="clear" w:color="auto" w:fill="auto"/>
            <w:vAlign w:val="center"/>
          </w:tcPr>
          <w:p w14:paraId="0301BB09">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w:t>
            </w:r>
          </w:p>
        </w:tc>
        <w:tc>
          <w:tcPr>
            <w:tcW w:w="10800" w:type="dxa"/>
            <w:shd w:val="clear" w:color="auto" w:fill="auto"/>
            <w:vAlign w:val="center"/>
          </w:tcPr>
          <w:p w14:paraId="019DD218">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【优】有劳动力需求计划及保障措施、机械设备需求计划及保障措施和材料需求计划及保障措施，措施合理、可行得[8，6]分。</w:t>
            </w:r>
          </w:p>
        </w:tc>
      </w:tr>
      <w:tr w14:paraId="0233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0" w:type="dxa"/>
            <w:vMerge w:val="continue"/>
            <w:vAlign w:val="center"/>
          </w:tcPr>
          <w:p w14:paraId="1B005823">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5A0AE21C">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3AD0712B">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0E06B172">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【良】有劳动力需求计划及保障措施、机械设备需求计划及保障措施和材料需求计划及保障措施，措施较合理、可行得(6，4]分。</w:t>
            </w:r>
          </w:p>
        </w:tc>
      </w:tr>
      <w:tr w14:paraId="6C77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0" w:type="dxa"/>
            <w:vMerge w:val="continue"/>
            <w:vAlign w:val="center"/>
          </w:tcPr>
          <w:p w14:paraId="3EB6876E">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1D3C2846">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11900F16">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7D038726">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【中】有劳动力需求计划及保障措施、机械设备需求计划及保障措施和材料需求计划及保障措施，措施基本合理、可行得（4,2]分。</w:t>
            </w:r>
          </w:p>
        </w:tc>
      </w:tr>
      <w:tr w14:paraId="7252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0" w:type="dxa"/>
            <w:vMerge w:val="continue"/>
            <w:vAlign w:val="center"/>
          </w:tcPr>
          <w:p w14:paraId="2B333B9A">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2B4D1157">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38CE3D41">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6B82C813">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【差】不满足前述要求者，得（2,0]分。</w:t>
            </w:r>
          </w:p>
        </w:tc>
      </w:tr>
      <w:tr w14:paraId="40CC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0" w:type="dxa"/>
            <w:vMerge w:val="continue"/>
            <w:vAlign w:val="center"/>
          </w:tcPr>
          <w:p w14:paraId="21792BFD">
            <w:pPr>
              <w:jc w:val="left"/>
              <w:textAlignment w:val="auto"/>
              <w:rPr>
                <w:rFonts w:ascii="微软雅黑" w:hAnsi="微软雅黑" w:eastAsia="微软雅黑" w:cs="宋体"/>
                <w:color w:val="auto"/>
                <w:kern w:val="0"/>
                <w:sz w:val="18"/>
                <w:szCs w:val="18"/>
              </w:rPr>
            </w:pPr>
          </w:p>
        </w:tc>
        <w:tc>
          <w:tcPr>
            <w:tcW w:w="1300" w:type="dxa"/>
            <w:vMerge w:val="restart"/>
            <w:shd w:val="clear" w:color="auto" w:fill="auto"/>
            <w:vAlign w:val="center"/>
          </w:tcPr>
          <w:p w14:paraId="26B5DDB8">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质量管理措施</w:t>
            </w:r>
          </w:p>
        </w:tc>
        <w:tc>
          <w:tcPr>
            <w:tcW w:w="960" w:type="dxa"/>
            <w:vMerge w:val="restart"/>
            <w:shd w:val="clear" w:color="auto" w:fill="auto"/>
            <w:vAlign w:val="center"/>
          </w:tcPr>
          <w:p w14:paraId="141D13E1">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w:t>
            </w:r>
          </w:p>
        </w:tc>
        <w:tc>
          <w:tcPr>
            <w:tcW w:w="10800" w:type="dxa"/>
            <w:shd w:val="clear" w:color="auto" w:fill="auto"/>
            <w:vAlign w:val="center"/>
          </w:tcPr>
          <w:p w14:paraId="1659C5CD">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【优】有质量目标保证措施且质量目标符合招标文件要求，质量保证体系及质量事故应急预案合理、可行，得[6，4]分。</w:t>
            </w:r>
          </w:p>
        </w:tc>
      </w:tr>
      <w:tr w14:paraId="1F83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0" w:type="dxa"/>
            <w:vMerge w:val="continue"/>
            <w:vAlign w:val="center"/>
          </w:tcPr>
          <w:p w14:paraId="1F7C80DF">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688169D0">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72E4DFC5">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53488EA4">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【良】有质量目标保证措施且质量目标符合招标文件要求，质量保证体系及质量事故应急预案较合理可行，得(4，2]分。</w:t>
            </w:r>
          </w:p>
        </w:tc>
      </w:tr>
      <w:tr w14:paraId="5633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0" w:type="dxa"/>
            <w:vMerge w:val="continue"/>
            <w:vAlign w:val="center"/>
          </w:tcPr>
          <w:p w14:paraId="3B3EA911">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5A5348CB">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6E20E89D">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1BAD1A07">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【中】有质量目标保证措施且质量目标符合招标文件要求，质量保证体系及质量事故应急预案基本合理可行，得（2,1]分。</w:t>
            </w:r>
          </w:p>
        </w:tc>
      </w:tr>
      <w:tr w14:paraId="37EF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0" w:type="dxa"/>
            <w:vMerge w:val="continue"/>
            <w:vAlign w:val="center"/>
          </w:tcPr>
          <w:p w14:paraId="5CBCD151">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399FD80C">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4810D728">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21DA7F30">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【差】不满足前述要求者，得（1,0]分。</w:t>
            </w:r>
          </w:p>
        </w:tc>
      </w:tr>
      <w:tr w14:paraId="2CCC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0" w:type="dxa"/>
            <w:vMerge w:val="continue"/>
            <w:vAlign w:val="center"/>
          </w:tcPr>
          <w:p w14:paraId="1CA8F878">
            <w:pPr>
              <w:jc w:val="left"/>
              <w:textAlignment w:val="auto"/>
              <w:rPr>
                <w:rFonts w:ascii="微软雅黑" w:hAnsi="微软雅黑" w:eastAsia="微软雅黑" w:cs="宋体"/>
                <w:color w:val="auto"/>
                <w:kern w:val="0"/>
                <w:sz w:val="18"/>
                <w:szCs w:val="18"/>
              </w:rPr>
            </w:pPr>
          </w:p>
        </w:tc>
        <w:tc>
          <w:tcPr>
            <w:tcW w:w="1300" w:type="dxa"/>
            <w:vMerge w:val="restart"/>
            <w:shd w:val="clear" w:color="auto" w:fill="auto"/>
            <w:vAlign w:val="center"/>
          </w:tcPr>
          <w:p w14:paraId="76F60CD3">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安全文明施工措施</w:t>
            </w:r>
          </w:p>
        </w:tc>
        <w:tc>
          <w:tcPr>
            <w:tcW w:w="960" w:type="dxa"/>
            <w:vMerge w:val="restart"/>
            <w:shd w:val="clear" w:color="auto" w:fill="auto"/>
            <w:vAlign w:val="center"/>
          </w:tcPr>
          <w:p w14:paraId="11571916">
            <w:pPr>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w:t>
            </w:r>
          </w:p>
        </w:tc>
        <w:tc>
          <w:tcPr>
            <w:tcW w:w="10800" w:type="dxa"/>
            <w:shd w:val="clear" w:color="auto" w:fill="auto"/>
            <w:vAlign w:val="center"/>
          </w:tcPr>
          <w:p w14:paraId="5F692500">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【优】有安全文明施工目标、安全文明保障体系及安全文明施工保证措施，措施合理、可行得[6，4]分。</w:t>
            </w:r>
          </w:p>
        </w:tc>
      </w:tr>
      <w:tr w14:paraId="2DC6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0" w:type="dxa"/>
            <w:vMerge w:val="continue"/>
            <w:vAlign w:val="center"/>
          </w:tcPr>
          <w:p w14:paraId="337F015E">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18D1EA2F">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75486FCB">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60900A9F">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【良】有安全文明施工目标、安全文明保障体系及安全文明施工保证措施，措施较合理、可行得(4，2]分。</w:t>
            </w:r>
          </w:p>
        </w:tc>
      </w:tr>
      <w:tr w14:paraId="0AE2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0" w:type="dxa"/>
            <w:vMerge w:val="continue"/>
            <w:vAlign w:val="center"/>
          </w:tcPr>
          <w:p w14:paraId="29040769">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3F9941F2">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53453C66">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4BF2B792">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【中】有安全文明施工目标、安全文明保障体系及安全文明施工保证措施，措施基本合理、可行得（2,1]分。</w:t>
            </w:r>
          </w:p>
        </w:tc>
      </w:tr>
      <w:tr w14:paraId="4F3A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40" w:type="dxa"/>
            <w:vMerge w:val="continue"/>
            <w:vAlign w:val="center"/>
          </w:tcPr>
          <w:p w14:paraId="4437B648">
            <w:pPr>
              <w:jc w:val="left"/>
              <w:textAlignment w:val="auto"/>
              <w:rPr>
                <w:rFonts w:ascii="微软雅黑" w:hAnsi="微软雅黑" w:eastAsia="微软雅黑" w:cs="宋体"/>
                <w:color w:val="auto"/>
                <w:kern w:val="0"/>
                <w:sz w:val="18"/>
                <w:szCs w:val="18"/>
              </w:rPr>
            </w:pPr>
          </w:p>
        </w:tc>
        <w:tc>
          <w:tcPr>
            <w:tcW w:w="1300" w:type="dxa"/>
            <w:vMerge w:val="continue"/>
            <w:vAlign w:val="center"/>
          </w:tcPr>
          <w:p w14:paraId="0DC60D00">
            <w:pPr>
              <w:jc w:val="left"/>
              <w:textAlignment w:val="auto"/>
              <w:rPr>
                <w:rFonts w:ascii="微软雅黑" w:hAnsi="微软雅黑" w:eastAsia="微软雅黑" w:cs="宋体"/>
                <w:color w:val="auto"/>
                <w:kern w:val="0"/>
                <w:sz w:val="18"/>
                <w:szCs w:val="18"/>
              </w:rPr>
            </w:pPr>
          </w:p>
        </w:tc>
        <w:tc>
          <w:tcPr>
            <w:tcW w:w="960" w:type="dxa"/>
            <w:vMerge w:val="continue"/>
            <w:vAlign w:val="center"/>
          </w:tcPr>
          <w:p w14:paraId="467953A9">
            <w:pPr>
              <w:jc w:val="left"/>
              <w:textAlignment w:val="auto"/>
              <w:rPr>
                <w:rFonts w:ascii="微软雅黑" w:hAnsi="微软雅黑" w:eastAsia="微软雅黑" w:cs="宋体"/>
                <w:color w:val="auto"/>
                <w:kern w:val="0"/>
                <w:sz w:val="18"/>
                <w:szCs w:val="18"/>
              </w:rPr>
            </w:pPr>
          </w:p>
        </w:tc>
        <w:tc>
          <w:tcPr>
            <w:tcW w:w="10800" w:type="dxa"/>
            <w:shd w:val="clear" w:color="auto" w:fill="auto"/>
            <w:vAlign w:val="center"/>
          </w:tcPr>
          <w:p w14:paraId="57FBBE2F">
            <w:pPr>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【差】不满足前述要求者，得（1,0]分。</w:t>
            </w:r>
          </w:p>
        </w:tc>
      </w:tr>
    </w:tbl>
    <w:p w14:paraId="3EB5765D">
      <w:pPr>
        <w:widowControl w:val="0"/>
        <w:spacing w:line="276" w:lineRule="auto"/>
        <w:jc w:val="left"/>
        <w:textAlignment w:val="auto"/>
        <w:rPr>
          <w:rFonts w:ascii="宋体" w:hAnsi="宋体"/>
          <w:b/>
          <w:bCs/>
          <w:color w:val="auto"/>
          <w:sz w:val="18"/>
          <w:szCs w:val="18"/>
        </w:rPr>
      </w:pPr>
      <w:r>
        <w:rPr>
          <w:rFonts w:hint="eastAsia" w:ascii="宋体" w:hAnsi="宋体"/>
          <w:b/>
          <w:bCs/>
          <w:color w:val="auto"/>
          <w:sz w:val="18"/>
          <w:szCs w:val="18"/>
        </w:rPr>
        <w:t>备注：</w:t>
      </w:r>
    </w:p>
    <w:p w14:paraId="5DB72A8C">
      <w:pPr>
        <w:widowControl w:val="0"/>
        <w:textAlignment w:val="auto"/>
        <w:rPr>
          <w:rFonts w:ascii="宋体" w:hAnsi="宋体"/>
          <w:color w:val="auto"/>
          <w:kern w:val="0"/>
          <w:sz w:val="18"/>
          <w:szCs w:val="18"/>
        </w:rPr>
      </w:pPr>
      <w:r>
        <w:rPr>
          <w:rFonts w:hint="eastAsia" w:ascii="宋体" w:hAnsi="宋体"/>
          <w:color w:val="auto"/>
          <w:kern w:val="0"/>
          <w:sz w:val="18"/>
          <w:szCs w:val="18"/>
        </w:rPr>
        <w:t>1、</w:t>
      </w:r>
      <w:r>
        <w:rPr>
          <w:rFonts w:hint="eastAsia" w:ascii="宋体" w:hAnsi="宋体"/>
          <w:b/>
          <w:bCs/>
          <w:color w:val="auto"/>
          <w:kern w:val="0"/>
          <w:sz w:val="18"/>
          <w:szCs w:val="18"/>
        </w:rPr>
        <w:t>【企业业绩】：</w:t>
      </w:r>
      <w:r>
        <w:rPr>
          <w:rFonts w:hint="eastAsia" w:ascii="宋体" w:hAnsi="宋体"/>
          <w:color w:val="auto"/>
          <w:kern w:val="0"/>
          <w:sz w:val="18"/>
          <w:szCs w:val="18"/>
        </w:rPr>
        <w:t>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w:t>
      </w:r>
      <w:r>
        <w:rPr>
          <w:rFonts w:ascii="宋体" w:hAnsi="宋体" w:cs="Calibri"/>
          <w:color w:val="auto"/>
          <w:kern w:val="0"/>
          <w:sz w:val="18"/>
          <w:szCs w:val="18"/>
        </w:rPr>
        <w:t>①</w:t>
      </w:r>
      <w:r>
        <w:rPr>
          <w:rFonts w:hint="eastAsia" w:ascii="宋体" w:hAnsi="宋体"/>
          <w:color w:val="auto"/>
          <w:kern w:val="0"/>
          <w:sz w:val="18"/>
          <w:szCs w:val="18"/>
        </w:rPr>
        <w:t>项目名称和项目编号在平台内分别对应不同业绩的，以项目名称对应的业绩为准；</w:t>
      </w:r>
      <w:r>
        <w:rPr>
          <w:rFonts w:ascii="宋体" w:hAnsi="宋体" w:cs="Calibri"/>
          <w:color w:val="auto"/>
          <w:kern w:val="0"/>
          <w:sz w:val="18"/>
          <w:szCs w:val="18"/>
        </w:rPr>
        <w:t>②</w:t>
      </w:r>
      <w:r>
        <w:rPr>
          <w:rFonts w:hint="eastAsia" w:ascii="宋体" w:hAnsi="宋体"/>
          <w:color w:val="auto"/>
          <w:kern w:val="0"/>
          <w:sz w:val="18"/>
          <w:szCs w:val="18"/>
        </w:rPr>
        <w:t>项目名称存在对应业绩的，项目编号在平台内不存在对应业绩，以项目名称对应的业绩为准；</w:t>
      </w:r>
      <w:r>
        <w:rPr>
          <w:rFonts w:ascii="宋体" w:hAnsi="宋体" w:cs="Calibri"/>
          <w:color w:val="auto"/>
          <w:kern w:val="0"/>
          <w:sz w:val="18"/>
          <w:szCs w:val="18"/>
        </w:rPr>
        <w:t>③</w:t>
      </w:r>
      <w:r>
        <w:rPr>
          <w:rFonts w:hint="eastAsia" w:ascii="宋体" w:hAnsi="宋体"/>
          <w:color w:val="auto"/>
          <w:kern w:val="0"/>
          <w:sz w:val="18"/>
          <w:szCs w:val="18"/>
        </w:rPr>
        <w:t xml:space="preserve">项目名称在平台内不存在对应业绩，项目编号存在对应业绩的，以项目编号对应的业绩为准。评标委员会对业绩的评审以投标截止时间在平台内业绩上传件为依据。 </w:t>
      </w:r>
    </w:p>
    <w:p w14:paraId="59955D8E">
      <w:pPr>
        <w:widowControl w:val="0"/>
        <w:textAlignment w:val="auto"/>
        <w:rPr>
          <w:rFonts w:ascii="宋体" w:hAnsi="宋体" w:cs="宋体"/>
          <w:color w:val="auto"/>
          <w:kern w:val="0"/>
          <w:sz w:val="18"/>
          <w:szCs w:val="18"/>
        </w:rPr>
      </w:pPr>
      <w:r>
        <w:rPr>
          <w:rFonts w:hint="eastAsia" w:ascii="宋体" w:hAnsi="宋体"/>
          <w:color w:val="auto"/>
          <w:kern w:val="0"/>
          <w:sz w:val="18"/>
          <w:szCs w:val="18"/>
        </w:rPr>
        <w:t>（1）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平台中“工程对应的企业资质”栏中须登记有与本项目要求相对应的资质（建筑装修装饰工程）。</w:t>
      </w:r>
    </w:p>
    <w:p w14:paraId="02BC5802">
      <w:pPr>
        <w:widowControl w:val="0"/>
        <w:textAlignment w:val="auto"/>
        <w:rPr>
          <w:rFonts w:ascii="宋体" w:hAnsi="宋体"/>
          <w:color w:val="auto"/>
          <w:kern w:val="0"/>
          <w:sz w:val="18"/>
          <w:szCs w:val="18"/>
        </w:rPr>
      </w:pPr>
      <w:r>
        <w:rPr>
          <w:rFonts w:hint="eastAsia" w:ascii="宋体" w:hAnsi="宋体" w:cs="宋体"/>
          <w:color w:val="auto"/>
          <w:kern w:val="0"/>
          <w:sz w:val="18"/>
          <w:szCs w:val="18"/>
        </w:rPr>
        <w:t>（2）</w:t>
      </w:r>
      <w:r>
        <w:rPr>
          <w:rFonts w:hint="eastAsia"/>
          <w:color w:val="auto"/>
          <w:sz w:val="18"/>
          <w:szCs w:val="18"/>
        </w:rPr>
        <w:t>完成时间以</w:t>
      </w:r>
      <w:r>
        <w:rPr>
          <w:rFonts w:hint="eastAsia" w:ascii="宋体" w:hAnsi="宋体"/>
          <w:color w:val="auto"/>
          <w:kern w:val="0"/>
          <w:sz w:val="18"/>
          <w:szCs w:val="18"/>
        </w:rPr>
        <w:t>竣工验收</w:t>
      </w:r>
      <w:r>
        <w:rPr>
          <w:rFonts w:hint="eastAsia" w:ascii="宋体" w:hAnsi="Times New Roman"/>
          <w:color w:val="auto"/>
          <w:kern w:val="0"/>
          <w:sz w:val="18"/>
          <w:szCs w:val="18"/>
        </w:rPr>
        <w:t>文件</w:t>
      </w:r>
      <w:r>
        <w:rPr>
          <w:rFonts w:hint="eastAsia"/>
          <w:color w:val="auto"/>
          <w:sz w:val="18"/>
          <w:szCs w:val="18"/>
        </w:rPr>
        <w:t>（或子分部工程质量验收记录）时间为准。</w:t>
      </w:r>
      <w:r>
        <w:rPr>
          <w:rFonts w:hint="eastAsia" w:ascii="宋体" w:hAnsi="宋体"/>
          <w:color w:val="auto"/>
          <w:kern w:val="0"/>
          <w:sz w:val="18"/>
          <w:szCs w:val="18"/>
        </w:rPr>
        <w:t>完成时间以竣工验收</w:t>
      </w:r>
      <w:r>
        <w:rPr>
          <w:rFonts w:hint="eastAsia" w:ascii="宋体" w:hAnsi="Times New Roman"/>
          <w:color w:val="auto"/>
          <w:kern w:val="0"/>
          <w:sz w:val="18"/>
          <w:szCs w:val="18"/>
        </w:rPr>
        <w:t>文件</w:t>
      </w:r>
      <w:r>
        <w:rPr>
          <w:rFonts w:hint="eastAsia" w:ascii="宋体" w:hAnsi="宋体"/>
          <w:color w:val="auto"/>
          <w:kern w:val="0"/>
          <w:sz w:val="18"/>
          <w:szCs w:val="18"/>
        </w:rPr>
        <w:t>为准。</w:t>
      </w:r>
      <w:r>
        <w:rPr>
          <w:rFonts w:hint="eastAsia" w:ascii="宋体" w:hAnsi="Times New Roman"/>
          <w:color w:val="auto"/>
          <w:kern w:val="0"/>
          <w:sz w:val="18"/>
          <w:szCs w:val="18"/>
        </w:rPr>
        <w:t>验收文件至少具有建设单位、设计、施工和监理单位盖章。</w:t>
      </w:r>
    </w:p>
    <w:p w14:paraId="193CF973">
      <w:pPr>
        <w:widowControl w:val="0"/>
        <w:textAlignment w:val="auto"/>
        <w:rPr>
          <w:rFonts w:ascii="宋体" w:hAnsi="宋体"/>
          <w:color w:val="auto"/>
          <w:kern w:val="0"/>
          <w:sz w:val="18"/>
          <w:szCs w:val="18"/>
        </w:rPr>
      </w:pPr>
      <w:r>
        <w:rPr>
          <w:rFonts w:hint="eastAsia" w:ascii="宋体" w:hAnsi="宋体"/>
          <w:color w:val="auto"/>
          <w:kern w:val="0"/>
          <w:sz w:val="18"/>
          <w:szCs w:val="18"/>
        </w:rPr>
        <w:t>（3）</w:t>
      </w:r>
      <w:r>
        <w:rPr>
          <w:rFonts w:hint="eastAsia" w:ascii="宋体" w:hAnsi="宋体" w:cs="宋体"/>
          <w:color w:val="auto"/>
          <w:kern w:val="0"/>
          <w:sz w:val="18"/>
          <w:szCs w:val="18"/>
        </w:rPr>
        <w:t>平台内业绩上传件不符合上述要求的或登记的工程资质内容与施工合同等业绩证明资料不相符的，该项业绩不予认定</w:t>
      </w:r>
      <w:r>
        <w:rPr>
          <w:rFonts w:hint="eastAsia" w:ascii="宋体" w:hAnsi="宋体"/>
          <w:color w:val="auto"/>
          <w:kern w:val="0"/>
          <w:sz w:val="18"/>
          <w:szCs w:val="18"/>
        </w:rPr>
        <w:t>。</w:t>
      </w:r>
    </w:p>
    <w:p w14:paraId="4B72C42D">
      <w:pPr>
        <w:widowControl w:val="0"/>
        <w:textAlignment w:val="auto"/>
        <w:rPr>
          <w:rFonts w:ascii="宋体" w:hAnsi="宋体" w:cs="宋体"/>
          <w:color w:val="auto"/>
          <w:kern w:val="0"/>
          <w:sz w:val="18"/>
          <w:szCs w:val="18"/>
          <w:u w:val="single"/>
        </w:rPr>
      </w:pPr>
      <w:r>
        <w:rPr>
          <w:rFonts w:hint="eastAsia" w:ascii="宋体" w:hAnsi="宋体" w:cs="宋体"/>
          <w:color w:val="auto"/>
          <w:kern w:val="0"/>
          <w:sz w:val="18"/>
          <w:szCs w:val="18"/>
        </w:rPr>
        <w:t>2、</w:t>
      </w:r>
      <w:r>
        <w:rPr>
          <w:rFonts w:hint="eastAsia" w:ascii="宋体" w:hAnsi="宋体" w:cs="宋体"/>
          <w:b/>
          <w:bCs/>
          <w:color w:val="auto"/>
          <w:kern w:val="0"/>
          <w:sz w:val="18"/>
          <w:szCs w:val="18"/>
        </w:rPr>
        <w:t>【</w:t>
      </w:r>
      <w:r>
        <w:rPr>
          <w:rFonts w:hint="eastAsia" w:ascii="宋体" w:hAnsi="宋体" w:cs="宋体"/>
          <w:b/>
          <w:bCs/>
          <w:color w:val="auto"/>
          <w:kern w:val="0"/>
          <w:sz w:val="18"/>
          <w:szCs w:val="18"/>
          <w:u w:val="single"/>
        </w:rPr>
        <w:t>工程</w:t>
      </w:r>
      <w:r>
        <w:rPr>
          <w:rFonts w:hint="eastAsia" w:ascii="宋体" w:hAnsi="宋体" w:cs="宋体"/>
          <w:b/>
          <w:bCs/>
          <w:color w:val="auto"/>
          <w:kern w:val="0"/>
          <w:sz w:val="18"/>
          <w:szCs w:val="18"/>
        </w:rPr>
        <w:t>奖项】：</w:t>
      </w:r>
      <w:r>
        <w:rPr>
          <w:rFonts w:hint="eastAsia" w:ascii="宋体" w:hAnsi="宋体" w:cs="宋体"/>
          <w:color w:val="auto"/>
          <w:kern w:val="0"/>
          <w:sz w:val="18"/>
          <w:szCs w:val="18"/>
          <w:u w:val="single"/>
        </w:rPr>
        <w:t>（1）工程奖项可取自广州市住建行业信用管理平台或提供获奖证书扫描件。</w:t>
      </w:r>
    </w:p>
    <w:p w14:paraId="5F862785">
      <w:pPr>
        <w:widowControl w:val="0"/>
        <w:textAlignment w:val="auto"/>
        <w:rPr>
          <w:rFonts w:ascii="宋体" w:hAnsi="宋体" w:cs="宋体"/>
          <w:color w:val="auto"/>
          <w:kern w:val="0"/>
          <w:sz w:val="18"/>
          <w:szCs w:val="18"/>
          <w:u w:val="single"/>
        </w:rPr>
      </w:pPr>
      <w:r>
        <w:rPr>
          <w:rFonts w:hint="eastAsia" w:ascii="宋体" w:hAnsi="宋体" w:cs="宋体"/>
          <w:color w:val="auto"/>
          <w:kern w:val="0"/>
          <w:sz w:val="18"/>
          <w:szCs w:val="18"/>
          <w:u w:val="single"/>
        </w:rPr>
        <w:t>①国家级工程质量奖包括：鲁班奖、国家优质工程金质奖、国家优质工程奖（原国家优质工程银质奖）、中国土木工程詹天佑奖、国家建筑工程装饰奖</w:t>
      </w:r>
      <w:r>
        <w:rPr>
          <w:rFonts w:hint="eastAsia" w:ascii="宋体" w:hAnsi="宋体" w:cs="宋体"/>
          <w:color w:val="auto"/>
          <w:kern w:val="0"/>
          <w:sz w:val="18"/>
          <w:szCs w:val="18"/>
          <w:u w:val="single"/>
        </w:rPr>
        <w:t>等</w:t>
      </w:r>
      <w:r>
        <w:rPr>
          <w:rFonts w:hint="eastAsia" w:ascii="宋体" w:hAnsi="宋体" w:cs="宋体"/>
          <w:color w:val="auto"/>
          <w:kern w:val="0"/>
          <w:sz w:val="18"/>
          <w:szCs w:val="18"/>
          <w:u w:val="single"/>
        </w:rPr>
        <w:t>（不含幕墙类和设计类的获奖）；</w:t>
      </w:r>
    </w:p>
    <w:p w14:paraId="03109982">
      <w:pPr>
        <w:widowControl w:val="0"/>
        <w:textAlignment w:val="auto"/>
        <w:rPr>
          <w:rFonts w:ascii="宋体" w:hAnsi="宋体" w:cs="宋体"/>
          <w:color w:val="auto"/>
          <w:kern w:val="0"/>
          <w:sz w:val="18"/>
          <w:szCs w:val="18"/>
          <w:u w:val="single"/>
        </w:rPr>
      </w:pPr>
      <w:r>
        <w:rPr>
          <w:rFonts w:hint="eastAsia" w:ascii="宋体" w:hAnsi="宋体" w:cs="宋体"/>
          <w:color w:val="auto"/>
          <w:kern w:val="0"/>
          <w:sz w:val="18"/>
          <w:szCs w:val="18"/>
          <w:u w:val="single"/>
        </w:rPr>
        <w:t>②省或市级奖项包括：省级（含直辖市）或市级（含副省级）奖项是指由省级（含直辖市）或市级（含副省级）建设行政主管部门或行业协会（行业协会须在民政部门取得成立登记批准）颁发的质量类工程奖项，其它如安全文明、</w:t>
      </w:r>
      <w:r>
        <w:rPr>
          <w:rFonts w:ascii="宋体" w:hAnsi="宋体" w:cs="宋体"/>
          <w:color w:val="auto"/>
          <w:kern w:val="0"/>
          <w:sz w:val="18"/>
          <w:szCs w:val="18"/>
          <w:u w:val="single"/>
        </w:rPr>
        <w:t>绿色施工、技术创新、QC成果、</w:t>
      </w:r>
      <w:r>
        <w:rPr>
          <w:rFonts w:hint="eastAsia" w:ascii="宋体" w:hAnsi="宋体" w:cs="宋体"/>
          <w:color w:val="auto"/>
          <w:kern w:val="0"/>
          <w:sz w:val="18"/>
          <w:szCs w:val="18"/>
          <w:u w:val="single"/>
        </w:rPr>
        <w:t>钢结构、机电安装、</w:t>
      </w:r>
      <w:r>
        <w:rPr>
          <w:rFonts w:ascii="宋体" w:hAnsi="宋体" w:cs="宋体"/>
          <w:color w:val="auto"/>
          <w:kern w:val="0"/>
          <w:sz w:val="18"/>
          <w:szCs w:val="18"/>
          <w:u w:val="single"/>
        </w:rPr>
        <w:t>科技进步及技术应用类奖项不参与计分。</w:t>
      </w:r>
    </w:p>
    <w:p w14:paraId="4EBDED0E">
      <w:pPr>
        <w:widowControl w:val="0"/>
        <w:textAlignment w:val="auto"/>
        <w:rPr>
          <w:rFonts w:ascii="宋体" w:hAnsi="宋体" w:cs="宋体"/>
          <w:color w:val="auto"/>
          <w:kern w:val="0"/>
          <w:sz w:val="18"/>
          <w:szCs w:val="18"/>
          <w:u w:val="single"/>
        </w:rPr>
      </w:pPr>
      <w:r>
        <w:rPr>
          <w:rFonts w:hint="eastAsia" w:ascii="宋体" w:hAnsi="宋体" w:cs="宋体"/>
          <w:color w:val="auto"/>
          <w:kern w:val="0"/>
          <w:sz w:val="18"/>
          <w:szCs w:val="18"/>
          <w:u w:val="single"/>
        </w:rPr>
        <w:t>③只计算房建工程项目质量奖项，其他非房建工程项目，如路桥、铁路、水利、电力、化工、冶金、市政等获奖不参与计分。同一项目获得多个奖项的，该项目获奖只按其中一个奖项所在最高级别计算一次分数，不得重复计算。</w:t>
      </w:r>
    </w:p>
    <w:p w14:paraId="2ACCEE28">
      <w:pPr>
        <w:widowControl w:val="0"/>
        <w:textAlignment w:val="auto"/>
        <w:rPr>
          <w:rFonts w:ascii="宋体" w:hAnsi="宋体" w:cs="宋体"/>
          <w:color w:val="auto"/>
          <w:kern w:val="0"/>
          <w:sz w:val="18"/>
          <w:szCs w:val="18"/>
          <w:u w:val="single"/>
        </w:rPr>
      </w:pPr>
      <w:r>
        <w:rPr>
          <w:rFonts w:hint="eastAsia" w:ascii="宋体" w:hAnsi="宋体" w:cs="宋体"/>
          <w:color w:val="auto"/>
          <w:kern w:val="0"/>
          <w:sz w:val="18"/>
          <w:szCs w:val="18"/>
          <w:u w:val="single"/>
        </w:rPr>
        <w:t>④时间以获奖证书颁发时间为准。</w:t>
      </w:r>
    </w:p>
    <w:p w14:paraId="55353F27">
      <w:pPr>
        <w:widowControl w:val="0"/>
        <w:textAlignment w:val="auto"/>
        <w:rPr>
          <w:rFonts w:ascii="宋体" w:hAnsi="宋体" w:cs="宋体"/>
          <w:color w:val="auto"/>
          <w:kern w:val="0"/>
          <w:sz w:val="18"/>
          <w:szCs w:val="18"/>
          <w:u w:val="single"/>
        </w:rPr>
      </w:pPr>
      <w:r>
        <w:rPr>
          <w:rFonts w:hint="eastAsia" w:ascii="宋体" w:hAnsi="宋体" w:cs="宋体"/>
          <w:color w:val="auto"/>
          <w:kern w:val="0"/>
          <w:sz w:val="18"/>
          <w:szCs w:val="18"/>
          <w:u w:val="single"/>
        </w:rPr>
        <w:t>（2）工程奖项信息取自广州市住建行业信用管理平台的（须提供广州市住建行业信用管理平台的网页信息截图，网页信息截图须能清晰显示带有“住建行业信用管理平台”名称，并至少包含“项目基本信息”、“奖项信息”等信息的页面），评标委员会对获奖的评审以投标截止时间在广州市住建行业信用管理平台的获奖证书上传件为依据。。</w:t>
      </w:r>
    </w:p>
    <w:p w14:paraId="71ED76F4">
      <w:pPr>
        <w:widowControl w:val="0"/>
        <w:textAlignment w:val="auto"/>
        <w:rPr>
          <w:rFonts w:ascii="宋体" w:hAnsi="宋体" w:cs="宋体"/>
          <w:color w:val="auto"/>
          <w:kern w:val="0"/>
          <w:sz w:val="18"/>
          <w:szCs w:val="18"/>
          <w:u w:val="single"/>
        </w:rPr>
      </w:pPr>
      <w:r>
        <w:rPr>
          <w:rFonts w:hint="eastAsia" w:ascii="宋体" w:hAnsi="宋体" w:cs="宋体"/>
          <w:color w:val="auto"/>
          <w:kern w:val="0"/>
          <w:sz w:val="18"/>
          <w:szCs w:val="18"/>
          <w:u w:val="single"/>
        </w:rPr>
        <w:t>（3）工程奖项不取自广州市住建行业信用管理平台的，须提供获奖证书原件扫描件，并同时提供获奖业绩的中标通知书(或免招标证明文件)、施工合同(不含补充合同)、竣工验收文件(验收文件至少具有建设单位、设计、施工和监理单位盖章)。投标人须为该获奖项目的施工总承包单位，须提供相关证明材料（如施工合同、业主证明、评审申请材料、批复文件、竣工验收文件等）体现其为施工总承包单位身份，不符合上述条件或上述资料相关信息不一致或提供的资料不齐全的获奖业绩不予评审。评标委员会对获奖的评审以投标人提供的完整的证明资料为依据。</w:t>
      </w:r>
    </w:p>
    <w:p w14:paraId="72A63C25">
      <w:pPr>
        <w:widowControl w:val="0"/>
        <w:autoSpaceDE w:val="0"/>
        <w:autoSpaceDN w:val="0"/>
        <w:adjustRightInd w:val="0"/>
        <w:textAlignment w:val="auto"/>
        <w:rPr>
          <w:rFonts w:ascii="宋体" w:hAnsi="宋体" w:cs="宋体..胭.."/>
          <w:color w:val="auto"/>
          <w:sz w:val="18"/>
          <w:szCs w:val="18"/>
        </w:rPr>
      </w:pPr>
      <w:r>
        <w:rPr>
          <w:rFonts w:hint="eastAsia" w:ascii="宋体" w:hAnsi="宋体" w:cs="宋体..胭.."/>
          <w:color w:val="auto"/>
          <w:sz w:val="18"/>
          <w:szCs w:val="18"/>
        </w:rPr>
        <w:t>3、</w:t>
      </w:r>
      <w:r>
        <w:rPr>
          <w:rFonts w:hint="eastAsia" w:ascii="宋体" w:hAnsi="宋体" w:cs="宋体..胭.."/>
          <w:b/>
          <w:bCs/>
          <w:color w:val="auto"/>
          <w:sz w:val="18"/>
          <w:szCs w:val="18"/>
        </w:rPr>
        <w:t>【第三方评价】</w:t>
      </w:r>
      <w:r>
        <w:rPr>
          <w:rFonts w:hint="eastAsia" w:ascii="宋体" w:hAnsi="宋体" w:cs="宋体..胭.."/>
          <w:color w:val="auto"/>
          <w:sz w:val="18"/>
          <w:szCs w:val="18"/>
        </w:rPr>
        <w:t>：“纳税信用A级纳税人”须提供国家税务总局官网（http://www.chinatax.gov.cn/）“纳税信用A级纳税人名单公布栏”查询结果网页截图或其省级（含直辖市）税务局官网“纳税信用A级纳税人名单公布栏”查询结果网页截图。时间以国家税务总局或其省级（含直辖市）税务局网站纳税信用信息查询结果的网页截图公布的评价年度为准，上述资料显示的纳税人全称须与投标人名称一致，否则不得分。不满足上述要求或无提交上述资料不得分。</w:t>
      </w:r>
    </w:p>
    <w:p w14:paraId="3DF8006E">
      <w:pPr>
        <w:widowControl w:val="0"/>
        <w:textAlignment w:val="auto"/>
        <w:rPr>
          <w:rFonts w:ascii="宋体" w:hAnsi="宋体"/>
          <w:color w:val="auto"/>
          <w:sz w:val="18"/>
          <w:szCs w:val="18"/>
        </w:rPr>
      </w:pPr>
      <w:r>
        <w:rPr>
          <w:rFonts w:hint="eastAsia" w:ascii="宋体" w:hAnsi="宋体" w:cs="宋体"/>
          <w:color w:val="auto"/>
          <w:sz w:val="18"/>
          <w:szCs w:val="18"/>
        </w:rPr>
        <w:t>4、</w:t>
      </w:r>
      <w:r>
        <w:rPr>
          <w:rFonts w:hint="eastAsia" w:ascii="宋体" w:hAnsi="宋体" w:cs="宋体"/>
          <w:b/>
          <w:bCs/>
          <w:color w:val="auto"/>
          <w:sz w:val="18"/>
          <w:szCs w:val="18"/>
        </w:rPr>
        <w:t>【项目管理机构】</w:t>
      </w:r>
      <w:r>
        <w:rPr>
          <w:rFonts w:hint="eastAsia" w:ascii="宋体" w:hAnsi="宋体" w:cs="宋体"/>
          <w:color w:val="auto"/>
          <w:sz w:val="18"/>
          <w:szCs w:val="18"/>
        </w:rPr>
        <w:t>：</w:t>
      </w:r>
    </w:p>
    <w:p w14:paraId="535EA53C">
      <w:pPr>
        <w:widowControl w:val="0"/>
        <w:textAlignment w:val="auto"/>
        <w:rPr>
          <w:rFonts w:asciiTheme="majorEastAsia" w:hAnsiTheme="majorEastAsia" w:eastAsiaTheme="majorEastAsia"/>
          <w:color w:val="auto"/>
          <w:sz w:val="18"/>
          <w:szCs w:val="18"/>
        </w:rPr>
      </w:pPr>
      <w:r>
        <w:rPr>
          <w:rFonts w:hint="eastAsia" w:ascii="宋体" w:hAnsi="宋体"/>
          <w:color w:val="auto"/>
          <w:sz w:val="18"/>
          <w:szCs w:val="18"/>
        </w:rPr>
        <w:t>①</w:t>
      </w:r>
      <w:r>
        <w:rPr>
          <w:rFonts w:hint="eastAsia" w:ascii="Times New Roman" w:hAnsi="Times New Roman"/>
          <w:color w:val="auto"/>
          <w:sz w:val="18"/>
          <w:szCs w:val="18"/>
        </w:rPr>
        <w:t>人员仅指投标人自身人员</w:t>
      </w:r>
      <w:r>
        <w:rPr>
          <w:rFonts w:hint="eastAsia" w:ascii="宋体" w:hAnsi="宋体" w:cs="宋体"/>
          <w:color w:val="auto"/>
          <w:sz w:val="18"/>
          <w:szCs w:val="18"/>
          <w:shd w:val="clear" w:color="auto" w:fill="FFFFFF"/>
        </w:rPr>
        <w:t>（不含子母公司人员，含分公司）。</w:t>
      </w:r>
      <w:r>
        <w:rPr>
          <w:rFonts w:hint="eastAsia" w:ascii="宋体" w:hAnsi="宋体"/>
          <w:color w:val="auto"/>
          <w:sz w:val="18"/>
          <w:szCs w:val="18"/>
        </w:rPr>
        <w:t>所有人员须提供相关证明资料和</w:t>
      </w:r>
      <w:r>
        <w:rPr>
          <w:rFonts w:hint="eastAsia" w:ascii="Times New Roman" w:hAnsi="Times New Roman"/>
          <w:color w:val="auto"/>
          <w:sz w:val="18"/>
          <w:szCs w:val="18"/>
        </w:rPr>
        <w:t>近一个月（</w:t>
      </w:r>
      <w:r>
        <w:rPr>
          <w:rFonts w:hint="eastAsia" w:ascii="宋体" w:hAnsi="宋体"/>
          <w:color w:val="auto"/>
          <w:sz w:val="18"/>
          <w:szCs w:val="18"/>
        </w:rPr>
        <w:t>2025年</w:t>
      </w:r>
      <w:r>
        <w:rPr>
          <w:rFonts w:hint="eastAsia" w:ascii="宋体" w:hAnsi="宋体"/>
          <w:color w:val="auto"/>
          <w:sz w:val="18"/>
          <w:szCs w:val="18"/>
          <w:u w:val="single"/>
        </w:rPr>
        <w:t>4</w:t>
      </w:r>
      <w:r>
        <w:rPr>
          <w:rFonts w:hint="eastAsia" w:ascii="宋体" w:hAnsi="宋体"/>
          <w:color w:val="auto"/>
          <w:sz w:val="18"/>
          <w:szCs w:val="18"/>
        </w:rPr>
        <w:t>月）由投标单位缴纳社保的证明材料扫描件，未提供或所提供的证明资料不符合要求的，则该评分节点不予评审。②</w:t>
      </w:r>
      <w:r>
        <w:rPr>
          <w:rFonts w:hint="eastAsia" w:ascii="宋体" w:hAnsi="宋体" w:cs="宋体"/>
          <w:color w:val="auto"/>
          <w:sz w:val="18"/>
          <w:szCs w:val="18"/>
          <w:shd w:val="clear" w:color="auto" w:fill="FFFFFF"/>
        </w:rPr>
        <w:t>职称专业以职称证书上注明的专业为准，职称证书按最高级别的职称计算得分，不同专业职称证书只计算一次且按最高级别的职称进行计分。</w:t>
      </w:r>
      <w:r>
        <w:rPr>
          <w:rFonts w:hint="eastAsia" w:ascii="宋体" w:hAnsi="宋体"/>
          <w:color w:val="auto"/>
          <w:sz w:val="18"/>
          <w:szCs w:val="18"/>
        </w:rPr>
        <w:t>③</w:t>
      </w:r>
      <w:r>
        <w:rPr>
          <w:rFonts w:hint="eastAsia" w:ascii="宋体" w:hAnsi="宋体" w:cs="宋体"/>
          <w:bCs/>
          <w:color w:val="auto"/>
          <w:kern w:val="0"/>
          <w:sz w:val="18"/>
          <w:szCs w:val="18"/>
        </w:rPr>
        <w:t>安全工程师专业以类别为准</w:t>
      </w:r>
      <w:r>
        <w:rPr>
          <w:rFonts w:ascii="宋体" w:hAnsi="宋体" w:cs="宋体"/>
          <w:bCs/>
          <w:color w:val="auto"/>
          <w:kern w:val="0"/>
          <w:sz w:val="18"/>
          <w:szCs w:val="18"/>
        </w:rPr>
        <w:t>。</w:t>
      </w:r>
      <w:r>
        <w:rPr>
          <w:rFonts w:hint="eastAsia" w:ascii="宋体" w:hAnsi="宋体" w:cs="宋体"/>
          <w:color w:val="auto"/>
          <w:kern w:val="0"/>
          <w:sz w:val="18"/>
          <w:szCs w:val="18"/>
        </w:rPr>
        <w:t>未按要求提供相关资料的人员，该人员不作为评分依据。</w:t>
      </w:r>
      <w:r>
        <w:rPr>
          <w:rFonts w:hint="eastAsia" w:cs="宋体" w:asciiTheme="majorEastAsia" w:hAnsiTheme="majorEastAsia" w:eastAsiaTheme="majorEastAsia"/>
          <w:color w:val="auto"/>
          <w:kern w:val="0"/>
          <w:sz w:val="18"/>
          <w:szCs w:val="18"/>
        </w:rPr>
        <w:t>④按照《造价工程师职业资格制度规定》的规定，根据原人事部、原建设部发布的《造价工程师执业资格制度暂行规定》（人发〔1996〕77号）取得的造价工程师执业资格，并经注册且在有效期内的，等同于一级造价工程师注册证书。</w:t>
      </w:r>
      <w:r>
        <w:rPr>
          <w:rFonts w:hint="eastAsia" w:asciiTheme="majorEastAsia" w:hAnsiTheme="majorEastAsia" w:eastAsiaTheme="majorEastAsia"/>
          <w:color w:val="auto"/>
          <w:sz w:val="18"/>
          <w:szCs w:val="18"/>
        </w:rPr>
        <w:t>⑤上述人员岗位不能相互兼任。⑥注册类证书取得时间按首次注册时间开始计算至今，非注册类证书取得时间按颁发时间开始计算至今。</w:t>
      </w:r>
      <w:r>
        <w:rPr>
          <w:rFonts w:hint="eastAsia" w:asciiTheme="majorEastAsia" w:hAnsiTheme="majorEastAsia" w:eastAsiaTheme="majorEastAsia"/>
          <w:color w:val="auto"/>
          <w:sz w:val="18"/>
          <w:szCs w:val="18"/>
        </w:rPr>
        <w:t xml:space="preserve">⑦项目负责人业绩取自广州市住建行业信用管理平台。投标人须提供业绩的项目名称及业绩在广州市住建行业信用管理平台中项目编号。不提供项目名称及项目编号的业绩不予评审。若投标人提供的项目名称与项目编号不一致：⑧项目名称和项目编号在平台内分别对应不同业绩的，以项目名称对应的业绩为准；⑨项目名称存在对应业绩的，项目编号在平台内不存在对应业绩，以项目名称对应的业绩为准；⑩项目名称在平台内不存在对应业绩，项目编号存在对应业绩的，以项目编号对应的业绩为准。评标委员会对业绩的评审以投标截止时间在平台内业绩上传件为依据。 </w:t>
      </w:r>
    </w:p>
    <w:p w14:paraId="63857129">
      <w:pPr>
        <w:widowControl w:val="0"/>
        <w:textAlignment w:val="auto"/>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平台中“工程对应的企业资质”栏中须登记有与本项目要求相对应的资质（建筑装修装饰工程）。</w:t>
      </w:r>
    </w:p>
    <w:p w14:paraId="0E782A4B">
      <w:pPr>
        <w:widowControl w:val="0"/>
        <w:textAlignment w:val="auto"/>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（2）完成时间以竣工验收文件（或子分部工程质量验收记录）时间为准。完成时间以竣工验收文件为准。验收文件至少具有建设单位、设计、施工和监理单位盖章。</w:t>
      </w:r>
    </w:p>
    <w:p w14:paraId="21E24667">
      <w:pPr>
        <w:widowControl w:val="0"/>
        <w:textAlignment w:val="auto"/>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（3）平台内业绩上传件不符合上述要求的或登记的工程资质内容与施工合同等业绩证明资料不相符</w:t>
      </w:r>
      <w:r>
        <w:rPr>
          <w:rFonts w:hint="eastAsia" w:asciiTheme="majorEastAsia" w:hAnsiTheme="majorEastAsia" w:eastAsiaTheme="majorEastAsia"/>
          <w:color w:val="auto"/>
          <w:sz w:val="18"/>
          <w:szCs w:val="18"/>
        </w:rPr>
        <w:t>或竣工验收的项目经理与本项目拟派人员不一致</w:t>
      </w:r>
      <w:r>
        <w:rPr>
          <w:rFonts w:hint="eastAsia" w:asciiTheme="majorEastAsia" w:hAnsiTheme="majorEastAsia" w:eastAsiaTheme="majorEastAsia"/>
          <w:color w:val="auto"/>
          <w:sz w:val="18"/>
          <w:szCs w:val="18"/>
        </w:rPr>
        <w:t>的，该项业绩不予认定。</w:t>
      </w:r>
    </w:p>
    <w:p w14:paraId="743494E9">
      <w:pPr>
        <w:widowControl w:val="0"/>
        <w:textAlignment w:val="auto"/>
        <w:rPr>
          <w:rFonts w:cs="宋体" w:asciiTheme="majorEastAsia" w:hAnsiTheme="majorEastAsia" w:eastAsiaTheme="majorEastAsia"/>
          <w:color w:val="auto"/>
          <w:sz w:val="18"/>
          <w:szCs w:val="18"/>
        </w:rPr>
      </w:pPr>
      <w:r>
        <w:rPr>
          <w:rFonts w:hint="eastAsia" w:cs="宋体" w:asciiTheme="majorEastAsia" w:hAnsiTheme="majorEastAsia" w:eastAsiaTheme="majorEastAsia"/>
          <w:color w:val="auto"/>
          <w:sz w:val="18"/>
          <w:szCs w:val="18"/>
        </w:rPr>
        <w:t>5、投标人如果同时满足多个评分档次的，按所满足的最高档得分。</w:t>
      </w:r>
    </w:p>
    <w:p w14:paraId="38026C33">
      <w:pPr>
        <w:widowControl w:val="0"/>
        <w:textAlignment w:val="auto"/>
        <w:rPr>
          <w:rFonts w:ascii="宋体" w:hAnsi="宋体"/>
          <w:color w:val="auto"/>
          <w:sz w:val="18"/>
          <w:szCs w:val="18"/>
        </w:rPr>
      </w:pPr>
      <w:r>
        <w:rPr>
          <w:rFonts w:hint="eastAsia" w:ascii="宋体" w:hAnsi="宋体" w:cs="宋体"/>
          <w:color w:val="auto"/>
          <w:sz w:val="18"/>
          <w:szCs w:val="18"/>
        </w:rPr>
        <w:t>6、所有评委的分数汇总后的算术平均值为投标人的最终得分。分数出现小数点，保留小数点后二位，第三位小数四舍五入。</w:t>
      </w:r>
    </w:p>
    <w:p w14:paraId="53EF3941">
      <w:pPr>
        <w:widowControl w:val="0"/>
        <w:textAlignment w:val="auto"/>
        <w:rPr>
          <w:color w:val="auto"/>
          <w:kern w:val="0"/>
          <w:szCs w:val="24"/>
        </w:rPr>
      </w:pPr>
      <w:r>
        <w:rPr>
          <w:rFonts w:hint="eastAsia"/>
          <w:b/>
          <w:bCs/>
          <w:color w:val="auto"/>
          <w:kern w:val="0"/>
          <w:szCs w:val="24"/>
        </w:rPr>
        <w:t>评委签名：                                                                        日期：</w:t>
      </w:r>
    </w:p>
    <w:p w14:paraId="3D0DA6AB">
      <w:pPr>
        <w:widowControl w:val="0"/>
        <w:spacing w:line="360" w:lineRule="auto"/>
        <w:ind w:firstLine="243" w:firstLineChars="116"/>
        <w:jc w:val="center"/>
        <w:textAlignment w:val="auto"/>
        <w:rPr>
          <w:rFonts w:ascii="宋体" w:hAnsi="宋体" w:cs="宋体"/>
          <w:b/>
          <w:color w:val="auto"/>
          <w:kern w:val="0"/>
          <w:sz w:val="32"/>
          <w:szCs w:val="32"/>
        </w:rPr>
      </w:pPr>
      <w:r>
        <w:rPr>
          <w:rFonts w:hint="eastAsia" w:ascii="宋体" w:hAnsi="宋体" w:cs="宋体"/>
          <w:color w:val="auto"/>
          <w:szCs w:val="21"/>
        </w:rPr>
        <w:br w:type="page"/>
      </w:r>
    </w:p>
    <w:p w14:paraId="1F2B57B9">
      <w:pPr>
        <w:widowControl w:val="0"/>
        <w:textAlignment w:val="auto"/>
        <w:rPr>
          <w:rFonts w:ascii="宋体" w:hAnsi="宋体" w:cs="宋体"/>
          <w:color w:val="auto"/>
          <w:sz w:val="24"/>
          <w:szCs w:val="24"/>
        </w:rPr>
      </w:pPr>
      <w:r>
        <w:rPr>
          <w:rFonts w:hint="eastAsia" w:ascii="宋体" w:hAnsi="宋体" w:cs="宋体"/>
          <w:color w:val="auto"/>
          <w:szCs w:val="21"/>
        </w:rPr>
        <w:t>附表五</w:t>
      </w:r>
    </w:p>
    <w:p w14:paraId="529A56B1">
      <w:pPr>
        <w:widowControl w:val="0"/>
        <w:jc w:val="center"/>
        <w:textAlignment w:val="auto"/>
        <w:rPr>
          <w:rFonts w:ascii="宋体" w:hAnsi="宋体" w:cs="宋体"/>
          <w:b/>
          <w:color w:val="auto"/>
          <w:sz w:val="36"/>
          <w:szCs w:val="36"/>
        </w:rPr>
      </w:pPr>
      <w:r>
        <w:rPr>
          <w:rFonts w:hint="eastAsia" w:ascii="宋体" w:hAnsi="宋体" w:cs="宋体"/>
          <w:b/>
          <w:color w:val="auto"/>
          <w:sz w:val="36"/>
          <w:szCs w:val="36"/>
        </w:rPr>
        <w:t>经济标评分表</w:t>
      </w:r>
    </w:p>
    <w:p w14:paraId="6C049692">
      <w:pPr>
        <w:widowControl w:val="0"/>
        <w:textAlignment w:val="auto"/>
        <w:rPr>
          <w:rFonts w:ascii="宋体" w:hAnsi="宋体" w:cs="宋体"/>
          <w:color w:val="auto"/>
          <w:szCs w:val="21"/>
        </w:rPr>
      </w:pPr>
      <w:r>
        <w:rPr>
          <w:rFonts w:hint="eastAsia" w:ascii="宋体" w:hAnsi="宋体" w:cs="宋体"/>
          <w:color w:val="auto"/>
          <w:szCs w:val="21"/>
        </w:rPr>
        <w:t>工程名称：</w:t>
      </w:r>
    </w:p>
    <w:tbl>
      <w:tblPr>
        <w:tblStyle w:val="2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14:paraId="675D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14:paraId="572793A8">
            <w:pPr>
              <w:widowControl w:val="0"/>
              <w:textAlignment w:val="auto"/>
              <w:rPr>
                <w:rFonts w:ascii="宋体" w:hAnsi="宋体" w:cs="宋体"/>
                <w:color w:val="auto"/>
                <w:szCs w:val="21"/>
              </w:rPr>
            </w:pPr>
            <w:r>
              <w:rPr>
                <w:rFonts w:hint="eastAsia" w:ascii="宋体" w:hAnsi="宋体" w:cs="宋体"/>
                <w:color w:val="auto"/>
                <w:szCs w:val="21"/>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14:paraId="78B73E8B">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FC4D644">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3F796A69">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45B44D4C">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2B2F7E6">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538D1D4">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1FBF18B9">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211298B">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CADC9B7">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A960685">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26D0D38">
            <w:pPr>
              <w:widowControl w:val="0"/>
              <w:textAlignment w:val="auto"/>
              <w:rPr>
                <w:rFonts w:ascii="宋体" w:hAnsi="宋体" w:cs="宋体"/>
                <w:color w:val="auto"/>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04C7D712">
            <w:pPr>
              <w:widowControl w:val="0"/>
              <w:textAlignment w:val="auto"/>
              <w:rPr>
                <w:rFonts w:ascii="宋体" w:hAnsi="宋体" w:cs="宋体"/>
                <w:color w:val="auto"/>
                <w:szCs w:val="21"/>
              </w:rPr>
            </w:pPr>
          </w:p>
        </w:tc>
      </w:tr>
      <w:tr w14:paraId="2F5C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0ADB40DB">
            <w:pPr>
              <w:widowControl w:val="0"/>
              <w:textAlignment w:val="auto"/>
              <w:rPr>
                <w:rFonts w:ascii="宋体" w:hAnsi="宋体" w:cs="宋体"/>
                <w:color w:val="auto"/>
                <w:szCs w:val="21"/>
              </w:rPr>
            </w:pPr>
            <w:r>
              <w:rPr>
                <w:rFonts w:hint="eastAsia" w:ascii="宋体" w:hAnsi="宋体" w:cs="宋体"/>
                <w:color w:val="auto"/>
                <w:szCs w:val="21"/>
              </w:rPr>
              <w:t>投标报价PT（元）</w:t>
            </w:r>
          </w:p>
        </w:tc>
        <w:tc>
          <w:tcPr>
            <w:tcW w:w="1048" w:type="dxa"/>
            <w:tcBorders>
              <w:top w:val="single" w:color="auto" w:sz="4" w:space="0"/>
              <w:left w:val="single" w:color="auto" w:sz="4" w:space="0"/>
              <w:bottom w:val="single" w:color="auto" w:sz="4" w:space="0"/>
              <w:right w:val="single" w:color="auto" w:sz="4" w:space="0"/>
            </w:tcBorders>
            <w:vAlign w:val="center"/>
          </w:tcPr>
          <w:p w14:paraId="6B8406AB">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5737458">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195E020A">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68370AB">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C4ADD1B">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9CCDA06">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4BD9EBB2">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2C2E05FC">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7A7BE035">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45A89A37">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33562899">
            <w:pPr>
              <w:widowControl w:val="0"/>
              <w:textAlignment w:val="auto"/>
              <w:rPr>
                <w:rFonts w:ascii="宋体" w:hAnsi="宋体" w:cs="宋体"/>
                <w:color w:val="auto"/>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7D1C6BC6">
            <w:pPr>
              <w:widowControl w:val="0"/>
              <w:textAlignment w:val="auto"/>
              <w:rPr>
                <w:rFonts w:ascii="宋体" w:hAnsi="宋体" w:cs="宋体"/>
                <w:color w:val="auto"/>
                <w:szCs w:val="21"/>
              </w:rPr>
            </w:pPr>
          </w:p>
        </w:tc>
      </w:tr>
      <w:tr w14:paraId="1D82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06912214">
            <w:pPr>
              <w:widowControl w:val="0"/>
              <w:textAlignment w:val="auto"/>
              <w:rPr>
                <w:rFonts w:ascii="宋体" w:hAnsi="宋体" w:cs="宋体"/>
                <w:color w:val="auto"/>
                <w:szCs w:val="21"/>
              </w:rPr>
            </w:pPr>
            <w:r>
              <w:rPr>
                <w:rFonts w:hint="eastAsia" w:ascii="宋体" w:hAnsi="宋体" w:cs="宋体"/>
                <w:color w:val="auto"/>
                <w:szCs w:val="21"/>
              </w:rPr>
              <w:t>计算评标参考价的等分点值X</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1EE6376B">
            <w:pPr>
              <w:widowControl w:val="0"/>
              <w:textAlignment w:val="auto"/>
              <w:rPr>
                <w:rFonts w:ascii="宋体" w:hAnsi="宋体" w:cs="宋体"/>
                <w:color w:val="auto"/>
                <w:szCs w:val="21"/>
              </w:rPr>
            </w:pPr>
          </w:p>
        </w:tc>
      </w:tr>
      <w:tr w14:paraId="5BB5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66FDF5A5">
            <w:pPr>
              <w:widowControl w:val="0"/>
              <w:textAlignment w:val="auto"/>
              <w:rPr>
                <w:rFonts w:ascii="宋体" w:hAnsi="宋体" w:cs="宋体"/>
                <w:color w:val="auto"/>
                <w:szCs w:val="21"/>
              </w:rPr>
            </w:pPr>
            <w:r>
              <w:rPr>
                <w:rFonts w:hint="eastAsia" w:ascii="宋体" w:hAnsi="宋体" w:cs="宋体"/>
                <w:color w:val="auto"/>
                <w:szCs w:val="21"/>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7B3C7A6E">
            <w:pPr>
              <w:widowControl w:val="0"/>
              <w:textAlignment w:val="auto"/>
              <w:rPr>
                <w:rFonts w:ascii="宋体" w:hAnsi="宋体" w:cs="宋体"/>
                <w:color w:val="auto"/>
                <w:szCs w:val="21"/>
              </w:rPr>
            </w:pPr>
          </w:p>
        </w:tc>
      </w:tr>
      <w:tr w14:paraId="61B8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4D7247B1">
            <w:pPr>
              <w:widowControl w:val="0"/>
              <w:textAlignment w:val="auto"/>
              <w:rPr>
                <w:rFonts w:ascii="宋体" w:hAnsi="宋体" w:cs="宋体"/>
                <w:color w:val="auto"/>
                <w:szCs w:val="21"/>
              </w:rPr>
            </w:pPr>
            <w:r>
              <w:rPr>
                <w:rFonts w:hint="eastAsia" w:ascii="宋体" w:hAnsi="宋体" w:cs="宋体"/>
                <w:color w:val="auto"/>
                <w:szCs w:val="21"/>
              </w:rPr>
              <w:t>偏差（（PT-PC）/PC）（%）</w:t>
            </w:r>
          </w:p>
        </w:tc>
        <w:tc>
          <w:tcPr>
            <w:tcW w:w="1048" w:type="dxa"/>
            <w:tcBorders>
              <w:top w:val="single" w:color="auto" w:sz="4" w:space="0"/>
              <w:left w:val="single" w:color="auto" w:sz="4" w:space="0"/>
              <w:bottom w:val="single" w:color="auto" w:sz="4" w:space="0"/>
              <w:right w:val="single" w:color="auto" w:sz="4" w:space="0"/>
            </w:tcBorders>
            <w:vAlign w:val="center"/>
          </w:tcPr>
          <w:p w14:paraId="156183EA">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D8A613F">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35241F9">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A8C067F">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DDD63CB">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44B10738">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1F9B614E">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30F334A6">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0258920">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1F279490">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921DCB7">
            <w:pPr>
              <w:widowControl w:val="0"/>
              <w:textAlignment w:val="auto"/>
              <w:rPr>
                <w:rFonts w:ascii="宋体" w:hAnsi="宋体" w:cs="宋体"/>
                <w:color w:val="auto"/>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708C1512">
            <w:pPr>
              <w:widowControl w:val="0"/>
              <w:textAlignment w:val="auto"/>
              <w:rPr>
                <w:rFonts w:ascii="宋体" w:hAnsi="宋体" w:cs="宋体"/>
                <w:color w:val="auto"/>
                <w:szCs w:val="21"/>
              </w:rPr>
            </w:pPr>
          </w:p>
        </w:tc>
      </w:tr>
      <w:tr w14:paraId="2A75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04DAF47B">
            <w:pPr>
              <w:widowControl w:val="0"/>
              <w:textAlignment w:val="auto"/>
              <w:rPr>
                <w:rFonts w:ascii="宋体" w:hAnsi="宋体" w:cs="宋体"/>
                <w:color w:val="auto"/>
                <w:szCs w:val="21"/>
              </w:rPr>
            </w:pPr>
            <w:r>
              <w:rPr>
                <w:rFonts w:hint="eastAsia" w:ascii="宋体" w:hAnsi="宋体" w:cs="宋体"/>
                <w:color w:val="auto"/>
                <w:szCs w:val="21"/>
              </w:rPr>
              <w:t>减分（A）</w:t>
            </w:r>
          </w:p>
        </w:tc>
        <w:tc>
          <w:tcPr>
            <w:tcW w:w="1048" w:type="dxa"/>
            <w:tcBorders>
              <w:top w:val="single" w:color="auto" w:sz="4" w:space="0"/>
              <w:left w:val="single" w:color="auto" w:sz="4" w:space="0"/>
              <w:bottom w:val="single" w:color="auto" w:sz="4" w:space="0"/>
              <w:right w:val="single" w:color="auto" w:sz="4" w:space="0"/>
            </w:tcBorders>
            <w:vAlign w:val="center"/>
          </w:tcPr>
          <w:p w14:paraId="52EC1618">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16D03EB7">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8BA9922">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90B7309">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181FC720">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67CE723">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F340AC9">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4818B444">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36553E1">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06AB2F8">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76B1C304">
            <w:pPr>
              <w:widowControl w:val="0"/>
              <w:textAlignment w:val="auto"/>
              <w:rPr>
                <w:rFonts w:ascii="宋体" w:hAnsi="宋体" w:cs="宋体"/>
                <w:color w:val="auto"/>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6345E2F2">
            <w:pPr>
              <w:widowControl w:val="0"/>
              <w:textAlignment w:val="auto"/>
              <w:rPr>
                <w:rFonts w:ascii="宋体" w:hAnsi="宋体" w:cs="宋体"/>
                <w:color w:val="auto"/>
                <w:szCs w:val="21"/>
              </w:rPr>
            </w:pPr>
          </w:p>
        </w:tc>
      </w:tr>
      <w:tr w14:paraId="2707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74C535A4">
            <w:pPr>
              <w:widowControl w:val="0"/>
              <w:textAlignment w:val="auto"/>
              <w:rPr>
                <w:rFonts w:ascii="宋体" w:hAnsi="宋体" w:cs="宋体"/>
                <w:color w:val="auto"/>
                <w:szCs w:val="21"/>
              </w:rPr>
            </w:pPr>
            <w:r>
              <w:rPr>
                <w:rFonts w:hint="eastAsia" w:ascii="宋体" w:hAnsi="宋体" w:cs="宋体"/>
                <w:color w:val="auto"/>
                <w:szCs w:val="21"/>
              </w:rPr>
              <w:t>得分(I=100-A)</w:t>
            </w:r>
          </w:p>
        </w:tc>
        <w:tc>
          <w:tcPr>
            <w:tcW w:w="1048" w:type="dxa"/>
            <w:tcBorders>
              <w:top w:val="single" w:color="auto" w:sz="4" w:space="0"/>
              <w:left w:val="single" w:color="auto" w:sz="4" w:space="0"/>
              <w:bottom w:val="single" w:color="auto" w:sz="4" w:space="0"/>
              <w:right w:val="single" w:color="auto" w:sz="4" w:space="0"/>
            </w:tcBorders>
            <w:vAlign w:val="center"/>
          </w:tcPr>
          <w:p w14:paraId="691FFAE6">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0D32683">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6237910">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6289280">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3D0CE684">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33DE133">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4F8EAA3E">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EC271E1">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328750FA">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444E8D4">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06B0A60">
            <w:pPr>
              <w:widowControl w:val="0"/>
              <w:textAlignment w:val="auto"/>
              <w:rPr>
                <w:rFonts w:ascii="宋体" w:hAnsi="宋体" w:cs="宋体"/>
                <w:color w:val="auto"/>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7037B1D7">
            <w:pPr>
              <w:widowControl w:val="0"/>
              <w:textAlignment w:val="auto"/>
              <w:rPr>
                <w:rFonts w:ascii="宋体" w:hAnsi="宋体" w:cs="宋体"/>
                <w:color w:val="auto"/>
                <w:szCs w:val="21"/>
              </w:rPr>
            </w:pPr>
          </w:p>
        </w:tc>
      </w:tr>
      <w:tr w14:paraId="7D10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69009E87">
            <w:pPr>
              <w:widowControl w:val="0"/>
              <w:textAlignment w:val="auto"/>
              <w:rPr>
                <w:rFonts w:ascii="宋体" w:hAnsi="宋体" w:cs="宋体"/>
                <w:color w:val="auto"/>
                <w:szCs w:val="21"/>
              </w:rPr>
            </w:pPr>
            <w:r>
              <w:rPr>
                <w:rFonts w:hint="eastAsia" w:ascii="宋体" w:hAnsi="宋体" w:cs="宋体"/>
                <w:color w:val="auto"/>
                <w:szCs w:val="21"/>
              </w:rPr>
              <w:t>得分排名次序</w:t>
            </w:r>
          </w:p>
        </w:tc>
        <w:tc>
          <w:tcPr>
            <w:tcW w:w="1048" w:type="dxa"/>
            <w:tcBorders>
              <w:top w:val="single" w:color="auto" w:sz="4" w:space="0"/>
              <w:left w:val="single" w:color="auto" w:sz="4" w:space="0"/>
              <w:bottom w:val="single" w:color="auto" w:sz="4" w:space="0"/>
              <w:right w:val="single" w:color="auto" w:sz="4" w:space="0"/>
            </w:tcBorders>
            <w:vAlign w:val="center"/>
          </w:tcPr>
          <w:p w14:paraId="11F07E74">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38C9E409">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090BEAF6">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29B10BB">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E7957BA">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721920C3">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7BCB91E8">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3AD4D086">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734458BE">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1BBE3C5F">
            <w:pPr>
              <w:widowControl w:val="0"/>
              <w:textAlignment w:val="auto"/>
              <w:rPr>
                <w:rFonts w:ascii="宋体" w:hAnsi="宋体" w:cs="宋体"/>
                <w:color w:val="auto"/>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6D828ACD">
            <w:pPr>
              <w:widowControl w:val="0"/>
              <w:textAlignment w:val="auto"/>
              <w:rPr>
                <w:rFonts w:ascii="宋体" w:hAnsi="宋体" w:cs="宋体"/>
                <w:color w:val="auto"/>
                <w:szCs w:val="21"/>
              </w:rPr>
            </w:pPr>
          </w:p>
        </w:tc>
        <w:tc>
          <w:tcPr>
            <w:tcW w:w="1049" w:type="dxa"/>
            <w:tcBorders>
              <w:top w:val="single" w:color="auto" w:sz="4" w:space="0"/>
              <w:left w:val="single" w:color="auto" w:sz="4" w:space="0"/>
              <w:bottom w:val="single" w:color="auto" w:sz="4" w:space="0"/>
              <w:right w:val="single" w:color="auto" w:sz="4" w:space="0"/>
            </w:tcBorders>
            <w:vAlign w:val="center"/>
          </w:tcPr>
          <w:p w14:paraId="2681106F">
            <w:pPr>
              <w:widowControl w:val="0"/>
              <w:textAlignment w:val="auto"/>
              <w:rPr>
                <w:rFonts w:ascii="宋体" w:hAnsi="宋体" w:cs="宋体"/>
                <w:color w:val="auto"/>
                <w:szCs w:val="21"/>
              </w:rPr>
            </w:pPr>
          </w:p>
        </w:tc>
      </w:tr>
    </w:tbl>
    <w:p w14:paraId="016073B6">
      <w:pPr>
        <w:widowControl w:val="0"/>
        <w:textAlignment w:val="auto"/>
        <w:rPr>
          <w:rFonts w:ascii="宋体" w:hAnsi="宋体" w:cs="宋体"/>
          <w:color w:val="auto"/>
          <w:szCs w:val="21"/>
        </w:rPr>
      </w:pPr>
      <w:r>
        <w:rPr>
          <w:rFonts w:hint="eastAsia" w:ascii="宋体" w:hAnsi="宋体" w:cs="宋体"/>
          <w:color w:val="auto"/>
          <w:szCs w:val="21"/>
        </w:rPr>
        <w:t>评委签名：</w:t>
      </w:r>
    </w:p>
    <w:p w14:paraId="3CBD9F5B">
      <w:pPr>
        <w:widowControl w:val="0"/>
        <w:textAlignment w:val="auto"/>
        <w:rPr>
          <w:rFonts w:ascii="宋体" w:hAnsi="宋体" w:cs="宋体"/>
          <w:color w:val="auto"/>
          <w:szCs w:val="21"/>
        </w:rPr>
      </w:pPr>
    </w:p>
    <w:p w14:paraId="3CD4F1C6">
      <w:pPr>
        <w:widowControl w:val="0"/>
        <w:textAlignment w:val="auto"/>
        <w:rPr>
          <w:rFonts w:ascii="宋体" w:hAnsi="宋体" w:cs="宋体"/>
          <w:color w:val="auto"/>
          <w:szCs w:val="21"/>
        </w:rPr>
      </w:pPr>
    </w:p>
    <w:p w14:paraId="35C95E11">
      <w:pPr>
        <w:widowControl w:val="0"/>
        <w:textAlignment w:val="auto"/>
        <w:rPr>
          <w:rFonts w:ascii="宋体" w:hAnsi="宋体" w:cs="宋体"/>
          <w:color w:val="auto"/>
          <w:szCs w:val="21"/>
        </w:rPr>
      </w:pPr>
    </w:p>
    <w:p w14:paraId="3DA90670">
      <w:pPr>
        <w:widowControl w:val="0"/>
        <w:textAlignment w:val="auto"/>
        <w:rPr>
          <w:rFonts w:ascii="宋体" w:hAnsi="宋体" w:cs="宋体"/>
          <w:color w:val="auto"/>
          <w:szCs w:val="21"/>
        </w:rPr>
      </w:pPr>
    </w:p>
    <w:p w14:paraId="523114D9">
      <w:pPr>
        <w:widowControl w:val="0"/>
        <w:textAlignment w:val="auto"/>
        <w:rPr>
          <w:rFonts w:ascii="宋体" w:hAnsi="宋体" w:cs="宋体"/>
          <w:b/>
          <w:color w:val="auto"/>
          <w:szCs w:val="21"/>
        </w:rPr>
      </w:pPr>
      <w:r>
        <w:rPr>
          <w:rFonts w:hint="eastAsia" w:ascii="宋体" w:hAnsi="宋体" w:cs="宋体"/>
          <w:color w:val="auto"/>
          <w:szCs w:val="21"/>
        </w:rPr>
        <w:t>附表六</w:t>
      </w:r>
    </w:p>
    <w:p w14:paraId="48C8181E">
      <w:pPr>
        <w:widowControl w:val="0"/>
        <w:jc w:val="center"/>
        <w:textAlignment w:val="auto"/>
        <w:rPr>
          <w:rFonts w:ascii="宋体" w:hAnsi="宋体" w:cs="宋体"/>
          <w:b/>
          <w:color w:val="auto"/>
          <w:sz w:val="36"/>
          <w:szCs w:val="36"/>
        </w:rPr>
      </w:pPr>
      <w:r>
        <w:rPr>
          <w:rFonts w:hint="eastAsia" w:ascii="宋体" w:hAnsi="宋体" w:cs="宋体"/>
          <w:b/>
          <w:color w:val="auto"/>
          <w:sz w:val="36"/>
          <w:szCs w:val="36"/>
        </w:rPr>
        <w:t>算术复核表</w:t>
      </w:r>
    </w:p>
    <w:p w14:paraId="652BD989">
      <w:pPr>
        <w:widowControl w:val="0"/>
        <w:textAlignment w:val="auto"/>
        <w:rPr>
          <w:rFonts w:ascii="宋体" w:hAnsi="宋体" w:cs="宋体"/>
          <w:color w:val="auto"/>
          <w:kern w:val="0"/>
          <w:szCs w:val="21"/>
        </w:rPr>
      </w:pPr>
      <w:r>
        <w:rPr>
          <w:rFonts w:hint="eastAsia" w:ascii="宋体" w:hAnsi="宋体" w:cs="宋体"/>
          <w:color w:val="auto"/>
          <w:kern w:val="0"/>
          <w:szCs w:val="21"/>
        </w:rPr>
        <w:t>工程名称：                                           投标人:                                                  单位：元</w:t>
      </w:r>
    </w:p>
    <w:tbl>
      <w:tblPr>
        <w:tblStyle w:val="24"/>
        <w:tblW w:w="0" w:type="auto"/>
        <w:tblInd w:w="-116"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6582F5E2">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3FC354CB">
            <w:pPr>
              <w:widowControl w:val="0"/>
              <w:textAlignment w:val="auto"/>
              <w:rPr>
                <w:rFonts w:ascii="宋体" w:hAnsi="宋体" w:cs="宋体"/>
                <w:color w:val="auto"/>
                <w:kern w:val="0"/>
                <w:szCs w:val="21"/>
              </w:rPr>
            </w:pPr>
            <w:r>
              <w:rPr>
                <w:rFonts w:hint="eastAsia" w:ascii="宋体" w:hAnsi="宋体" w:cs="宋体"/>
                <w:color w:val="auto"/>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03E2B6E1">
            <w:pPr>
              <w:widowControl w:val="0"/>
              <w:textAlignment w:val="auto"/>
              <w:rPr>
                <w:rFonts w:ascii="宋体" w:hAnsi="宋体" w:cs="宋体"/>
                <w:color w:val="auto"/>
                <w:kern w:val="0"/>
                <w:szCs w:val="21"/>
              </w:rPr>
            </w:pPr>
            <w:r>
              <w:rPr>
                <w:rFonts w:hint="eastAsia" w:ascii="宋体" w:hAnsi="宋体" w:cs="宋体"/>
                <w:color w:val="auto"/>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2CBA9088">
            <w:pPr>
              <w:widowControl w:val="0"/>
              <w:textAlignment w:val="auto"/>
              <w:rPr>
                <w:rFonts w:ascii="宋体" w:hAnsi="宋体" w:cs="宋体"/>
                <w:color w:val="auto"/>
                <w:kern w:val="0"/>
                <w:szCs w:val="21"/>
              </w:rPr>
            </w:pPr>
            <w:r>
              <w:rPr>
                <w:rFonts w:hint="eastAsia" w:ascii="宋体" w:hAnsi="宋体" w:cs="宋体"/>
                <w:color w:val="auto"/>
                <w:kern w:val="0"/>
                <w:szCs w:val="21"/>
              </w:rPr>
              <w:t>修正前投标</w:t>
            </w:r>
          </w:p>
          <w:p w14:paraId="26312AFF">
            <w:pPr>
              <w:widowControl w:val="0"/>
              <w:textAlignment w:val="auto"/>
              <w:rPr>
                <w:rFonts w:ascii="宋体" w:hAnsi="宋体" w:cs="宋体"/>
                <w:color w:val="auto"/>
                <w:kern w:val="0"/>
                <w:szCs w:val="21"/>
              </w:rPr>
            </w:pPr>
            <w:r>
              <w:rPr>
                <w:rFonts w:hint="eastAsia" w:ascii="宋体" w:hAnsi="宋体" w:cs="宋体"/>
                <w:color w:val="auto"/>
                <w:kern w:val="0"/>
                <w:szCs w:val="21"/>
              </w:rPr>
              <w:t>报价A</w:t>
            </w:r>
          </w:p>
        </w:tc>
        <w:tc>
          <w:tcPr>
            <w:tcW w:w="1575" w:type="dxa"/>
            <w:tcBorders>
              <w:top w:val="single" w:color="auto" w:sz="4" w:space="0"/>
              <w:left w:val="nil"/>
              <w:bottom w:val="single" w:color="auto" w:sz="4" w:space="0"/>
              <w:right w:val="single" w:color="auto" w:sz="4" w:space="0"/>
            </w:tcBorders>
            <w:vAlign w:val="center"/>
          </w:tcPr>
          <w:p w14:paraId="6CA227AE">
            <w:pPr>
              <w:widowControl w:val="0"/>
              <w:textAlignment w:val="auto"/>
              <w:rPr>
                <w:rFonts w:ascii="宋体" w:hAnsi="宋体" w:cs="宋体"/>
                <w:color w:val="auto"/>
                <w:kern w:val="0"/>
                <w:szCs w:val="21"/>
              </w:rPr>
            </w:pPr>
            <w:r>
              <w:rPr>
                <w:rFonts w:hint="eastAsia" w:ascii="宋体" w:hAnsi="宋体" w:cs="宋体"/>
                <w:color w:val="auto"/>
                <w:kern w:val="0"/>
                <w:szCs w:val="21"/>
              </w:rPr>
              <w:t>修正后投标</w:t>
            </w:r>
          </w:p>
          <w:p w14:paraId="3F32AFC3">
            <w:pPr>
              <w:widowControl w:val="0"/>
              <w:textAlignment w:val="auto"/>
              <w:rPr>
                <w:rFonts w:ascii="宋体" w:hAnsi="宋体" w:cs="宋体"/>
                <w:color w:val="auto"/>
                <w:kern w:val="0"/>
                <w:szCs w:val="21"/>
              </w:rPr>
            </w:pPr>
            <w:r>
              <w:rPr>
                <w:rFonts w:hint="eastAsia" w:ascii="宋体" w:hAnsi="宋体" w:cs="宋体"/>
                <w:color w:val="auto"/>
                <w:kern w:val="0"/>
                <w:szCs w:val="21"/>
              </w:rPr>
              <w:t>报价B</w:t>
            </w:r>
          </w:p>
        </w:tc>
        <w:tc>
          <w:tcPr>
            <w:tcW w:w="1575" w:type="dxa"/>
            <w:tcBorders>
              <w:top w:val="single" w:color="auto" w:sz="4" w:space="0"/>
              <w:left w:val="nil"/>
              <w:bottom w:val="single" w:color="auto" w:sz="4" w:space="0"/>
              <w:right w:val="single" w:color="auto" w:sz="4" w:space="0"/>
            </w:tcBorders>
            <w:vAlign w:val="center"/>
          </w:tcPr>
          <w:p w14:paraId="497E934C">
            <w:pPr>
              <w:widowControl w:val="0"/>
              <w:textAlignment w:val="auto"/>
              <w:rPr>
                <w:rFonts w:ascii="宋体" w:hAnsi="宋体" w:cs="宋体"/>
                <w:color w:val="auto"/>
                <w:kern w:val="0"/>
                <w:szCs w:val="21"/>
              </w:rPr>
            </w:pPr>
            <w:r>
              <w:rPr>
                <w:rFonts w:hint="eastAsia" w:ascii="宋体" w:hAnsi="宋体" w:cs="宋体"/>
                <w:color w:val="auto"/>
                <w:kern w:val="0"/>
                <w:szCs w:val="21"/>
              </w:rPr>
              <w:t>修正率</w:t>
            </w:r>
          </w:p>
          <w:p w14:paraId="046DF3DD">
            <w:pPr>
              <w:widowControl w:val="0"/>
              <w:textAlignment w:val="auto"/>
              <w:rPr>
                <w:rFonts w:ascii="宋体" w:hAnsi="宋体" w:cs="宋体"/>
                <w:color w:val="auto"/>
                <w:kern w:val="0"/>
                <w:szCs w:val="21"/>
              </w:rPr>
            </w:pPr>
            <w:r>
              <w:rPr>
                <w:rFonts w:hint="eastAsia" w:ascii="宋体" w:hAnsi="宋体" w:cs="宋体"/>
                <w:color w:val="auto"/>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243928DD">
            <w:pPr>
              <w:widowControl w:val="0"/>
              <w:textAlignment w:val="auto"/>
              <w:rPr>
                <w:rFonts w:ascii="宋体" w:hAnsi="宋体" w:cs="宋体"/>
                <w:color w:val="auto"/>
                <w:kern w:val="0"/>
                <w:szCs w:val="21"/>
              </w:rPr>
            </w:pPr>
            <w:r>
              <w:rPr>
                <w:rFonts w:hint="eastAsia" w:ascii="宋体" w:hAnsi="宋体" w:cs="宋体"/>
                <w:color w:val="auto"/>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6BB44015">
            <w:pPr>
              <w:widowControl w:val="0"/>
              <w:textAlignment w:val="auto"/>
              <w:rPr>
                <w:rFonts w:ascii="宋体" w:hAnsi="宋体" w:cs="宋体"/>
                <w:color w:val="auto"/>
                <w:kern w:val="0"/>
                <w:szCs w:val="21"/>
              </w:rPr>
            </w:pPr>
            <w:r>
              <w:rPr>
                <w:rFonts w:hint="eastAsia" w:ascii="宋体" w:hAnsi="宋体" w:cs="宋体"/>
                <w:color w:val="auto"/>
                <w:kern w:val="0"/>
                <w:szCs w:val="21"/>
              </w:rPr>
              <w:t>当B&gt;A时，修正后报价与原报价的差额；当B≤A时,R=0</w:t>
            </w:r>
          </w:p>
        </w:tc>
      </w:tr>
      <w:tr w14:paraId="6ACDC31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CA17AD0">
            <w:pPr>
              <w:widowControl w:val="0"/>
              <w:textAlignment w:val="auto"/>
              <w:rPr>
                <w:rFonts w:ascii="宋体" w:hAnsi="宋体" w:cs="宋体"/>
                <w:color w:val="auto"/>
                <w:kern w:val="0"/>
                <w:szCs w:val="21"/>
              </w:rPr>
            </w:pPr>
            <w:r>
              <w:rPr>
                <w:rFonts w:hint="eastAsia" w:ascii="宋体" w:hAnsi="宋体" w:cs="宋体"/>
                <w:color w:val="auto"/>
                <w:kern w:val="0"/>
                <w:szCs w:val="21"/>
              </w:rPr>
              <w:t>1</w:t>
            </w:r>
          </w:p>
        </w:tc>
        <w:tc>
          <w:tcPr>
            <w:tcW w:w="4488" w:type="dxa"/>
            <w:tcBorders>
              <w:top w:val="nil"/>
              <w:left w:val="nil"/>
              <w:bottom w:val="single" w:color="auto" w:sz="4" w:space="0"/>
              <w:right w:val="single" w:color="auto" w:sz="4" w:space="0"/>
            </w:tcBorders>
            <w:vAlign w:val="center"/>
          </w:tcPr>
          <w:p w14:paraId="263BD38B">
            <w:pPr>
              <w:widowControl w:val="0"/>
              <w:textAlignment w:val="auto"/>
              <w:rPr>
                <w:rFonts w:ascii="宋体" w:hAnsi="宋体" w:cs="宋体"/>
                <w:color w:val="auto"/>
                <w:kern w:val="0"/>
                <w:szCs w:val="21"/>
              </w:rPr>
            </w:pPr>
            <w:r>
              <w:rPr>
                <w:rFonts w:hint="eastAsia" w:ascii="宋体" w:hAnsi="宋体" w:cs="宋体"/>
                <w:color w:val="auto"/>
                <w:kern w:val="0"/>
                <w:szCs w:val="21"/>
              </w:rPr>
              <w:t>[单位工程1]</w:t>
            </w:r>
          </w:p>
        </w:tc>
        <w:tc>
          <w:tcPr>
            <w:tcW w:w="1602" w:type="dxa"/>
            <w:tcBorders>
              <w:top w:val="nil"/>
              <w:left w:val="nil"/>
              <w:bottom w:val="single" w:color="auto" w:sz="4" w:space="0"/>
              <w:right w:val="single" w:color="auto" w:sz="4" w:space="0"/>
            </w:tcBorders>
            <w:vAlign w:val="center"/>
          </w:tcPr>
          <w:p w14:paraId="20B40395">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cBorders>
            <w:vAlign w:val="center"/>
          </w:tcPr>
          <w:p w14:paraId="2BD6E83E">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cBorders>
            <w:vAlign w:val="center"/>
          </w:tcPr>
          <w:p w14:paraId="6CB39C3D">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470" w:type="dxa"/>
            <w:tcBorders>
              <w:top w:val="nil"/>
              <w:left w:val="nil"/>
              <w:bottom w:val="single" w:color="auto" w:sz="4" w:space="0"/>
              <w:right w:val="single" w:color="auto" w:sz="4" w:space="0"/>
            </w:tcBorders>
            <w:vAlign w:val="center"/>
          </w:tcPr>
          <w:p w14:paraId="481FF00F">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6E0CAC09">
            <w:pPr>
              <w:widowControl w:val="0"/>
              <w:textAlignment w:val="auto"/>
              <w:rPr>
                <w:rFonts w:ascii="宋体" w:hAnsi="宋体" w:cs="宋体"/>
                <w:color w:val="auto"/>
                <w:kern w:val="0"/>
                <w:szCs w:val="21"/>
              </w:rPr>
            </w:pPr>
          </w:p>
        </w:tc>
      </w:tr>
      <w:tr w14:paraId="3AC4890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68AB174">
            <w:pPr>
              <w:widowControl w:val="0"/>
              <w:textAlignment w:val="auto"/>
              <w:rPr>
                <w:rFonts w:ascii="宋体" w:hAnsi="宋体" w:cs="宋体"/>
                <w:color w:val="auto"/>
                <w:kern w:val="0"/>
                <w:szCs w:val="21"/>
              </w:rPr>
            </w:pPr>
            <w:r>
              <w:rPr>
                <w:rFonts w:hint="eastAsia" w:ascii="宋体" w:hAnsi="宋体" w:cs="宋体"/>
                <w:color w:val="auto"/>
                <w:kern w:val="0"/>
                <w:szCs w:val="21"/>
              </w:rPr>
              <w:t>2</w:t>
            </w:r>
          </w:p>
        </w:tc>
        <w:tc>
          <w:tcPr>
            <w:tcW w:w="4488" w:type="dxa"/>
            <w:tcBorders>
              <w:top w:val="nil"/>
              <w:left w:val="nil"/>
              <w:bottom w:val="single" w:color="auto" w:sz="4" w:space="0"/>
              <w:right w:val="single" w:color="auto" w:sz="4" w:space="0"/>
            </w:tcBorders>
            <w:vAlign w:val="center"/>
          </w:tcPr>
          <w:p w14:paraId="67E999F1">
            <w:pPr>
              <w:widowControl w:val="0"/>
              <w:textAlignment w:val="auto"/>
              <w:rPr>
                <w:rFonts w:ascii="宋体" w:hAnsi="宋体" w:cs="宋体"/>
                <w:color w:val="auto"/>
                <w:kern w:val="0"/>
                <w:szCs w:val="21"/>
              </w:rPr>
            </w:pPr>
            <w:r>
              <w:rPr>
                <w:rFonts w:hint="eastAsia" w:ascii="宋体" w:hAnsi="宋体" w:cs="宋体"/>
                <w:color w:val="auto"/>
                <w:kern w:val="0"/>
                <w:szCs w:val="21"/>
              </w:rPr>
              <w:t>[单位工程2]</w:t>
            </w:r>
          </w:p>
        </w:tc>
        <w:tc>
          <w:tcPr>
            <w:tcW w:w="1602" w:type="dxa"/>
            <w:tcBorders>
              <w:top w:val="nil"/>
              <w:left w:val="nil"/>
              <w:bottom w:val="single" w:color="auto" w:sz="4" w:space="0"/>
              <w:right w:val="single" w:color="auto" w:sz="4" w:space="0"/>
            </w:tcBorders>
            <w:vAlign w:val="center"/>
          </w:tcPr>
          <w:p w14:paraId="7B5A3557">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cBorders>
            <w:vAlign w:val="center"/>
          </w:tcPr>
          <w:p w14:paraId="00DED0FC">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cBorders>
            <w:vAlign w:val="center"/>
          </w:tcPr>
          <w:p w14:paraId="17CB1169">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470" w:type="dxa"/>
            <w:tcBorders>
              <w:top w:val="nil"/>
              <w:left w:val="nil"/>
              <w:bottom w:val="single" w:color="auto" w:sz="4" w:space="0"/>
              <w:right w:val="single" w:color="auto" w:sz="4" w:space="0"/>
            </w:tcBorders>
            <w:vAlign w:val="center"/>
          </w:tcPr>
          <w:p w14:paraId="43B536FD">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591A5004">
            <w:pPr>
              <w:widowControl w:val="0"/>
              <w:textAlignment w:val="auto"/>
              <w:rPr>
                <w:rFonts w:ascii="宋体" w:hAnsi="宋体" w:cs="宋体"/>
                <w:color w:val="auto"/>
                <w:kern w:val="0"/>
                <w:szCs w:val="21"/>
              </w:rPr>
            </w:pPr>
          </w:p>
        </w:tc>
      </w:tr>
      <w:tr w14:paraId="5F3CDA3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11B11C1">
            <w:pPr>
              <w:widowControl w:val="0"/>
              <w:textAlignment w:val="auto"/>
              <w:rPr>
                <w:rFonts w:ascii="宋体" w:hAnsi="宋体" w:cs="宋体"/>
                <w:color w:val="auto"/>
                <w:kern w:val="0"/>
                <w:szCs w:val="21"/>
              </w:rPr>
            </w:pPr>
            <w:r>
              <w:rPr>
                <w:rFonts w:hint="eastAsia" w:ascii="宋体" w:hAnsi="宋体" w:cs="宋体"/>
                <w:color w:val="auto"/>
                <w:kern w:val="0"/>
                <w:szCs w:val="21"/>
              </w:rPr>
              <w:t>…</w:t>
            </w:r>
          </w:p>
        </w:tc>
        <w:tc>
          <w:tcPr>
            <w:tcW w:w="4488" w:type="dxa"/>
            <w:tcBorders>
              <w:top w:val="nil"/>
              <w:left w:val="nil"/>
              <w:bottom w:val="single" w:color="auto" w:sz="4" w:space="0"/>
              <w:right w:val="single" w:color="auto" w:sz="4" w:space="0"/>
            </w:tcBorders>
            <w:vAlign w:val="center"/>
          </w:tcPr>
          <w:p w14:paraId="7C588FDC">
            <w:pPr>
              <w:widowControl w:val="0"/>
              <w:textAlignment w:val="auto"/>
              <w:rPr>
                <w:rFonts w:ascii="宋体" w:hAnsi="宋体" w:cs="宋体"/>
                <w:color w:val="auto"/>
                <w:kern w:val="0"/>
                <w:szCs w:val="21"/>
              </w:rPr>
            </w:pPr>
            <w:r>
              <w:rPr>
                <w:rFonts w:hint="eastAsia" w:ascii="宋体" w:hAnsi="宋体" w:cs="宋体"/>
                <w:color w:val="auto"/>
                <w:kern w:val="0"/>
                <w:szCs w:val="21"/>
              </w:rPr>
              <w:t>…</w:t>
            </w:r>
          </w:p>
        </w:tc>
        <w:tc>
          <w:tcPr>
            <w:tcW w:w="1602" w:type="dxa"/>
            <w:tcBorders>
              <w:top w:val="nil"/>
              <w:left w:val="nil"/>
              <w:bottom w:val="single" w:color="auto" w:sz="4" w:space="0"/>
              <w:right w:val="single" w:color="auto" w:sz="4" w:space="0"/>
            </w:tcBorders>
            <w:vAlign w:val="center"/>
          </w:tcPr>
          <w:p w14:paraId="68CC4516">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cBorders>
            <w:vAlign w:val="center"/>
          </w:tcPr>
          <w:p w14:paraId="55BB8CD9">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cBorders>
            <w:vAlign w:val="center"/>
          </w:tcPr>
          <w:p w14:paraId="323CCE0B">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470" w:type="dxa"/>
            <w:tcBorders>
              <w:top w:val="nil"/>
              <w:left w:val="nil"/>
              <w:bottom w:val="single" w:color="auto" w:sz="4" w:space="0"/>
              <w:right w:val="single" w:color="auto" w:sz="4" w:space="0"/>
            </w:tcBorders>
            <w:vAlign w:val="center"/>
          </w:tcPr>
          <w:p w14:paraId="406A57E5">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344270C4">
            <w:pPr>
              <w:widowControl w:val="0"/>
              <w:textAlignment w:val="auto"/>
              <w:rPr>
                <w:rFonts w:ascii="宋体" w:hAnsi="宋体" w:cs="宋体"/>
                <w:color w:val="auto"/>
                <w:kern w:val="0"/>
                <w:szCs w:val="21"/>
              </w:rPr>
            </w:pPr>
          </w:p>
        </w:tc>
      </w:tr>
      <w:tr w14:paraId="1A5F7A7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59C2BD2">
            <w:pPr>
              <w:widowControl w:val="0"/>
              <w:textAlignment w:val="auto"/>
              <w:rPr>
                <w:rFonts w:ascii="宋体" w:hAnsi="宋体" w:cs="宋体"/>
                <w:color w:val="auto"/>
                <w:kern w:val="0"/>
                <w:szCs w:val="21"/>
              </w:rPr>
            </w:pPr>
            <w:r>
              <w:rPr>
                <w:rFonts w:hint="eastAsia" w:ascii="宋体" w:hAnsi="宋体" w:cs="宋体"/>
                <w:color w:val="auto"/>
                <w:kern w:val="0"/>
                <w:szCs w:val="21"/>
              </w:rPr>
              <w:t>…</w:t>
            </w:r>
          </w:p>
        </w:tc>
        <w:tc>
          <w:tcPr>
            <w:tcW w:w="4488" w:type="dxa"/>
            <w:tcBorders>
              <w:top w:val="nil"/>
              <w:left w:val="nil"/>
              <w:bottom w:val="single" w:color="auto" w:sz="4" w:space="0"/>
              <w:right w:val="single" w:color="auto" w:sz="4" w:space="0"/>
            </w:tcBorders>
            <w:vAlign w:val="center"/>
          </w:tcPr>
          <w:p w14:paraId="29AA5C3C">
            <w:pPr>
              <w:widowControl w:val="0"/>
              <w:textAlignment w:val="auto"/>
              <w:rPr>
                <w:rFonts w:ascii="宋体" w:hAnsi="宋体" w:cs="宋体"/>
                <w:color w:val="auto"/>
                <w:kern w:val="0"/>
                <w:szCs w:val="21"/>
              </w:rPr>
            </w:pPr>
            <w:r>
              <w:rPr>
                <w:rFonts w:hint="eastAsia" w:ascii="宋体" w:hAnsi="宋体" w:cs="宋体"/>
                <w:color w:val="auto"/>
                <w:kern w:val="0"/>
                <w:szCs w:val="21"/>
              </w:rPr>
              <w:t>…</w:t>
            </w:r>
          </w:p>
        </w:tc>
        <w:tc>
          <w:tcPr>
            <w:tcW w:w="1602" w:type="dxa"/>
            <w:tcBorders>
              <w:top w:val="nil"/>
              <w:left w:val="nil"/>
              <w:bottom w:val="single" w:color="auto" w:sz="4" w:space="0"/>
              <w:right w:val="single" w:color="auto" w:sz="4" w:space="0"/>
            </w:tcBorders>
            <w:vAlign w:val="center"/>
          </w:tcPr>
          <w:p w14:paraId="7797C19F">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cBorders>
            <w:vAlign w:val="center"/>
          </w:tcPr>
          <w:p w14:paraId="7B53F651">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cBorders>
            <w:vAlign w:val="center"/>
          </w:tcPr>
          <w:p w14:paraId="6B8BA08D">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470" w:type="dxa"/>
            <w:tcBorders>
              <w:top w:val="nil"/>
              <w:left w:val="nil"/>
              <w:bottom w:val="single" w:color="auto" w:sz="4" w:space="0"/>
              <w:right w:val="single" w:color="auto" w:sz="4" w:space="0"/>
            </w:tcBorders>
            <w:vAlign w:val="center"/>
          </w:tcPr>
          <w:p w14:paraId="5C384677">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0E4ED31D">
            <w:pPr>
              <w:widowControl w:val="0"/>
              <w:textAlignment w:val="auto"/>
              <w:rPr>
                <w:rFonts w:ascii="宋体" w:hAnsi="宋体" w:cs="宋体"/>
                <w:color w:val="auto"/>
                <w:kern w:val="0"/>
                <w:szCs w:val="21"/>
              </w:rPr>
            </w:pPr>
          </w:p>
        </w:tc>
      </w:tr>
      <w:tr w14:paraId="71A222C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33A6867">
            <w:pPr>
              <w:widowControl w:val="0"/>
              <w:textAlignment w:val="auto"/>
              <w:rPr>
                <w:rFonts w:ascii="宋体" w:hAnsi="宋体" w:cs="宋体"/>
                <w:color w:val="auto"/>
                <w:kern w:val="0"/>
                <w:szCs w:val="21"/>
              </w:rPr>
            </w:pPr>
            <w:r>
              <w:rPr>
                <w:rFonts w:hint="eastAsia" w:ascii="宋体" w:hAnsi="宋体" w:cs="宋体"/>
                <w:color w:val="auto"/>
                <w:kern w:val="0"/>
                <w:szCs w:val="21"/>
              </w:rPr>
              <w:t>…</w:t>
            </w:r>
          </w:p>
        </w:tc>
        <w:tc>
          <w:tcPr>
            <w:tcW w:w="4488" w:type="dxa"/>
            <w:tcBorders>
              <w:top w:val="nil"/>
              <w:left w:val="nil"/>
              <w:bottom w:val="single" w:color="auto" w:sz="4" w:space="0"/>
              <w:right w:val="single" w:color="auto" w:sz="4" w:space="0"/>
            </w:tcBorders>
            <w:vAlign w:val="center"/>
          </w:tcPr>
          <w:p w14:paraId="567CD646">
            <w:pPr>
              <w:widowControl w:val="0"/>
              <w:textAlignment w:val="auto"/>
              <w:rPr>
                <w:rFonts w:ascii="宋体" w:hAnsi="宋体" w:cs="宋体"/>
                <w:color w:val="auto"/>
                <w:kern w:val="0"/>
                <w:szCs w:val="21"/>
              </w:rPr>
            </w:pPr>
            <w:r>
              <w:rPr>
                <w:rFonts w:hint="eastAsia" w:ascii="宋体" w:hAnsi="宋体" w:cs="宋体"/>
                <w:color w:val="auto"/>
                <w:kern w:val="0"/>
                <w:szCs w:val="21"/>
              </w:rPr>
              <w:t>…</w:t>
            </w:r>
          </w:p>
        </w:tc>
        <w:tc>
          <w:tcPr>
            <w:tcW w:w="1602" w:type="dxa"/>
            <w:tcBorders>
              <w:top w:val="nil"/>
              <w:left w:val="nil"/>
              <w:bottom w:val="single" w:color="auto" w:sz="4" w:space="0"/>
              <w:right w:val="single" w:color="auto" w:sz="4" w:space="0"/>
            </w:tcBorders>
            <w:vAlign w:val="center"/>
          </w:tcPr>
          <w:p w14:paraId="038DA28B">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cBorders>
            <w:vAlign w:val="center"/>
          </w:tcPr>
          <w:p w14:paraId="7E166D10">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cBorders>
            <w:vAlign w:val="center"/>
          </w:tcPr>
          <w:p w14:paraId="0F04A681">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470" w:type="dxa"/>
            <w:tcBorders>
              <w:top w:val="nil"/>
              <w:left w:val="nil"/>
              <w:bottom w:val="single" w:color="auto" w:sz="4" w:space="0"/>
              <w:right w:val="single" w:color="auto" w:sz="4" w:space="0"/>
            </w:tcBorders>
            <w:vAlign w:val="center"/>
          </w:tcPr>
          <w:p w14:paraId="7F828DF5">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106514B1">
            <w:pPr>
              <w:widowControl w:val="0"/>
              <w:textAlignment w:val="auto"/>
              <w:rPr>
                <w:rFonts w:ascii="宋体" w:hAnsi="宋体" w:cs="宋体"/>
                <w:color w:val="auto"/>
                <w:kern w:val="0"/>
                <w:szCs w:val="21"/>
              </w:rPr>
            </w:pPr>
          </w:p>
        </w:tc>
      </w:tr>
      <w:tr w14:paraId="1E274DE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A7C284E">
            <w:pPr>
              <w:widowControl w:val="0"/>
              <w:textAlignment w:val="auto"/>
              <w:rPr>
                <w:rFonts w:ascii="宋体" w:hAnsi="宋体" w:cs="宋体"/>
                <w:color w:val="auto"/>
                <w:kern w:val="0"/>
                <w:szCs w:val="21"/>
              </w:rPr>
            </w:pPr>
            <w:r>
              <w:rPr>
                <w:rFonts w:hint="eastAsia" w:ascii="宋体" w:hAnsi="宋体" w:cs="宋体"/>
                <w:color w:val="auto"/>
                <w:kern w:val="0"/>
                <w:szCs w:val="21"/>
              </w:rPr>
              <w:t>n</w:t>
            </w:r>
          </w:p>
        </w:tc>
        <w:tc>
          <w:tcPr>
            <w:tcW w:w="4488" w:type="dxa"/>
            <w:tcBorders>
              <w:top w:val="nil"/>
              <w:left w:val="nil"/>
              <w:bottom w:val="single" w:color="auto" w:sz="4" w:space="0"/>
              <w:right w:val="single" w:color="auto" w:sz="4" w:space="0"/>
            </w:tcBorders>
            <w:vAlign w:val="center"/>
          </w:tcPr>
          <w:p w14:paraId="4796505B">
            <w:pPr>
              <w:widowControl w:val="0"/>
              <w:textAlignment w:val="auto"/>
              <w:rPr>
                <w:rFonts w:ascii="宋体" w:hAnsi="宋体" w:cs="宋体"/>
                <w:color w:val="auto"/>
                <w:kern w:val="0"/>
                <w:szCs w:val="21"/>
              </w:rPr>
            </w:pPr>
            <w:r>
              <w:rPr>
                <w:rFonts w:hint="eastAsia" w:ascii="宋体" w:hAnsi="宋体" w:cs="宋体"/>
                <w:color w:val="auto"/>
                <w:kern w:val="0"/>
                <w:szCs w:val="21"/>
              </w:rPr>
              <w:t>[单位工程n]</w:t>
            </w:r>
          </w:p>
        </w:tc>
        <w:tc>
          <w:tcPr>
            <w:tcW w:w="1602" w:type="dxa"/>
            <w:tcBorders>
              <w:top w:val="nil"/>
              <w:left w:val="nil"/>
              <w:bottom w:val="single" w:color="auto" w:sz="4" w:space="0"/>
              <w:right w:val="single" w:color="auto" w:sz="4" w:space="0"/>
            </w:tcBorders>
            <w:vAlign w:val="center"/>
          </w:tcPr>
          <w:p w14:paraId="3358497E">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cBorders>
            <w:vAlign w:val="center"/>
          </w:tcPr>
          <w:p w14:paraId="37E19F51">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cBorders>
            <w:vAlign w:val="center"/>
          </w:tcPr>
          <w:p w14:paraId="2B075010">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470" w:type="dxa"/>
            <w:tcBorders>
              <w:top w:val="nil"/>
              <w:left w:val="nil"/>
              <w:bottom w:val="single" w:color="auto" w:sz="4" w:space="0"/>
              <w:right w:val="single" w:color="auto" w:sz="4" w:space="0"/>
            </w:tcBorders>
            <w:vAlign w:val="center"/>
          </w:tcPr>
          <w:p w14:paraId="13823BD2">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0349F31E">
            <w:pPr>
              <w:widowControl w:val="0"/>
              <w:textAlignment w:val="auto"/>
              <w:rPr>
                <w:rFonts w:ascii="宋体" w:hAnsi="宋体" w:cs="宋体"/>
                <w:color w:val="auto"/>
                <w:kern w:val="0"/>
                <w:szCs w:val="21"/>
              </w:rPr>
            </w:pPr>
          </w:p>
        </w:tc>
      </w:tr>
      <w:tr w14:paraId="4E5A666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B5BA826">
            <w:pPr>
              <w:widowControl w:val="0"/>
              <w:textAlignment w:val="auto"/>
              <w:rPr>
                <w:rFonts w:ascii="宋体" w:hAnsi="宋体" w:cs="宋体"/>
                <w:color w:val="auto"/>
                <w:kern w:val="0"/>
                <w:szCs w:val="21"/>
              </w:rPr>
            </w:pPr>
            <w:r>
              <w:rPr>
                <w:rFonts w:hint="eastAsia" w:ascii="宋体" w:hAnsi="宋体" w:cs="宋体"/>
                <w:color w:val="auto"/>
                <w:kern w:val="0"/>
                <w:szCs w:val="21"/>
              </w:rPr>
              <w:t>∑</w:t>
            </w:r>
          </w:p>
        </w:tc>
        <w:tc>
          <w:tcPr>
            <w:tcW w:w="4488" w:type="dxa"/>
            <w:tcBorders>
              <w:top w:val="nil"/>
              <w:left w:val="nil"/>
              <w:bottom w:val="single" w:color="auto" w:sz="4" w:space="0"/>
              <w:right w:val="single" w:color="auto" w:sz="4" w:space="0"/>
            </w:tcBorders>
            <w:vAlign w:val="center"/>
          </w:tcPr>
          <w:p w14:paraId="46D5A075">
            <w:pPr>
              <w:widowControl w:val="0"/>
              <w:textAlignment w:val="auto"/>
              <w:rPr>
                <w:rFonts w:ascii="宋体" w:hAnsi="宋体" w:cs="宋体"/>
                <w:color w:val="auto"/>
                <w:kern w:val="0"/>
                <w:szCs w:val="21"/>
              </w:rPr>
            </w:pPr>
            <w:r>
              <w:rPr>
                <w:rFonts w:hint="eastAsia" w:ascii="宋体" w:hAnsi="宋体" w:cs="宋体"/>
                <w:color w:val="auto"/>
                <w:kern w:val="0"/>
                <w:szCs w:val="21"/>
              </w:rPr>
              <w:t>投标总报价</w:t>
            </w:r>
          </w:p>
        </w:tc>
        <w:tc>
          <w:tcPr>
            <w:tcW w:w="1602" w:type="dxa"/>
            <w:tcBorders>
              <w:top w:val="nil"/>
              <w:left w:val="nil"/>
              <w:bottom w:val="single" w:color="auto" w:sz="4" w:space="0"/>
              <w:right w:val="single" w:color="auto" w:sz="4" w:space="0"/>
            </w:tcBorders>
            <w:vAlign w:val="center"/>
          </w:tcPr>
          <w:p w14:paraId="28D3F5D2">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cBorders>
            <w:vAlign w:val="center"/>
          </w:tcPr>
          <w:p w14:paraId="34255D6E">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624CE65B">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1470" w:type="dxa"/>
            <w:tcBorders>
              <w:top w:val="nil"/>
              <w:left w:val="nil"/>
              <w:bottom w:val="single" w:color="auto" w:sz="4" w:space="0"/>
              <w:right w:val="single" w:color="auto" w:sz="4" w:space="0"/>
            </w:tcBorders>
            <w:vAlign w:val="center"/>
          </w:tcPr>
          <w:p w14:paraId="7741905E">
            <w:pPr>
              <w:widowControl w:val="0"/>
              <w:textAlignment w:val="auto"/>
              <w:rPr>
                <w:rFonts w:ascii="宋体" w:hAnsi="宋体" w:cs="宋体"/>
                <w:color w:val="auto"/>
                <w:kern w:val="0"/>
                <w:szCs w:val="21"/>
              </w:rPr>
            </w:pPr>
            <w:r>
              <w:rPr>
                <w:rFonts w:hint="eastAsia" w:ascii="宋体" w:hAnsi="宋体" w:cs="宋体"/>
                <w:color w:val="auto"/>
                <w:kern w:val="0"/>
                <w:szCs w:val="21"/>
              </w:rPr>
              <w:t>　</w:t>
            </w:r>
          </w:p>
        </w:tc>
        <w:tc>
          <w:tcPr>
            <w:tcW w:w="3465" w:type="dxa"/>
            <w:tcBorders>
              <w:top w:val="single" w:color="auto" w:sz="4" w:space="0"/>
              <w:left w:val="nil"/>
              <w:bottom w:val="single" w:color="auto" w:sz="4" w:space="0"/>
              <w:right w:val="single" w:color="auto" w:sz="4" w:space="0"/>
            </w:tcBorders>
            <w:vAlign w:val="center"/>
          </w:tcPr>
          <w:p w14:paraId="0C263FFD">
            <w:pPr>
              <w:widowControl w:val="0"/>
              <w:textAlignment w:val="auto"/>
              <w:rPr>
                <w:rFonts w:ascii="宋体" w:hAnsi="宋体" w:cs="宋体"/>
                <w:color w:val="auto"/>
                <w:kern w:val="0"/>
                <w:szCs w:val="21"/>
              </w:rPr>
            </w:pPr>
            <w:r>
              <w:rPr>
                <w:rFonts w:hint="eastAsia" w:ascii="宋体" w:hAnsi="宋体" w:cs="宋体"/>
                <w:color w:val="auto"/>
                <w:kern w:val="0"/>
                <w:szCs w:val="21"/>
              </w:rPr>
              <w:t>∑A=A</w:t>
            </w:r>
            <w:r>
              <w:rPr>
                <w:rFonts w:hint="eastAsia" w:ascii="宋体" w:hAnsi="宋体" w:cs="宋体"/>
                <w:color w:val="auto"/>
                <w:kern w:val="0"/>
                <w:szCs w:val="21"/>
                <w:vertAlign w:val="subscript"/>
              </w:rPr>
              <w:t>1</w:t>
            </w:r>
            <w:r>
              <w:rPr>
                <w:rFonts w:hint="eastAsia" w:ascii="宋体" w:hAnsi="宋体" w:cs="宋体"/>
                <w:color w:val="auto"/>
                <w:kern w:val="0"/>
                <w:szCs w:val="21"/>
              </w:rPr>
              <w:t>+A</w:t>
            </w:r>
            <w:r>
              <w:rPr>
                <w:rFonts w:hint="eastAsia" w:ascii="宋体" w:hAnsi="宋体" w:cs="宋体"/>
                <w:color w:val="auto"/>
                <w:kern w:val="0"/>
                <w:szCs w:val="21"/>
                <w:vertAlign w:val="subscript"/>
              </w:rPr>
              <w:t>2</w:t>
            </w:r>
            <w:r>
              <w:rPr>
                <w:rFonts w:hint="eastAsia" w:ascii="宋体" w:hAnsi="宋体" w:cs="宋体"/>
                <w:color w:val="auto"/>
                <w:kern w:val="0"/>
                <w:szCs w:val="21"/>
              </w:rPr>
              <w:t>+…An；∑B=B</w:t>
            </w:r>
            <w:r>
              <w:rPr>
                <w:rFonts w:hint="eastAsia" w:ascii="宋体" w:hAnsi="宋体" w:cs="宋体"/>
                <w:color w:val="auto"/>
                <w:kern w:val="0"/>
                <w:szCs w:val="21"/>
                <w:vertAlign w:val="subscript"/>
              </w:rPr>
              <w:t>1</w:t>
            </w:r>
            <w:r>
              <w:rPr>
                <w:rFonts w:hint="eastAsia" w:ascii="宋体" w:hAnsi="宋体" w:cs="宋体"/>
                <w:color w:val="auto"/>
                <w:kern w:val="0"/>
                <w:szCs w:val="21"/>
              </w:rPr>
              <w:t>+B</w:t>
            </w:r>
            <w:r>
              <w:rPr>
                <w:rFonts w:hint="eastAsia" w:ascii="宋体" w:hAnsi="宋体" w:cs="宋体"/>
                <w:color w:val="auto"/>
                <w:kern w:val="0"/>
                <w:szCs w:val="21"/>
                <w:vertAlign w:val="subscript"/>
              </w:rPr>
              <w:t>2</w:t>
            </w:r>
            <w:r>
              <w:rPr>
                <w:rFonts w:hint="eastAsia" w:ascii="宋体" w:hAnsi="宋体" w:cs="宋体"/>
                <w:color w:val="auto"/>
                <w:kern w:val="0"/>
                <w:szCs w:val="21"/>
              </w:rPr>
              <w:t>+…Bn</w:t>
            </w:r>
          </w:p>
        </w:tc>
      </w:tr>
    </w:tbl>
    <w:p w14:paraId="1A70A44D">
      <w:pPr>
        <w:widowControl w:val="0"/>
        <w:textAlignment w:val="auto"/>
        <w:rPr>
          <w:rFonts w:ascii="宋体" w:hAnsi="宋体" w:cs="宋体"/>
          <w:color w:val="auto"/>
          <w:kern w:val="0"/>
          <w:szCs w:val="21"/>
        </w:rPr>
      </w:pPr>
      <w:r>
        <w:rPr>
          <w:rFonts w:hint="eastAsia" w:ascii="宋体" w:hAnsi="宋体" w:cs="宋体"/>
          <w:color w:val="auto"/>
          <w:kern w:val="0"/>
          <w:szCs w:val="21"/>
        </w:rPr>
        <w:t>修正原则：</w:t>
      </w:r>
      <w:r>
        <w:rPr>
          <w:rFonts w:hint="eastAsia" w:ascii="宋体" w:hAnsi="宋体" w:cs="宋体"/>
          <w:color w:val="auto"/>
          <w:szCs w:val="21"/>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rPr>
        <w:tab/>
      </w:r>
    </w:p>
    <w:p w14:paraId="3F5BB393">
      <w:pPr>
        <w:widowControl w:val="0"/>
        <w:textAlignment w:val="auto"/>
        <w:rPr>
          <w:rFonts w:ascii="宋体" w:hAnsi="宋体" w:cs="宋体"/>
          <w:color w:val="auto"/>
        </w:rPr>
      </w:pPr>
      <w:r>
        <w:rPr>
          <w:rFonts w:hint="eastAsia" w:ascii="宋体" w:hAnsi="宋体" w:cs="宋体"/>
          <w:color w:val="auto"/>
          <w:kern w:val="0"/>
          <w:szCs w:val="21"/>
        </w:rPr>
        <w:t>评委签名：</w:t>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ab/>
      </w:r>
      <w:r>
        <w:rPr>
          <w:rFonts w:hint="eastAsia" w:ascii="宋体" w:hAnsi="宋体" w:cs="宋体"/>
          <w:color w:val="auto"/>
          <w:kern w:val="0"/>
          <w:szCs w:val="21"/>
        </w:rPr>
        <w:t>日期：</w:t>
      </w:r>
    </w:p>
    <w:p w14:paraId="0037704A">
      <w:pPr>
        <w:widowControl w:val="0"/>
        <w:textAlignment w:val="auto"/>
        <w:rPr>
          <w:rFonts w:ascii="宋体" w:hAnsi="宋体" w:cs="宋体"/>
          <w:color w:val="auto"/>
        </w:rPr>
      </w:pPr>
      <w:r>
        <w:rPr>
          <w:rFonts w:hint="eastAsia" w:ascii="宋体" w:hAnsi="宋体" w:cs="宋体"/>
          <w:color w:val="auto"/>
        </w:rPr>
        <w:br w:type="page"/>
      </w:r>
    </w:p>
    <w:p w14:paraId="04F61DC8">
      <w:pPr>
        <w:widowControl w:val="0"/>
        <w:jc w:val="center"/>
        <w:textAlignment w:val="auto"/>
        <w:rPr>
          <w:rFonts w:ascii="宋体" w:hAnsi="宋体" w:cs="宋体"/>
          <w:b/>
          <w:color w:val="auto"/>
          <w:sz w:val="36"/>
          <w:szCs w:val="36"/>
        </w:rPr>
      </w:pPr>
      <w:r>
        <w:rPr>
          <w:rFonts w:hint="eastAsia" w:ascii="宋体" w:hAnsi="宋体" w:cs="宋体"/>
          <w:b/>
          <w:color w:val="auto"/>
          <w:sz w:val="36"/>
          <w:szCs w:val="36"/>
        </w:rPr>
        <w:t>算术复核表</w:t>
      </w:r>
    </w:p>
    <w:p w14:paraId="190545DF">
      <w:pPr>
        <w:widowControl w:val="0"/>
        <w:textAlignment w:val="auto"/>
        <w:rPr>
          <w:rFonts w:ascii="宋体" w:hAnsi="宋体" w:cs="宋体"/>
          <w:color w:val="auto"/>
          <w:szCs w:val="21"/>
        </w:rPr>
      </w:pPr>
      <w:r>
        <w:rPr>
          <w:rFonts w:hint="eastAsia" w:ascii="宋体" w:hAnsi="宋体" w:cs="宋体"/>
          <w:color w:val="auto"/>
          <w:szCs w:val="21"/>
        </w:rPr>
        <w:t>工程名称：</w:t>
      </w:r>
    </w:p>
    <w:tbl>
      <w:tblPr>
        <w:tblStyle w:val="2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6BBA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73CF6C8">
            <w:pPr>
              <w:widowControl w:val="0"/>
              <w:textAlignment w:val="auto"/>
              <w:rPr>
                <w:rFonts w:ascii="宋体" w:hAnsi="宋体" w:cs="宋体"/>
                <w:b/>
                <w:color w:val="auto"/>
                <w:sz w:val="28"/>
                <w:szCs w:val="28"/>
              </w:rPr>
            </w:pPr>
            <w:r>
              <w:rPr>
                <w:rFonts w:hint="eastAsia" w:ascii="宋体" w:hAnsi="宋体" w:cs="宋体"/>
                <w:b/>
                <w:color w:val="auto"/>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14:paraId="52AC6231">
            <w:pPr>
              <w:widowControl w:val="0"/>
              <w:textAlignment w:val="auto"/>
              <w:rPr>
                <w:rFonts w:ascii="宋体" w:hAnsi="宋体" w:cs="宋体"/>
                <w:b/>
                <w:color w:val="auto"/>
                <w:sz w:val="28"/>
                <w:szCs w:val="28"/>
              </w:rPr>
            </w:pPr>
            <w:r>
              <w:rPr>
                <w:rFonts w:hint="eastAsia" w:ascii="宋体" w:hAnsi="宋体" w:cs="宋体"/>
                <w:b/>
                <w:color w:val="auto"/>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14:paraId="46501B35">
            <w:pPr>
              <w:widowControl w:val="0"/>
              <w:textAlignment w:val="auto"/>
              <w:rPr>
                <w:rFonts w:ascii="宋体" w:hAnsi="宋体" w:cs="宋体"/>
                <w:b/>
                <w:color w:val="auto"/>
                <w:sz w:val="28"/>
                <w:szCs w:val="28"/>
              </w:rPr>
            </w:pPr>
            <w:r>
              <w:rPr>
                <w:rFonts w:hint="eastAsia" w:ascii="宋体" w:hAnsi="宋体" w:cs="宋体"/>
                <w:b/>
                <w:color w:val="auto"/>
                <w:sz w:val="28"/>
                <w:szCs w:val="28"/>
              </w:rPr>
              <w:t>原投标报价（A）</w:t>
            </w:r>
          </w:p>
        </w:tc>
        <w:tc>
          <w:tcPr>
            <w:tcW w:w="3101" w:type="dxa"/>
            <w:tcBorders>
              <w:top w:val="single" w:color="auto" w:sz="4" w:space="0"/>
              <w:left w:val="single" w:color="auto" w:sz="4" w:space="0"/>
              <w:bottom w:val="single" w:color="auto" w:sz="4" w:space="0"/>
              <w:right w:val="single" w:color="auto" w:sz="4" w:space="0"/>
            </w:tcBorders>
          </w:tcPr>
          <w:p w14:paraId="7F0DC94C">
            <w:pPr>
              <w:widowControl w:val="0"/>
              <w:textAlignment w:val="auto"/>
              <w:rPr>
                <w:rFonts w:ascii="宋体" w:hAnsi="宋体" w:cs="宋体"/>
                <w:b/>
                <w:color w:val="auto"/>
                <w:sz w:val="28"/>
                <w:szCs w:val="28"/>
              </w:rPr>
            </w:pPr>
            <w:r>
              <w:rPr>
                <w:rFonts w:hint="eastAsia" w:ascii="宋体" w:hAnsi="宋体" w:cs="宋体"/>
                <w:b/>
                <w:color w:val="auto"/>
                <w:sz w:val="28"/>
                <w:szCs w:val="28"/>
              </w:rPr>
              <w:t>算数复核后投标报价（B）</w:t>
            </w:r>
          </w:p>
        </w:tc>
        <w:tc>
          <w:tcPr>
            <w:tcW w:w="3423" w:type="dxa"/>
            <w:tcBorders>
              <w:top w:val="single" w:color="auto" w:sz="4" w:space="0"/>
              <w:left w:val="single" w:color="auto" w:sz="4" w:space="0"/>
              <w:bottom w:val="single" w:color="auto" w:sz="4" w:space="0"/>
              <w:right w:val="single" w:color="auto" w:sz="4" w:space="0"/>
            </w:tcBorders>
          </w:tcPr>
          <w:p w14:paraId="6FD5F333">
            <w:pPr>
              <w:widowControl w:val="0"/>
              <w:textAlignment w:val="auto"/>
              <w:rPr>
                <w:rFonts w:ascii="宋体" w:hAnsi="宋体" w:cs="宋体"/>
                <w:b/>
                <w:color w:val="auto"/>
                <w:sz w:val="28"/>
                <w:szCs w:val="28"/>
              </w:rPr>
            </w:pPr>
            <w:r>
              <w:rPr>
                <w:rFonts w:hint="eastAsia" w:ascii="宋体" w:hAnsi="宋体" w:cs="宋体"/>
                <w:b/>
                <w:color w:val="auto"/>
                <w:sz w:val="28"/>
                <w:szCs w:val="28"/>
              </w:rPr>
              <w:t>误差率（r=|A-B|/A*100%）</w:t>
            </w:r>
          </w:p>
        </w:tc>
      </w:tr>
      <w:tr w14:paraId="7DEB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9D7BD34">
            <w:pPr>
              <w:widowControl w:val="0"/>
              <w:textAlignment w:val="auto"/>
              <w:rPr>
                <w:rFonts w:ascii="宋体" w:hAnsi="宋体" w:cs="宋体"/>
                <w:color w:val="auto"/>
                <w:sz w:val="36"/>
                <w:szCs w:val="36"/>
              </w:rPr>
            </w:pPr>
          </w:p>
        </w:tc>
        <w:tc>
          <w:tcPr>
            <w:tcW w:w="4297" w:type="dxa"/>
            <w:tcBorders>
              <w:top w:val="single" w:color="auto" w:sz="4" w:space="0"/>
              <w:left w:val="single" w:color="auto" w:sz="4" w:space="0"/>
              <w:bottom w:val="single" w:color="auto" w:sz="4" w:space="0"/>
              <w:right w:val="single" w:color="auto" w:sz="4" w:space="0"/>
            </w:tcBorders>
          </w:tcPr>
          <w:p w14:paraId="23CAD80D">
            <w:pPr>
              <w:widowControl w:val="0"/>
              <w:textAlignment w:val="auto"/>
              <w:rPr>
                <w:rFonts w:ascii="宋体" w:hAnsi="宋体" w:cs="宋体"/>
                <w:color w:val="auto"/>
                <w:sz w:val="36"/>
                <w:szCs w:val="36"/>
              </w:rPr>
            </w:pPr>
          </w:p>
        </w:tc>
        <w:tc>
          <w:tcPr>
            <w:tcW w:w="2330" w:type="dxa"/>
            <w:tcBorders>
              <w:top w:val="single" w:color="auto" w:sz="4" w:space="0"/>
              <w:left w:val="single" w:color="auto" w:sz="4" w:space="0"/>
              <w:bottom w:val="single" w:color="auto" w:sz="4" w:space="0"/>
              <w:right w:val="single" w:color="auto" w:sz="4" w:space="0"/>
            </w:tcBorders>
          </w:tcPr>
          <w:p w14:paraId="57B6D639">
            <w:pPr>
              <w:widowControl w:val="0"/>
              <w:textAlignment w:val="auto"/>
              <w:rPr>
                <w:rFonts w:ascii="宋体" w:hAnsi="宋体" w:cs="宋体"/>
                <w:color w:val="auto"/>
                <w:sz w:val="36"/>
                <w:szCs w:val="36"/>
              </w:rPr>
            </w:pPr>
          </w:p>
        </w:tc>
        <w:tc>
          <w:tcPr>
            <w:tcW w:w="3101" w:type="dxa"/>
            <w:tcBorders>
              <w:top w:val="single" w:color="auto" w:sz="4" w:space="0"/>
              <w:left w:val="single" w:color="auto" w:sz="4" w:space="0"/>
              <w:bottom w:val="single" w:color="auto" w:sz="4" w:space="0"/>
              <w:right w:val="single" w:color="auto" w:sz="4" w:space="0"/>
            </w:tcBorders>
          </w:tcPr>
          <w:p w14:paraId="6DCF8796">
            <w:pPr>
              <w:widowControl w:val="0"/>
              <w:textAlignment w:val="auto"/>
              <w:rPr>
                <w:rFonts w:ascii="宋体" w:hAnsi="宋体" w:cs="宋体"/>
                <w:color w:val="auto"/>
                <w:sz w:val="36"/>
                <w:szCs w:val="36"/>
              </w:rPr>
            </w:pPr>
          </w:p>
        </w:tc>
        <w:tc>
          <w:tcPr>
            <w:tcW w:w="3423" w:type="dxa"/>
            <w:tcBorders>
              <w:top w:val="single" w:color="auto" w:sz="4" w:space="0"/>
              <w:left w:val="single" w:color="auto" w:sz="4" w:space="0"/>
              <w:bottom w:val="single" w:color="auto" w:sz="4" w:space="0"/>
              <w:right w:val="single" w:color="auto" w:sz="4" w:space="0"/>
            </w:tcBorders>
          </w:tcPr>
          <w:p w14:paraId="3A59EFE0">
            <w:pPr>
              <w:widowControl w:val="0"/>
              <w:textAlignment w:val="auto"/>
              <w:rPr>
                <w:rFonts w:ascii="宋体" w:hAnsi="宋体" w:cs="宋体"/>
                <w:color w:val="auto"/>
                <w:sz w:val="36"/>
                <w:szCs w:val="36"/>
              </w:rPr>
            </w:pPr>
          </w:p>
        </w:tc>
      </w:tr>
      <w:tr w14:paraId="2FD9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88595E7">
            <w:pPr>
              <w:widowControl w:val="0"/>
              <w:textAlignment w:val="auto"/>
              <w:rPr>
                <w:rFonts w:ascii="宋体" w:hAnsi="宋体" w:cs="宋体"/>
                <w:color w:val="auto"/>
                <w:sz w:val="36"/>
                <w:szCs w:val="36"/>
              </w:rPr>
            </w:pPr>
          </w:p>
        </w:tc>
        <w:tc>
          <w:tcPr>
            <w:tcW w:w="4297" w:type="dxa"/>
            <w:tcBorders>
              <w:top w:val="single" w:color="auto" w:sz="4" w:space="0"/>
              <w:left w:val="single" w:color="auto" w:sz="4" w:space="0"/>
              <w:bottom w:val="single" w:color="auto" w:sz="4" w:space="0"/>
              <w:right w:val="single" w:color="auto" w:sz="4" w:space="0"/>
            </w:tcBorders>
          </w:tcPr>
          <w:p w14:paraId="6AED87AF">
            <w:pPr>
              <w:widowControl w:val="0"/>
              <w:textAlignment w:val="auto"/>
              <w:rPr>
                <w:rFonts w:ascii="宋体" w:hAnsi="宋体" w:cs="宋体"/>
                <w:color w:val="auto"/>
                <w:sz w:val="36"/>
                <w:szCs w:val="36"/>
              </w:rPr>
            </w:pPr>
          </w:p>
        </w:tc>
        <w:tc>
          <w:tcPr>
            <w:tcW w:w="2330" w:type="dxa"/>
            <w:tcBorders>
              <w:top w:val="single" w:color="auto" w:sz="4" w:space="0"/>
              <w:left w:val="single" w:color="auto" w:sz="4" w:space="0"/>
              <w:bottom w:val="single" w:color="auto" w:sz="4" w:space="0"/>
              <w:right w:val="single" w:color="auto" w:sz="4" w:space="0"/>
            </w:tcBorders>
          </w:tcPr>
          <w:p w14:paraId="2740ABA2">
            <w:pPr>
              <w:widowControl w:val="0"/>
              <w:textAlignment w:val="auto"/>
              <w:rPr>
                <w:rFonts w:ascii="宋体" w:hAnsi="宋体" w:cs="宋体"/>
                <w:color w:val="auto"/>
                <w:sz w:val="36"/>
                <w:szCs w:val="36"/>
              </w:rPr>
            </w:pPr>
          </w:p>
        </w:tc>
        <w:tc>
          <w:tcPr>
            <w:tcW w:w="3101" w:type="dxa"/>
            <w:tcBorders>
              <w:top w:val="single" w:color="auto" w:sz="4" w:space="0"/>
              <w:left w:val="single" w:color="auto" w:sz="4" w:space="0"/>
              <w:bottom w:val="single" w:color="auto" w:sz="4" w:space="0"/>
              <w:right w:val="single" w:color="auto" w:sz="4" w:space="0"/>
            </w:tcBorders>
          </w:tcPr>
          <w:p w14:paraId="4523C6ED">
            <w:pPr>
              <w:widowControl w:val="0"/>
              <w:textAlignment w:val="auto"/>
              <w:rPr>
                <w:rFonts w:ascii="宋体" w:hAnsi="宋体" w:cs="宋体"/>
                <w:color w:val="auto"/>
                <w:sz w:val="36"/>
                <w:szCs w:val="36"/>
              </w:rPr>
            </w:pPr>
          </w:p>
        </w:tc>
        <w:tc>
          <w:tcPr>
            <w:tcW w:w="3423" w:type="dxa"/>
            <w:tcBorders>
              <w:top w:val="single" w:color="auto" w:sz="4" w:space="0"/>
              <w:left w:val="single" w:color="auto" w:sz="4" w:space="0"/>
              <w:bottom w:val="single" w:color="auto" w:sz="4" w:space="0"/>
              <w:right w:val="single" w:color="auto" w:sz="4" w:space="0"/>
            </w:tcBorders>
          </w:tcPr>
          <w:p w14:paraId="1191764D">
            <w:pPr>
              <w:widowControl w:val="0"/>
              <w:textAlignment w:val="auto"/>
              <w:rPr>
                <w:rFonts w:ascii="宋体" w:hAnsi="宋体" w:cs="宋体"/>
                <w:color w:val="auto"/>
                <w:sz w:val="36"/>
                <w:szCs w:val="36"/>
              </w:rPr>
            </w:pPr>
          </w:p>
        </w:tc>
      </w:tr>
      <w:tr w14:paraId="6D99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B8EDB6D">
            <w:pPr>
              <w:widowControl w:val="0"/>
              <w:textAlignment w:val="auto"/>
              <w:rPr>
                <w:rFonts w:ascii="宋体" w:hAnsi="宋体" w:cs="宋体"/>
                <w:color w:val="auto"/>
                <w:sz w:val="36"/>
                <w:szCs w:val="36"/>
              </w:rPr>
            </w:pPr>
          </w:p>
        </w:tc>
        <w:tc>
          <w:tcPr>
            <w:tcW w:w="4297" w:type="dxa"/>
            <w:tcBorders>
              <w:top w:val="single" w:color="auto" w:sz="4" w:space="0"/>
              <w:left w:val="single" w:color="auto" w:sz="4" w:space="0"/>
              <w:bottom w:val="single" w:color="auto" w:sz="4" w:space="0"/>
              <w:right w:val="single" w:color="auto" w:sz="4" w:space="0"/>
            </w:tcBorders>
          </w:tcPr>
          <w:p w14:paraId="6FF1C737">
            <w:pPr>
              <w:widowControl w:val="0"/>
              <w:textAlignment w:val="auto"/>
              <w:rPr>
                <w:rFonts w:ascii="宋体" w:hAnsi="宋体" w:cs="宋体"/>
                <w:color w:val="auto"/>
                <w:sz w:val="36"/>
                <w:szCs w:val="36"/>
              </w:rPr>
            </w:pPr>
          </w:p>
        </w:tc>
        <w:tc>
          <w:tcPr>
            <w:tcW w:w="2330" w:type="dxa"/>
            <w:tcBorders>
              <w:top w:val="single" w:color="auto" w:sz="4" w:space="0"/>
              <w:left w:val="single" w:color="auto" w:sz="4" w:space="0"/>
              <w:bottom w:val="single" w:color="auto" w:sz="4" w:space="0"/>
              <w:right w:val="single" w:color="auto" w:sz="4" w:space="0"/>
            </w:tcBorders>
          </w:tcPr>
          <w:p w14:paraId="31ADE331">
            <w:pPr>
              <w:widowControl w:val="0"/>
              <w:textAlignment w:val="auto"/>
              <w:rPr>
                <w:rFonts w:ascii="宋体" w:hAnsi="宋体" w:cs="宋体"/>
                <w:color w:val="auto"/>
                <w:sz w:val="36"/>
                <w:szCs w:val="36"/>
              </w:rPr>
            </w:pPr>
          </w:p>
        </w:tc>
        <w:tc>
          <w:tcPr>
            <w:tcW w:w="3101" w:type="dxa"/>
            <w:tcBorders>
              <w:top w:val="single" w:color="auto" w:sz="4" w:space="0"/>
              <w:left w:val="single" w:color="auto" w:sz="4" w:space="0"/>
              <w:bottom w:val="single" w:color="auto" w:sz="4" w:space="0"/>
              <w:right w:val="single" w:color="auto" w:sz="4" w:space="0"/>
            </w:tcBorders>
          </w:tcPr>
          <w:p w14:paraId="5E66CF1D">
            <w:pPr>
              <w:widowControl w:val="0"/>
              <w:textAlignment w:val="auto"/>
              <w:rPr>
                <w:rFonts w:ascii="宋体" w:hAnsi="宋体" w:cs="宋体"/>
                <w:color w:val="auto"/>
                <w:sz w:val="36"/>
                <w:szCs w:val="36"/>
              </w:rPr>
            </w:pPr>
          </w:p>
        </w:tc>
        <w:tc>
          <w:tcPr>
            <w:tcW w:w="3423" w:type="dxa"/>
            <w:tcBorders>
              <w:top w:val="single" w:color="auto" w:sz="4" w:space="0"/>
              <w:left w:val="single" w:color="auto" w:sz="4" w:space="0"/>
              <w:bottom w:val="single" w:color="auto" w:sz="4" w:space="0"/>
              <w:right w:val="single" w:color="auto" w:sz="4" w:space="0"/>
            </w:tcBorders>
          </w:tcPr>
          <w:p w14:paraId="78DD04F9">
            <w:pPr>
              <w:widowControl w:val="0"/>
              <w:textAlignment w:val="auto"/>
              <w:rPr>
                <w:rFonts w:ascii="宋体" w:hAnsi="宋体" w:cs="宋体"/>
                <w:color w:val="auto"/>
                <w:sz w:val="36"/>
                <w:szCs w:val="36"/>
              </w:rPr>
            </w:pPr>
          </w:p>
        </w:tc>
      </w:tr>
      <w:tr w14:paraId="5E5D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8A238FB">
            <w:pPr>
              <w:widowControl w:val="0"/>
              <w:textAlignment w:val="auto"/>
              <w:rPr>
                <w:rFonts w:ascii="宋体" w:hAnsi="宋体" w:cs="宋体"/>
                <w:color w:val="auto"/>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D565AE8">
            <w:pPr>
              <w:widowControl w:val="0"/>
              <w:textAlignment w:val="auto"/>
              <w:rPr>
                <w:rFonts w:ascii="宋体" w:hAnsi="宋体" w:cs="宋体"/>
                <w:color w:val="auto"/>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21ED596">
            <w:pPr>
              <w:widowControl w:val="0"/>
              <w:textAlignment w:val="auto"/>
              <w:rPr>
                <w:rFonts w:ascii="宋体" w:hAnsi="宋体" w:cs="宋体"/>
                <w:color w:val="auto"/>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B76B959">
            <w:pPr>
              <w:widowControl w:val="0"/>
              <w:textAlignment w:val="auto"/>
              <w:rPr>
                <w:rFonts w:ascii="宋体" w:hAnsi="宋体" w:cs="宋体"/>
                <w:color w:val="auto"/>
                <w:sz w:val="36"/>
                <w:szCs w:val="36"/>
              </w:rPr>
            </w:pPr>
          </w:p>
        </w:tc>
        <w:tc>
          <w:tcPr>
            <w:tcW w:w="3423" w:type="dxa"/>
            <w:tcBorders>
              <w:top w:val="single" w:color="auto" w:sz="4" w:space="0"/>
              <w:left w:val="single" w:color="auto" w:sz="4" w:space="0"/>
              <w:bottom w:val="single" w:color="auto" w:sz="4" w:space="0"/>
              <w:right w:val="single" w:color="auto" w:sz="4" w:space="0"/>
            </w:tcBorders>
          </w:tcPr>
          <w:p w14:paraId="5E544561">
            <w:pPr>
              <w:widowControl w:val="0"/>
              <w:textAlignment w:val="auto"/>
              <w:rPr>
                <w:rFonts w:ascii="宋体" w:hAnsi="宋体" w:cs="宋体"/>
                <w:color w:val="auto"/>
                <w:sz w:val="36"/>
                <w:szCs w:val="36"/>
              </w:rPr>
            </w:pPr>
          </w:p>
        </w:tc>
      </w:tr>
      <w:tr w14:paraId="0C89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FD654A3">
            <w:pPr>
              <w:widowControl w:val="0"/>
              <w:textAlignment w:val="auto"/>
              <w:rPr>
                <w:rFonts w:ascii="宋体" w:hAnsi="宋体" w:cs="宋体"/>
                <w:color w:val="auto"/>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B9C049E">
            <w:pPr>
              <w:widowControl w:val="0"/>
              <w:textAlignment w:val="auto"/>
              <w:rPr>
                <w:rFonts w:ascii="宋体" w:hAnsi="宋体" w:cs="宋体"/>
                <w:color w:val="auto"/>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67FBF83">
            <w:pPr>
              <w:widowControl w:val="0"/>
              <w:textAlignment w:val="auto"/>
              <w:rPr>
                <w:rFonts w:ascii="宋体" w:hAnsi="宋体" w:cs="宋体"/>
                <w:color w:val="auto"/>
                <w:sz w:val="36"/>
                <w:szCs w:val="36"/>
              </w:rPr>
            </w:pPr>
          </w:p>
        </w:tc>
        <w:tc>
          <w:tcPr>
            <w:tcW w:w="3101" w:type="dxa"/>
            <w:tcBorders>
              <w:top w:val="single" w:color="auto" w:sz="4" w:space="0"/>
              <w:left w:val="single" w:color="auto" w:sz="4" w:space="0"/>
              <w:bottom w:val="single" w:color="auto" w:sz="4" w:space="0"/>
              <w:right w:val="single" w:color="auto" w:sz="4" w:space="0"/>
            </w:tcBorders>
          </w:tcPr>
          <w:p w14:paraId="018A7ABD">
            <w:pPr>
              <w:widowControl w:val="0"/>
              <w:textAlignment w:val="auto"/>
              <w:rPr>
                <w:rFonts w:ascii="宋体" w:hAnsi="宋体" w:cs="宋体"/>
                <w:color w:val="auto"/>
                <w:sz w:val="36"/>
                <w:szCs w:val="36"/>
              </w:rPr>
            </w:pPr>
          </w:p>
        </w:tc>
        <w:tc>
          <w:tcPr>
            <w:tcW w:w="3423" w:type="dxa"/>
            <w:tcBorders>
              <w:top w:val="single" w:color="auto" w:sz="4" w:space="0"/>
              <w:left w:val="single" w:color="auto" w:sz="4" w:space="0"/>
              <w:bottom w:val="single" w:color="auto" w:sz="4" w:space="0"/>
              <w:right w:val="single" w:color="auto" w:sz="4" w:space="0"/>
            </w:tcBorders>
          </w:tcPr>
          <w:p w14:paraId="39ED81AB">
            <w:pPr>
              <w:widowControl w:val="0"/>
              <w:textAlignment w:val="auto"/>
              <w:rPr>
                <w:rFonts w:ascii="宋体" w:hAnsi="宋体" w:cs="宋体"/>
                <w:color w:val="auto"/>
                <w:sz w:val="36"/>
                <w:szCs w:val="36"/>
              </w:rPr>
            </w:pPr>
          </w:p>
        </w:tc>
      </w:tr>
      <w:tr w14:paraId="73EE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F0FF61A">
            <w:pPr>
              <w:widowControl w:val="0"/>
              <w:textAlignment w:val="auto"/>
              <w:rPr>
                <w:rFonts w:ascii="宋体" w:hAnsi="宋体" w:cs="宋体"/>
                <w:color w:val="auto"/>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0E7ACE2">
            <w:pPr>
              <w:widowControl w:val="0"/>
              <w:textAlignment w:val="auto"/>
              <w:rPr>
                <w:rFonts w:ascii="宋体" w:hAnsi="宋体" w:cs="宋体"/>
                <w:color w:val="auto"/>
                <w:sz w:val="36"/>
                <w:szCs w:val="36"/>
              </w:rPr>
            </w:pPr>
          </w:p>
        </w:tc>
        <w:tc>
          <w:tcPr>
            <w:tcW w:w="2330" w:type="dxa"/>
            <w:tcBorders>
              <w:top w:val="single" w:color="auto" w:sz="4" w:space="0"/>
              <w:left w:val="single" w:color="auto" w:sz="4" w:space="0"/>
              <w:bottom w:val="single" w:color="auto" w:sz="4" w:space="0"/>
              <w:right w:val="single" w:color="auto" w:sz="4" w:space="0"/>
            </w:tcBorders>
          </w:tcPr>
          <w:p w14:paraId="7CD6E0F2">
            <w:pPr>
              <w:widowControl w:val="0"/>
              <w:textAlignment w:val="auto"/>
              <w:rPr>
                <w:rFonts w:ascii="宋体" w:hAnsi="宋体" w:cs="宋体"/>
                <w:color w:val="auto"/>
                <w:sz w:val="36"/>
                <w:szCs w:val="36"/>
              </w:rPr>
            </w:pPr>
          </w:p>
        </w:tc>
        <w:tc>
          <w:tcPr>
            <w:tcW w:w="3101" w:type="dxa"/>
            <w:tcBorders>
              <w:top w:val="single" w:color="auto" w:sz="4" w:space="0"/>
              <w:left w:val="single" w:color="auto" w:sz="4" w:space="0"/>
              <w:bottom w:val="single" w:color="auto" w:sz="4" w:space="0"/>
              <w:right w:val="single" w:color="auto" w:sz="4" w:space="0"/>
            </w:tcBorders>
          </w:tcPr>
          <w:p w14:paraId="327363A2">
            <w:pPr>
              <w:widowControl w:val="0"/>
              <w:textAlignment w:val="auto"/>
              <w:rPr>
                <w:rFonts w:ascii="宋体" w:hAnsi="宋体" w:cs="宋体"/>
                <w:color w:val="auto"/>
                <w:sz w:val="36"/>
                <w:szCs w:val="36"/>
              </w:rPr>
            </w:pPr>
          </w:p>
        </w:tc>
        <w:tc>
          <w:tcPr>
            <w:tcW w:w="3423" w:type="dxa"/>
            <w:tcBorders>
              <w:top w:val="single" w:color="auto" w:sz="4" w:space="0"/>
              <w:left w:val="single" w:color="auto" w:sz="4" w:space="0"/>
              <w:bottom w:val="single" w:color="auto" w:sz="4" w:space="0"/>
              <w:right w:val="single" w:color="auto" w:sz="4" w:space="0"/>
            </w:tcBorders>
          </w:tcPr>
          <w:p w14:paraId="7B1BF23B">
            <w:pPr>
              <w:widowControl w:val="0"/>
              <w:textAlignment w:val="auto"/>
              <w:rPr>
                <w:rFonts w:ascii="宋体" w:hAnsi="宋体" w:cs="宋体"/>
                <w:color w:val="auto"/>
                <w:sz w:val="36"/>
                <w:szCs w:val="36"/>
              </w:rPr>
            </w:pPr>
          </w:p>
        </w:tc>
      </w:tr>
      <w:tr w14:paraId="0697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600D0F4">
            <w:pPr>
              <w:widowControl w:val="0"/>
              <w:textAlignment w:val="auto"/>
              <w:rPr>
                <w:rFonts w:ascii="宋体" w:hAnsi="宋体" w:cs="宋体"/>
                <w:color w:val="auto"/>
                <w:sz w:val="36"/>
                <w:szCs w:val="36"/>
              </w:rPr>
            </w:pPr>
          </w:p>
        </w:tc>
        <w:tc>
          <w:tcPr>
            <w:tcW w:w="4297" w:type="dxa"/>
            <w:tcBorders>
              <w:top w:val="single" w:color="auto" w:sz="4" w:space="0"/>
              <w:left w:val="single" w:color="auto" w:sz="4" w:space="0"/>
              <w:bottom w:val="single" w:color="auto" w:sz="4" w:space="0"/>
              <w:right w:val="single" w:color="auto" w:sz="4" w:space="0"/>
            </w:tcBorders>
          </w:tcPr>
          <w:p w14:paraId="57195837">
            <w:pPr>
              <w:widowControl w:val="0"/>
              <w:textAlignment w:val="auto"/>
              <w:rPr>
                <w:rFonts w:ascii="宋体" w:hAnsi="宋体" w:cs="宋体"/>
                <w:color w:val="auto"/>
                <w:sz w:val="36"/>
                <w:szCs w:val="36"/>
              </w:rPr>
            </w:pPr>
          </w:p>
        </w:tc>
        <w:tc>
          <w:tcPr>
            <w:tcW w:w="2330" w:type="dxa"/>
            <w:tcBorders>
              <w:top w:val="single" w:color="auto" w:sz="4" w:space="0"/>
              <w:left w:val="single" w:color="auto" w:sz="4" w:space="0"/>
              <w:bottom w:val="single" w:color="auto" w:sz="4" w:space="0"/>
              <w:right w:val="single" w:color="auto" w:sz="4" w:space="0"/>
            </w:tcBorders>
          </w:tcPr>
          <w:p w14:paraId="7F55C8BF">
            <w:pPr>
              <w:widowControl w:val="0"/>
              <w:textAlignment w:val="auto"/>
              <w:rPr>
                <w:rFonts w:ascii="宋体" w:hAnsi="宋体" w:cs="宋体"/>
                <w:color w:val="auto"/>
                <w:sz w:val="36"/>
                <w:szCs w:val="36"/>
              </w:rPr>
            </w:pPr>
          </w:p>
        </w:tc>
        <w:tc>
          <w:tcPr>
            <w:tcW w:w="3101" w:type="dxa"/>
            <w:tcBorders>
              <w:top w:val="single" w:color="auto" w:sz="4" w:space="0"/>
              <w:left w:val="single" w:color="auto" w:sz="4" w:space="0"/>
              <w:bottom w:val="single" w:color="auto" w:sz="4" w:space="0"/>
              <w:right w:val="single" w:color="auto" w:sz="4" w:space="0"/>
            </w:tcBorders>
          </w:tcPr>
          <w:p w14:paraId="6D246408">
            <w:pPr>
              <w:widowControl w:val="0"/>
              <w:textAlignment w:val="auto"/>
              <w:rPr>
                <w:rFonts w:ascii="宋体" w:hAnsi="宋体" w:cs="宋体"/>
                <w:color w:val="auto"/>
                <w:sz w:val="36"/>
                <w:szCs w:val="36"/>
              </w:rPr>
            </w:pPr>
          </w:p>
        </w:tc>
        <w:tc>
          <w:tcPr>
            <w:tcW w:w="3423" w:type="dxa"/>
            <w:tcBorders>
              <w:top w:val="single" w:color="auto" w:sz="4" w:space="0"/>
              <w:left w:val="single" w:color="auto" w:sz="4" w:space="0"/>
              <w:bottom w:val="single" w:color="auto" w:sz="4" w:space="0"/>
              <w:right w:val="single" w:color="auto" w:sz="4" w:space="0"/>
            </w:tcBorders>
          </w:tcPr>
          <w:p w14:paraId="2CC6C868">
            <w:pPr>
              <w:widowControl w:val="0"/>
              <w:textAlignment w:val="auto"/>
              <w:rPr>
                <w:rFonts w:ascii="宋体" w:hAnsi="宋体" w:cs="宋体"/>
                <w:color w:val="auto"/>
                <w:sz w:val="36"/>
                <w:szCs w:val="36"/>
              </w:rPr>
            </w:pPr>
          </w:p>
        </w:tc>
      </w:tr>
      <w:tr w14:paraId="3BC6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2F755C6">
            <w:pPr>
              <w:widowControl w:val="0"/>
              <w:textAlignment w:val="auto"/>
              <w:rPr>
                <w:rFonts w:ascii="宋体" w:hAnsi="宋体" w:cs="宋体"/>
                <w:color w:val="auto"/>
                <w:sz w:val="36"/>
                <w:szCs w:val="36"/>
              </w:rPr>
            </w:pPr>
          </w:p>
        </w:tc>
        <w:tc>
          <w:tcPr>
            <w:tcW w:w="4297" w:type="dxa"/>
            <w:tcBorders>
              <w:top w:val="single" w:color="auto" w:sz="4" w:space="0"/>
              <w:left w:val="single" w:color="auto" w:sz="4" w:space="0"/>
              <w:bottom w:val="single" w:color="auto" w:sz="4" w:space="0"/>
              <w:right w:val="single" w:color="auto" w:sz="4" w:space="0"/>
            </w:tcBorders>
          </w:tcPr>
          <w:p w14:paraId="4871487D">
            <w:pPr>
              <w:widowControl w:val="0"/>
              <w:textAlignment w:val="auto"/>
              <w:rPr>
                <w:rFonts w:ascii="宋体" w:hAnsi="宋体" w:cs="宋体"/>
                <w:color w:val="auto"/>
                <w:sz w:val="36"/>
                <w:szCs w:val="36"/>
              </w:rPr>
            </w:pPr>
          </w:p>
        </w:tc>
        <w:tc>
          <w:tcPr>
            <w:tcW w:w="2330" w:type="dxa"/>
            <w:tcBorders>
              <w:top w:val="single" w:color="auto" w:sz="4" w:space="0"/>
              <w:left w:val="single" w:color="auto" w:sz="4" w:space="0"/>
              <w:bottom w:val="single" w:color="auto" w:sz="4" w:space="0"/>
              <w:right w:val="single" w:color="auto" w:sz="4" w:space="0"/>
            </w:tcBorders>
          </w:tcPr>
          <w:p w14:paraId="7841B62C">
            <w:pPr>
              <w:widowControl w:val="0"/>
              <w:textAlignment w:val="auto"/>
              <w:rPr>
                <w:rFonts w:ascii="宋体" w:hAnsi="宋体" w:cs="宋体"/>
                <w:color w:val="auto"/>
                <w:sz w:val="36"/>
                <w:szCs w:val="36"/>
              </w:rPr>
            </w:pPr>
          </w:p>
        </w:tc>
        <w:tc>
          <w:tcPr>
            <w:tcW w:w="3101" w:type="dxa"/>
            <w:tcBorders>
              <w:top w:val="single" w:color="auto" w:sz="4" w:space="0"/>
              <w:left w:val="single" w:color="auto" w:sz="4" w:space="0"/>
              <w:bottom w:val="single" w:color="auto" w:sz="4" w:space="0"/>
              <w:right w:val="single" w:color="auto" w:sz="4" w:space="0"/>
            </w:tcBorders>
          </w:tcPr>
          <w:p w14:paraId="247FA577">
            <w:pPr>
              <w:widowControl w:val="0"/>
              <w:textAlignment w:val="auto"/>
              <w:rPr>
                <w:rFonts w:ascii="宋体" w:hAnsi="宋体" w:cs="宋体"/>
                <w:color w:val="auto"/>
                <w:sz w:val="36"/>
                <w:szCs w:val="36"/>
              </w:rPr>
            </w:pPr>
          </w:p>
        </w:tc>
        <w:tc>
          <w:tcPr>
            <w:tcW w:w="3423" w:type="dxa"/>
            <w:tcBorders>
              <w:top w:val="single" w:color="auto" w:sz="4" w:space="0"/>
              <w:left w:val="single" w:color="auto" w:sz="4" w:space="0"/>
              <w:bottom w:val="single" w:color="auto" w:sz="4" w:space="0"/>
              <w:right w:val="single" w:color="auto" w:sz="4" w:space="0"/>
            </w:tcBorders>
          </w:tcPr>
          <w:p w14:paraId="04F67A18">
            <w:pPr>
              <w:widowControl w:val="0"/>
              <w:textAlignment w:val="auto"/>
              <w:rPr>
                <w:rFonts w:ascii="宋体" w:hAnsi="宋体" w:cs="宋体"/>
                <w:color w:val="auto"/>
                <w:sz w:val="36"/>
                <w:szCs w:val="36"/>
              </w:rPr>
            </w:pPr>
          </w:p>
        </w:tc>
      </w:tr>
    </w:tbl>
    <w:p w14:paraId="1E9CC2F7">
      <w:pPr>
        <w:spacing w:line="360" w:lineRule="auto"/>
        <w:rPr>
          <w:rStyle w:val="122"/>
          <w:rFonts w:ascii="宋体" w:hAnsi="宋体"/>
          <w:color w:val="auto"/>
          <w:szCs w:val="21"/>
        </w:rPr>
      </w:pPr>
    </w:p>
    <w:p w14:paraId="1EBA6C78">
      <w:pPr>
        <w:pStyle w:val="31"/>
        <w:rPr>
          <w:color w:val="auto"/>
        </w:rPr>
      </w:pPr>
    </w:p>
    <w:p w14:paraId="16936132">
      <w:pPr>
        <w:spacing w:line="360" w:lineRule="auto"/>
        <w:jc w:val="center"/>
        <w:rPr>
          <w:rStyle w:val="122"/>
          <w:rFonts w:ascii="宋体" w:hAnsi="宋体"/>
          <w:color w:val="auto"/>
          <w:szCs w:val="21"/>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pgMar w:top="1418" w:right="1418" w:bottom="1418" w:left="1418" w:header="851" w:footer="737" w:gutter="0"/>
          <w:pgNumType w:fmt="decimal"/>
          <w:cols w:space="720" w:num="1"/>
          <w:titlePg/>
          <w:docGrid w:type="linesAndChars" w:linePitch="312" w:charSpace="0"/>
        </w:sectPr>
      </w:pPr>
    </w:p>
    <w:p w14:paraId="2620EB0A">
      <w:pPr>
        <w:pStyle w:val="132"/>
        <w:outlineLvl w:val="0"/>
        <w:rPr>
          <w:rStyle w:val="122"/>
          <w:rFonts w:ascii="宋体" w:hAnsi="宋体"/>
          <w:bCs/>
          <w:color w:val="auto"/>
        </w:rPr>
      </w:pPr>
      <w:bookmarkStart w:id="38" w:name="_Toc528"/>
      <w:r>
        <w:rPr>
          <w:rStyle w:val="122"/>
          <w:rFonts w:ascii="宋体" w:hAnsi="宋体"/>
          <w:bCs/>
          <w:color w:val="auto"/>
        </w:rPr>
        <w:t>第三章  合同条款</w:t>
      </w:r>
      <w:bookmarkEnd w:id="38"/>
    </w:p>
    <w:p w14:paraId="2E0B8AE2">
      <w:pPr>
        <w:rPr>
          <w:rStyle w:val="122"/>
          <w:rFonts w:ascii="宋体" w:hAnsi="宋体"/>
          <w:b/>
          <w:color w:val="auto"/>
          <w:sz w:val="24"/>
          <w:szCs w:val="24"/>
        </w:rPr>
      </w:pPr>
      <w:r>
        <w:rPr>
          <w:rStyle w:val="122"/>
          <w:rFonts w:ascii="宋体" w:hAnsi="宋体"/>
          <w:color w:val="auto"/>
          <w:sz w:val="24"/>
          <w:szCs w:val="24"/>
        </w:rPr>
        <w:t>另册。</w:t>
      </w:r>
    </w:p>
    <w:p w14:paraId="5EEEB7D7">
      <w:pPr>
        <w:rPr>
          <w:rStyle w:val="122"/>
          <w:rFonts w:ascii="宋体" w:hAnsi="宋体"/>
          <w:color w:val="auto"/>
          <w:sz w:val="24"/>
          <w:szCs w:val="24"/>
        </w:rPr>
      </w:pPr>
    </w:p>
    <w:p w14:paraId="7F17514D">
      <w:pPr>
        <w:pStyle w:val="115"/>
        <w:spacing w:line="360" w:lineRule="auto"/>
        <w:ind w:firstLine="0"/>
        <w:rPr>
          <w:rStyle w:val="122"/>
          <w:rFonts w:ascii="宋体" w:hAnsi="宋体"/>
          <w:color w:val="auto"/>
          <w:sz w:val="24"/>
          <w:szCs w:val="24"/>
        </w:rPr>
      </w:pPr>
    </w:p>
    <w:p w14:paraId="2269E95C">
      <w:pPr>
        <w:pStyle w:val="46"/>
        <w:spacing w:line="360" w:lineRule="auto"/>
        <w:rPr>
          <w:rStyle w:val="122"/>
          <w:rFonts w:hAnsi="宋体"/>
          <w:color w:val="auto"/>
          <w:sz w:val="24"/>
          <w:szCs w:val="24"/>
        </w:rPr>
      </w:pPr>
    </w:p>
    <w:p w14:paraId="14616A44">
      <w:pPr>
        <w:pStyle w:val="132"/>
        <w:outlineLvl w:val="0"/>
        <w:rPr>
          <w:rStyle w:val="122"/>
          <w:rFonts w:ascii="宋体" w:hAnsi="宋体"/>
          <w:bCs/>
          <w:color w:val="auto"/>
        </w:rPr>
      </w:pPr>
      <w:r>
        <w:rPr>
          <w:rStyle w:val="122"/>
          <w:rFonts w:ascii="宋体" w:hAnsi="宋体"/>
          <w:b w:val="0"/>
          <w:color w:val="auto"/>
        </w:rPr>
        <w:br w:type="page"/>
      </w:r>
      <w:bookmarkStart w:id="39" w:name="_Toc30049"/>
      <w:r>
        <w:rPr>
          <w:rStyle w:val="122"/>
          <w:rFonts w:ascii="宋体" w:hAnsi="宋体"/>
          <w:bCs/>
          <w:color w:val="auto"/>
        </w:rPr>
        <w:t>第四章  投标文件格式</w:t>
      </w:r>
      <w:bookmarkEnd w:id="39"/>
    </w:p>
    <w:p w14:paraId="16E7164A">
      <w:pPr>
        <w:topLinePunct/>
        <w:snapToGrid w:val="0"/>
        <w:spacing w:before="100" w:beforeAutospacing="1" w:after="156" w:line="360" w:lineRule="auto"/>
        <w:jc w:val="center"/>
        <w:rPr>
          <w:rStyle w:val="122"/>
          <w:rFonts w:ascii="宋体" w:hAnsi="宋体"/>
          <w:b/>
          <w:color w:val="auto"/>
          <w:spacing w:val="4"/>
          <w:kern w:val="0"/>
          <w:sz w:val="30"/>
          <w:szCs w:val="30"/>
        </w:rPr>
      </w:pPr>
      <w:r>
        <w:rPr>
          <w:rStyle w:val="122"/>
          <w:rFonts w:ascii="宋体" w:hAnsi="宋体"/>
          <w:b/>
          <w:color w:val="auto"/>
          <w:spacing w:val="4"/>
          <w:kern w:val="0"/>
          <w:sz w:val="30"/>
          <w:szCs w:val="30"/>
        </w:rPr>
        <w:t>一、技术标投标文件格式</w:t>
      </w:r>
    </w:p>
    <w:p w14:paraId="58D47036">
      <w:pPr>
        <w:topLinePunct/>
        <w:snapToGrid w:val="0"/>
        <w:spacing w:before="156" w:after="156" w:line="360" w:lineRule="auto"/>
        <w:jc w:val="left"/>
        <w:rPr>
          <w:rFonts w:ascii="宋体" w:hAnsi="宋体"/>
          <w:b/>
          <w:color w:val="auto"/>
          <w:sz w:val="24"/>
          <w:szCs w:val="24"/>
        </w:rPr>
      </w:pPr>
    </w:p>
    <w:p w14:paraId="4D66A5F5">
      <w:pPr>
        <w:topLinePunct/>
        <w:snapToGrid w:val="0"/>
        <w:spacing w:before="156" w:after="156" w:line="360" w:lineRule="auto"/>
        <w:jc w:val="left"/>
        <w:rPr>
          <w:rStyle w:val="122"/>
          <w:rFonts w:ascii="宋体" w:hAnsi="宋体" w:cs="宋体"/>
          <w:b/>
          <w:bCs/>
          <w:color w:val="auto"/>
          <w:sz w:val="44"/>
          <w:szCs w:val="44"/>
          <w:lang w:val="zh-CN"/>
        </w:rPr>
      </w:pPr>
      <w:r>
        <w:rPr>
          <w:rFonts w:hint="eastAsia" w:ascii="宋体" w:hAnsi="宋体"/>
          <w:b/>
          <w:color w:val="auto"/>
          <w:sz w:val="24"/>
          <w:szCs w:val="24"/>
        </w:rPr>
        <w:t>格式一：广州建设工程施工招标投标书</w:t>
      </w:r>
    </w:p>
    <w:tbl>
      <w:tblPr>
        <w:tblStyle w:val="2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1619"/>
        <w:gridCol w:w="3399"/>
      </w:tblGrid>
      <w:tr w14:paraId="1B42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361" w:type="dxa"/>
            <w:tcBorders>
              <w:top w:val="single" w:color="auto" w:sz="4" w:space="0"/>
              <w:left w:val="single" w:color="auto" w:sz="4" w:space="0"/>
              <w:bottom w:val="single" w:color="auto" w:sz="4" w:space="0"/>
              <w:right w:val="single" w:color="auto" w:sz="4" w:space="0"/>
            </w:tcBorders>
            <w:vAlign w:val="center"/>
          </w:tcPr>
          <w:p w14:paraId="6DFF0C6B">
            <w:pPr>
              <w:widowControl w:val="0"/>
              <w:autoSpaceDE w:val="0"/>
              <w:autoSpaceDN w:val="0"/>
              <w:adjustRightInd w:val="0"/>
              <w:jc w:val="center"/>
              <w:textAlignment w:val="auto"/>
              <w:rPr>
                <w:rFonts w:ascii="宋体" w:hAnsi="宋体" w:cs="宋体"/>
                <w:b/>
                <w:bCs/>
                <w:color w:val="auto"/>
                <w:sz w:val="24"/>
                <w:szCs w:val="24"/>
                <w:lang w:val="zh-CN"/>
              </w:rPr>
            </w:pPr>
            <w:r>
              <w:rPr>
                <w:rFonts w:hint="eastAsia" w:ascii="宋体" w:hAnsi="宋体" w:cs="宋体"/>
                <w:b/>
                <w:color w:val="auto"/>
                <w:sz w:val="24"/>
                <w:szCs w:val="24"/>
                <w:lang w:val="zh-CN"/>
              </w:rPr>
              <w:t>工 程 名 称</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1101291D">
            <w:pPr>
              <w:widowControl w:val="0"/>
              <w:autoSpaceDE w:val="0"/>
              <w:autoSpaceDN w:val="0"/>
              <w:adjustRightInd w:val="0"/>
              <w:textAlignment w:val="auto"/>
              <w:rPr>
                <w:rFonts w:ascii="宋体" w:hAnsi="宋体" w:cs="宋体"/>
                <w:b/>
                <w:bCs/>
                <w:color w:val="auto"/>
                <w:sz w:val="24"/>
                <w:szCs w:val="24"/>
                <w:lang w:val="zh-CN"/>
              </w:rPr>
            </w:pPr>
          </w:p>
        </w:tc>
      </w:tr>
      <w:tr w14:paraId="22E9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361" w:type="dxa"/>
            <w:tcBorders>
              <w:top w:val="single" w:color="auto" w:sz="4" w:space="0"/>
              <w:left w:val="single" w:color="auto" w:sz="4" w:space="0"/>
              <w:bottom w:val="single" w:color="auto" w:sz="4" w:space="0"/>
              <w:right w:val="single" w:color="auto" w:sz="4" w:space="0"/>
            </w:tcBorders>
            <w:vAlign w:val="center"/>
          </w:tcPr>
          <w:p w14:paraId="6C194461">
            <w:pPr>
              <w:widowControl w:val="0"/>
              <w:autoSpaceDE w:val="0"/>
              <w:autoSpaceDN w:val="0"/>
              <w:adjustRightInd w:val="0"/>
              <w:jc w:val="center"/>
              <w:textAlignment w:val="auto"/>
              <w:rPr>
                <w:rFonts w:ascii="宋体" w:hAnsi="宋体" w:cs="宋体"/>
                <w:b/>
                <w:bCs/>
                <w:color w:val="auto"/>
                <w:sz w:val="24"/>
                <w:szCs w:val="24"/>
                <w:lang w:val="zh-CN"/>
              </w:rPr>
            </w:pPr>
            <w:r>
              <w:rPr>
                <w:rFonts w:hint="eastAsia" w:ascii="宋体" w:hAnsi="宋体" w:cs="宋体"/>
                <w:b/>
                <w:color w:val="auto"/>
                <w:sz w:val="24"/>
                <w:szCs w:val="24"/>
                <w:lang w:val="zh-CN"/>
              </w:rPr>
              <w:t>投标总报价（元）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52FE2E80">
            <w:pPr>
              <w:widowControl w:val="0"/>
              <w:autoSpaceDE w:val="0"/>
              <w:autoSpaceDN w:val="0"/>
              <w:adjustRightInd w:val="0"/>
              <w:textAlignment w:val="auto"/>
              <w:rPr>
                <w:rFonts w:ascii="宋体" w:hAnsi="宋体" w:cs="宋体"/>
                <w:b/>
                <w:bCs/>
                <w:color w:val="auto"/>
                <w:sz w:val="24"/>
                <w:szCs w:val="24"/>
                <w:lang w:val="zh-CN"/>
              </w:rPr>
            </w:pPr>
          </w:p>
        </w:tc>
      </w:tr>
      <w:tr w14:paraId="4FBF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361" w:type="dxa"/>
            <w:tcBorders>
              <w:top w:val="single" w:color="auto" w:sz="4" w:space="0"/>
              <w:left w:val="single" w:color="auto" w:sz="4" w:space="0"/>
              <w:bottom w:val="single" w:color="auto" w:sz="4" w:space="0"/>
              <w:right w:val="single" w:color="auto" w:sz="4" w:space="0"/>
            </w:tcBorders>
            <w:vAlign w:val="center"/>
          </w:tcPr>
          <w:p w14:paraId="41A26137">
            <w:pPr>
              <w:widowControl w:val="0"/>
              <w:autoSpaceDE w:val="0"/>
              <w:autoSpaceDN w:val="0"/>
              <w:adjustRightInd w:val="0"/>
              <w:jc w:val="center"/>
              <w:textAlignment w:val="auto"/>
              <w:rPr>
                <w:rFonts w:ascii="宋体" w:hAnsi="宋体" w:cs="宋体"/>
                <w:b/>
                <w:bCs/>
                <w:color w:val="auto"/>
                <w:sz w:val="24"/>
                <w:szCs w:val="24"/>
                <w:lang w:val="zh-CN"/>
              </w:rPr>
            </w:pPr>
            <w:r>
              <w:rPr>
                <w:rFonts w:hint="eastAsia" w:ascii="宋体" w:hAnsi="宋体" w:cs="宋体"/>
                <w:b/>
                <w:color w:val="auto"/>
                <w:sz w:val="24"/>
                <w:szCs w:val="24"/>
                <w:lang w:val="zh-CN"/>
              </w:rPr>
              <w:t>其中：</w:t>
            </w:r>
            <w:r>
              <w:rPr>
                <w:rFonts w:hint="eastAsia" w:ascii="宋体" w:hAnsi="宋体" w:cs="宋体"/>
                <w:b/>
                <w:bCs/>
                <w:color w:val="auto"/>
                <w:sz w:val="24"/>
                <w:szCs w:val="24"/>
                <w:lang w:val="zh-CN"/>
              </w:rPr>
              <w:t>人工费</w:t>
            </w:r>
            <w:r>
              <w:rPr>
                <w:rFonts w:hint="eastAsia" w:ascii="宋体" w:hAnsi="宋体" w:cs="宋体"/>
                <w:b/>
                <w:color w:val="auto"/>
                <w:sz w:val="24"/>
                <w:szCs w:val="24"/>
                <w:lang w:val="zh-CN"/>
              </w:rPr>
              <w:t>（元）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2AC65D26">
            <w:pPr>
              <w:widowControl w:val="0"/>
              <w:autoSpaceDE w:val="0"/>
              <w:autoSpaceDN w:val="0"/>
              <w:adjustRightInd w:val="0"/>
              <w:textAlignment w:val="auto"/>
              <w:rPr>
                <w:rFonts w:ascii="宋体" w:hAnsi="宋体" w:cs="宋体"/>
                <w:b/>
                <w:bCs/>
                <w:color w:val="auto"/>
                <w:sz w:val="24"/>
                <w:szCs w:val="24"/>
                <w:lang w:val="zh-CN"/>
              </w:rPr>
            </w:pPr>
          </w:p>
        </w:tc>
      </w:tr>
      <w:tr w14:paraId="525F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361" w:type="dxa"/>
            <w:tcBorders>
              <w:top w:val="single" w:color="auto" w:sz="4" w:space="0"/>
              <w:left w:val="single" w:color="auto" w:sz="4" w:space="0"/>
              <w:bottom w:val="single" w:color="auto" w:sz="4" w:space="0"/>
              <w:right w:val="single" w:color="auto" w:sz="4" w:space="0"/>
            </w:tcBorders>
            <w:vAlign w:val="center"/>
          </w:tcPr>
          <w:p w14:paraId="04DDCFDA">
            <w:pPr>
              <w:jc w:val="center"/>
              <w:textAlignment w:val="auto"/>
              <w:rPr>
                <w:rFonts w:ascii="宋体" w:hAnsi="宋体" w:cs="宋体"/>
                <w:b/>
                <w:bCs/>
                <w:color w:val="auto"/>
                <w:sz w:val="24"/>
                <w:szCs w:val="24"/>
                <w:lang w:val="zh-CN"/>
              </w:rPr>
            </w:pPr>
            <w:r>
              <w:rPr>
                <w:rFonts w:hint="eastAsia" w:ascii="宋体" w:hAnsi="宋体" w:cs="宋体"/>
                <w:b/>
                <w:bCs/>
                <w:color w:val="auto"/>
                <w:sz w:val="24"/>
                <w:szCs w:val="24"/>
                <w:lang w:val="zh-CN"/>
              </w:rPr>
              <w:t>其中：</w:t>
            </w:r>
            <w:r>
              <w:rPr>
                <w:rFonts w:hint="eastAsia" w:ascii="宋体" w:hAnsi="宋体" w:cs="宋体"/>
                <w:b/>
                <w:color w:val="auto"/>
                <w:sz w:val="24"/>
                <w:szCs w:val="24"/>
                <w:lang w:val="zh-CN"/>
              </w:rPr>
              <w:t>绿色施工安全防护措施费（元）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2AFDC751">
            <w:pPr>
              <w:widowControl w:val="0"/>
              <w:autoSpaceDE w:val="0"/>
              <w:autoSpaceDN w:val="0"/>
              <w:adjustRightInd w:val="0"/>
              <w:textAlignment w:val="auto"/>
              <w:rPr>
                <w:rFonts w:ascii="宋体" w:hAnsi="宋体" w:cs="宋体"/>
                <w:b/>
                <w:bCs/>
                <w:color w:val="auto"/>
                <w:sz w:val="24"/>
                <w:szCs w:val="24"/>
                <w:lang w:val="zh-CN"/>
              </w:rPr>
            </w:pPr>
          </w:p>
        </w:tc>
      </w:tr>
      <w:tr w14:paraId="63C0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361" w:type="dxa"/>
            <w:tcBorders>
              <w:top w:val="single" w:color="auto" w:sz="4" w:space="0"/>
              <w:left w:val="single" w:color="auto" w:sz="4" w:space="0"/>
              <w:bottom w:val="single" w:color="auto" w:sz="4" w:space="0"/>
              <w:right w:val="single" w:color="auto" w:sz="4" w:space="0"/>
            </w:tcBorders>
            <w:vAlign w:val="center"/>
          </w:tcPr>
          <w:p w14:paraId="2814068E">
            <w:pPr>
              <w:jc w:val="center"/>
              <w:textAlignment w:val="auto"/>
              <w:rPr>
                <w:rFonts w:ascii="宋体" w:hAnsi="宋体" w:cs="宋体"/>
                <w:b/>
                <w:bCs/>
                <w:color w:val="auto"/>
                <w:sz w:val="24"/>
                <w:szCs w:val="24"/>
              </w:rPr>
            </w:pPr>
            <w:r>
              <w:rPr>
                <w:rFonts w:hint="eastAsia" w:ascii="宋体" w:hAnsi="宋体" w:cs="宋体"/>
                <w:b/>
                <w:bCs/>
                <w:color w:val="auto"/>
                <w:sz w:val="24"/>
                <w:szCs w:val="24"/>
              </w:rPr>
              <w:t>其中：暂列金额（元）</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595615B3">
            <w:pPr>
              <w:widowControl w:val="0"/>
              <w:autoSpaceDE w:val="0"/>
              <w:autoSpaceDN w:val="0"/>
              <w:adjustRightInd w:val="0"/>
              <w:textAlignment w:val="auto"/>
              <w:rPr>
                <w:rFonts w:ascii="宋体" w:hAnsi="宋体" w:cs="宋体"/>
                <w:b/>
                <w:bCs/>
                <w:color w:val="auto"/>
                <w:sz w:val="24"/>
                <w:szCs w:val="24"/>
                <w:lang w:val="zh-CN"/>
              </w:rPr>
            </w:pPr>
          </w:p>
        </w:tc>
      </w:tr>
      <w:tr w14:paraId="7BB0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361" w:type="dxa"/>
            <w:tcBorders>
              <w:top w:val="single" w:color="auto" w:sz="4" w:space="0"/>
              <w:left w:val="single" w:color="auto" w:sz="4" w:space="0"/>
              <w:bottom w:val="single" w:color="auto" w:sz="4" w:space="0"/>
              <w:right w:val="single" w:color="auto" w:sz="4" w:space="0"/>
            </w:tcBorders>
            <w:vAlign w:val="center"/>
          </w:tcPr>
          <w:p w14:paraId="3166D332">
            <w:pPr>
              <w:widowControl w:val="0"/>
              <w:jc w:val="center"/>
              <w:textAlignment w:val="auto"/>
              <w:rPr>
                <w:rFonts w:ascii="宋体" w:hAnsi="宋体" w:cs="宋体"/>
                <w:b/>
                <w:color w:val="auto"/>
                <w:sz w:val="24"/>
                <w:szCs w:val="24"/>
                <w:lang w:val="zh-CN"/>
              </w:rPr>
            </w:pPr>
            <w:r>
              <w:rPr>
                <w:rFonts w:hint="eastAsia" w:ascii="宋体" w:hAnsi="宋体" w:cs="宋体"/>
                <w:b/>
                <w:color w:val="auto"/>
                <w:sz w:val="24"/>
                <w:szCs w:val="24"/>
                <w:lang w:val="zh-CN"/>
              </w:rPr>
              <w:t>投标总工期</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0987E6E5">
            <w:pPr>
              <w:widowControl w:val="0"/>
              <w:autoSpaceDE w:val="0"/>
              <w:autoSpaceDN w:val="0"/>
              <w:adjustRightInd w:val="0"/>
              <w:textAlignment w:val="auto"/>
              <w:rPr>
                <w:rFonts w:ascii="宋体" w:hAnsi="宋体" w:cs="宋体"/>
                <w:b/>
                <w:bCs/>
                <w:color w:val="auto"/>
                <w:sz w:val="24"/>
                <w:szCs w:val="24"/>
                <w:lang w:val="zh-CN"/>
              </w:rPr>
            </w:pPr>
          </w:p>
        </w:tc>
      </w:tr>
      <w:tr w14:paraId="5E80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361" w:type="dxa"/>
            <w:tcBorders>
              <w:top w:val="single" w:color="auto" w:sz="4" w:space="0"/>
              <w:left w:val="single" w:color="auto" w:sz="4" w:space="0"/>
              <w:bottom w:val="single" w:color="auto" w:sz="4" w:space="0"/>
              <w:right w:val="single" w:color="auto" w:sz="4" w:space="0"/>
            </w:tcBorders>
            <w:vAlign w:val="center"/>
          </w:tcPr>
          <w:p w14:paraId="1E11B7F8">
            <w:pPr>
              <w:widowControl w:val="0"/>
              <w:jc w:val="center"/>
              <w:textAlignment w:val="auto"/>
              <w:rPr>
                <w:rFonts w:ascii="宋体" w:hAnsi="宋体" w:cs="宋体"/>
                <w:b/>
                <w:color w:val="auto"/>
                <w:sz w:val="24"/>
                <w:szCs w:val="24"/>
                <w:lang w:val="zh-CN"/>
              </w:rPr>
            </w:pPr>
            <w:r>
              <w:rPr>
                <w:rFonts w:hint="eastAsia" w:ascii="宋体" w:hAnsi="宋体" w:cs="宋体"/>
                <w:b/>
                <w:color w:val="auto"/>
                <w:sz w:val="24"/>
                <w:szCs w:val="24"/>
                <w:lang w:val="zh-CN"/>
              </w:rPr>
              <w:t>工程质量标准</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4A1F468E">
            <w:pPr>
              <w:widowControl w:val="0"/>
              <w:autoSpaceDE w:val="0"/>
              <w:autoSpaceDN w:val="0"/>
              <w:adjustRightInd w:val="0"/>
              <w:textAlignment w:val="auto"/>
              <w:rPr>
                <w:rFonts w:ascii="宋体" w:hAnsi="宋体" w:cs="宋体"/>
                <w:b/>
                <w:bCs/>
                <w:color w:val="auto"/>
                <w:sz w:val="24"/>
                <w:szCs w:val="24"/>
                <w:lang w:val="zh-CN"/>
              </w:rPr>
            </w:pPr>
          </w:p>
        </w:tc>
      </w:tr>
      <w:tr w14:paraId="7B98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361" w:type="dxa"/>
            <w:tcBorders>
              <w:top w:val="single" w:color="auto" w:sz="4" w:space="0"/>
              <w:left w:val="single" w:color="auto" w:sz="4" w:space="0"/>
              <w:bottom w:val="single" w:color="auto" w:sz="4" w:space="0"/>
              <w:right w:val="single" w:color="auto" w:sz="4" w:space="0"/>
            </w:tcBorders>
            <w:vAlign w:val="center"/>
          </w:tcPr>
          <w:p w14:paraId="5E36F8A8">
            <w:pPr>
              <w:widowControl w:val="0"/>
              <w:jc w:val="center"/>
              <w:textAlignment w:val="auto"/>
              <w:rPr>
                <w:rFonts w:ascii="宋体" w:hAnsi="宋体" w:cs="宋体"/>
                <w:b/>
                <w:color w:val="auto"/>
                <w:sz w:val="24"/>
                <w:szCs w:val="24"/>
                <w:lang w:val="zh-CN"/>
              </w:rPr>
            </w:pPr>
            <w:r>
              <w:rPr>
                <w:rFonts w:hint="eastAsia" w:ascii="宋体" w:hAnsi="宋体" w:cs="宋体"/>
                <w:b/>
                <w:color w:val="auto"/>
                <w:sz w:val="24"/>
                <w:szCs w:val="24"/>
                <w:lang w:val="zh-CN"/>
              </w:rPr>
              <w:t>保修期限</w:t>
            </w:r>
          </w:p>
        </w:tc>
        <w:tc>
          <w:tcPr>
            <w:tcW w:w="5018" w:type="dxa"/>
            <w:gridSpan w:val="2"/>
            <w:tcBorders>
              <w:top w:val="single" w:color="auto" w:sz="4" w:space="0"/>
              <w:left w:val="single" w:color="auto" w:sz="4" w:space="0"/>
              <w:bottom w:val="single" w:color="auto" w:sz="4" w:space="0"/>
              <w:right w:val="single" w:color="auto" w:sz="4" w:space="0"/>
            </w:tcBorders>
            <w:vAlign w:val="center"/>
          </w:tcPr>
          <w:p w14:paraId="412E0FE8">
            <w:pPr>
              <w:widowControl w:val="0"/>
              <w:autoSpaceDE w:val="0"/>
              <w:autoSpaceDN w:val="0"/>
              <w:adjustRightInd w:val="0"/>
              <w:textAlignment w:val="auto"/>
              <w:rPr>
                <w:rFonts w:ascii="宋体" w:hAnsi="宋体" w:cs="宋体"/>
                <w:b/>
                <w:bCs/>
                <w:color w:val="auto"/>
                <w:sz w:val="24"/>
                <w:szCs w:val="24"/>
                <w:lang w:val="zh-CN"/>
              </w:rPr>
            </w:pPr>
          </w:p>
        </w:tc>
      </w:tr>
      <w:tr w14:paraId="4088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361" w:type="dxa"/>
            <w:tcBorders>
              <w:top w:val="single" w:color="auto" w:sz="4" w:space="0"/>
              <w:left w:val="single" w:color="auto" w:sz="4" w:space="0"/>
              <w:bottom w:val="single" w:color="auto" w:sz="4" w:space="0"/>
              <w:right w:val="single" w:color="auto" w:sz="4" w:space="0"/>
            </w:tcBorders>
            <w:vAlign w:val="center"/>
          </w:tcPr>
          <w:p w14:paraId="4BC5A577">
            <w:pPr>
              <w:widowControl w:val="0"/>
              <w:jc w:val="center"/>
              <w:textAlignment w:val="auto"/>
              <w:rPr>
                <w:rFonts w:ascii="宋体" w:hAnsi="宋体" w:cs="宋体"/>
                <w:b/>
                <w:color w:val="auto"/>
                <w:sz w:val="24"/>
                <w:szCs w:val="24"/>
                <w:u w:val="single"/>
                <w:lang w:val="zh-CN"/>
              </w:rPr>
            </w:pPr>
            <w:r>
              <w:rPr>
                <w:rFonts w:hint="eastAsia" w:ascii="宋体" w:hAnsi="宋体" w:cs="宋体"/>
                <w:b/>
                <w:color w:val="auto"/>
                <w:sz w:val="24"/>
                <w:szCs w:val="24"/>
                <w:u w:val="single"/>
                <w:lang w:val="zh-CN"/>
              </w:rPr>
              <w:t>委派的项目负责人</w:t>
            </w:r>
          </w:p>
        </w:tc>
        <w:tc>
          <w:tcPr>
            <w:tcW w:w="1619" w:type="dxa"/>
            <w:tcBorders>
              <w:top w:val="single" w:color="auto" w:sz="4" w:space="0"/>
              <w:left w:val="single" w:color="auto" w:sz="4" w:space="0"/>
              <w:bottom w:val="single" w:color="auto" w:sz="4" w:space="0"/>
              <w:right w:val="single" w:color="auto" w:sz="4" w:space="0"/>
            </w:tcBorders>
            <w:vAlign w:val="center"/>
          </w:tcPr>
          <w:p w14:paraId="7AC33009">
            <w:pPr>
              <w:widowControl w:val="0"/>
              <w:autoSpaceDE w:val="0"/>
              <w:autoSpaceDN w:val="0"/>
              <w:adjustRightInd w:val="0"/>
              <w:jc w:val="center"/>
              <w:textAlignment w:val="auto"/>
              <w:rPr>
                <w:rFonts w:ascii="宋体" w:hAnsi="宋体" w:cs="宋体"/>
                <w:b/>
                <w:bCs/>
                <w:color w:val="auto"/>
                <w:sz w:val="24"/>
                <w:szCs w:val="24"/>
                <w:u w:val="single"/>
              </w:rPr>
            </w:pPr>
            <w:r>
              <w:rPr>
                <w:rFonts w:hint="eastAsia" w:ascii="宋体" w:hAnsi="宋体" w:cs="宋体"/>
                <w:b/>
                <w:bCs/>
                <w:color w:val="auto"/>
                <w:sz w:val="24"/>
                <w:szCs w:val="24"/>
                <w:u w:val="single"/>
              </w:rPr>
              <w:t>姓名</w:t>
            </w:r>
          </w:p>
        </w:tc>
        <w:tc>
          <w:tcPr>
            <w:tcW w:w="3399" w:type="dxa"/>
            <w:tcBorders>
              <w:top w:val="single" w:color="auto" w:sz="4" w:space="0"/>
              <w:left w:val="single" w:color="auto" w:sz="4" w:space="0"/>
              <w:bottom w:val="single" w:color="auto" w:sz="4" w:space="0"/>
              <w:right w:val="single" w:color="auto" w:sz="4" w:space="0"/>
            </w:tcBorders>
          </w:tcPr>
          <w:p w14:paraId="7F150E93">
            <w:pPr>
              <w:widowControl w:val="0"/>
              <w:autoSpaceDE w:val="0"/>
              <w:autoSpaceDN w:val="0"/>
              <w:adjustRightInd w:val="0"/>
              <w:textAlignment w:val="auto"/>
              <w:rPr>
                <w:rFonts w:ascii="宋体" w:hAnsi="宋体" w:cs="宋体"/>
                <w:b/>
                <w:bCs/>
                <w:color w:val="auto"/>
                <w:sz w:val="24"/>
                <w:szCs w:val="24"/>
                <w:lang w:val="zh-CN"/>
              </w:rPr>
            </w:pPr>
          </w:p>
        </w:tc>
      </w:tr>
      <w:tr w14:paraId="21A1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361" w:type="dxa"/>
            <w:tcBorders>
              <w:top w:val="single" w:color="auto" w:sz="4" w:space="0"/>
              <w:left w:val="single" w:color="auto" w:sz="4" w:space="0"/>
              <w:bottom w:val="single" w:color="auto" w:sz="4" w:space="0"/>
              <w:right w:val="single" w:color="auto" w:sz="4" w:space="0"/>
            </w:tcBorders>
            <w:vAlign w:val="center"/>
          </w:tcPr>
          <w:p w14:paraId="0FC0D8F1">
            <w:pPr>
              <w:widowControl w:val="0"/>
              <w:jc w:val="center"/>
              <w:textAlignment w:val="auto"/>
              <w:rPr>
                <w:rFonts w:ascii="宋体" w:hAnsi="宋体" w:cs="宋体"/>
                <w:b/>
                <w:color w:val="auto"/>
                <w:sz w:val="24"/>
                <w:szCs w:val="24"/>
                <w:u w:val="single"/>
                <w:lang w:val="zh-CN"/>
              </w:rPr>
            </w:pPr>
            <w:r>
              <w:rPr>
                <w:rFonts w:hint="eastAsia" w:ascii="宋体" w:hAnsi="宋体" w:cs="宋体"/>
                <w:b/>
                <w:color w:val="auto"/>
                <w:sz w:val="24"/>
                <w:szCs w:val="24"/>
                <w:u w:val="single"/>
                <w:lang w:val="zh-CN"/>
              </w:rPr>
              <w:t>委派的专职安全员</w:t>
            </w:r>
          </w:p>
        </w:tc>
        <w:tc>
          <w:tcPr>
            <w:tcW w:w="1619" w:type="dxa"/>
            <w:tcBorders>
              <w:top w:val="single" w:color="auto" w:sz="4" w:space="0"/>
              <w:left w:val="single" w:color="auto" w:sz="4" w:space="0"/>
              <w:bottom w:val="single" w:color="auto" w:sz="4" w:space="0"/>
              <w:right w:val="single" w:color="auto" w:sz="4" w:space="0"/>
            </w:tcBorders>
            <w:vAlign w:val="center"/>
          </w:tcPr>
          <w:p w14:paraId="58937734">
            <w:pPr>
              <w:widowControl w:val="0"/>
              <w:autoSpaceDE w:val="0"/>
              <w:autoSpaceDN w:val="0"/>
              <w:adjustRightInd w:val="0"/>
              <w:jc w:val="center"/>
              <w:textAlignment w:val="auto"/>
              <w:rPr>
                <w:rFonts w:ascii="宋体" w:hAnsi="宋体" w:cs="宋体"/>
                <w:b/>
                <w:bCs/>
                <w:color w:val="auto"/>
                <w:sz w:val="24"/>
                <w:szCs w:val="24"/>
                <w:u w:val="single"/>
                <w:lang w:val="zh-CN"/>
              </w:rPr>
            </w:pPr>
            <w:r>
              <w:rPr>
                <w:rFonts w:hint="eastAsia" w:ascii="宋体" w:hAnsi="宋体" w:cs="宋体"/>
                <w:b/>
                <w:bCs/>
                <w:color w:val="auto"/>
                <w:sz w:val="24"/>
                <w:szCs w:val="24"/>
                <w:u w:val="single"/>
              </w:rPr>
              <w:t>姓名</w:t>
            </w:r>
          </w:p>
        </w:tc>
        <w:tc>
          <w:tcPr>
            <w:tcW w:w="3399" w:type="dxa"/>
            <w:tcBorders>
              <w:top w:val="single" w:color="auto" w:sz="4" w:space="0"/>
              <w:left w:val="single" w:color="auto" w:sz="4" w:space="0"/>
              <w:bottom w:val="single" w:color="auto" w:sz="4" w:space="0"/>
              <w:right w:val="single" w:color="auto" w:sz="4" w:space="0"/>
            </w:tcBorders>
          </w:tcPr>
          <w:p w14:paraId="739B741F">
            <w:pPr>
              <w:widowControl w:val="0"/>
              <w:autoSpaceDE w:val="0"/>
              <w:autoSpaceDN w:val="0"/>
              <w:adjustRightInd w:val="0"/>
              <w:textAlignment w:val="auto"/>
              <w:rPr>
                <w:rFonts w:ascii="宋体" w:hAnsi="宋体" w:cs="宋体"/>
                <w:b/>
                <w:bCs/>
                <w:color w:val="auto"/>
                <w:sz w:val="24"/>
                <w:szCs w:val="24"/>
                <w:lang w:val="zh-CN"/>
              </w:rPr>
            </w:pPr>
          </w:p>
        </w:tc>
      </w:tr>
    </w:tbl>
    <w:p w14:paraId="4F2C2A76">
      <w:pPr>
        <w:spacing w:line="360" w:lineRule="auto"/>
        <w:rPr>
          <w:rStyle w:val="122"/>
          <w:rFonts w:ascii="宋体" w:hAnsi="宋体"/>
          <w:b/>
          <w:color w:val="auto"/>
        </w:rPr>
      </w:pPr>
      <w:r>
        <w:rPr>
          <w:rStyle w:val="122"/>
          <w:rFonts w:ascii="宋体" w:hAnsi="宋体"/>
          <w:color w:val="auto"/>
          <w:sz w:val="24"/>
          <w:szCs w:val="24"/>
        </w:rPr>
        <w:br w:type="page"/>
      </w:r>
      <w:r>
        <w:rPr>
          <w:rStyle w:val="122"/>
          <w:rFonts w:ascii="宋体" w:hAnsi="宋体"/>
          <w:b/>
          <w:color w:val="auto"/>
          <w:sz w:val="24"/>
          <w:szCs w:val="24"/>
        </w:rPr>
        <w:t>格式</w:t>
      </w:r>
      <w:r>
        <w:rPr>
          <w:rStyle w:val="122"/>
          <w:rFonts w:hint="eastAsia" w:ascii="宋体" w:hAnsi="宋体"/>
          <w:b/>
          <w:color w:val="auto"/>
          <w:sz w:val="24"/>
          <w:szCs w:val="24"/>
        </w:rPr>
        <w:t>二：</w:t>
      </w:r>
    </w:p>
    <w:p w14:paraId="75F98AF0">
      <w:pPr>
        <w:pStyle w:val="153"/>
        <w:ind w:firstLine="496"/>
        <w:rPr>
          <w:rStyle w:val="122"/>
          <w:rFonts w:ascii="宋体" w:hAnsi="宋体"/>
          <w:color w:val="auto"/>
        </w:rPr>
      </w:pPr>
    </w:p>
    <w:p w14:paraId="39F2E8D7">
      <w:pPr>
        <w:topLinePunct/>
        <w:snapToGrid w:val="0"/>
        <w:spacing w:after="200" w:line="360" w:lineRule="auto"/>
        <w:jc w:val="center"/>
        <w:rPr>
          <w:rStyle w:val="122"/>
          <w:rFonts w:ascii="宋体" w:hAnsi="宋体"/>
          <w:b/>
          <w:bCs/>
          <w:color w:val="auto"/>
          <w:spacing w:val="4"/>
          <w:kern w:val="0"/>
          <w:sz w:val="30"/>
          <w:szCs w:val="30"/>
        </w:rPr>
      </w:pPr>
      <w:r>
        <w:rPr>
          <w:rStyle w:val="122"/>
          <w:rFonts w:ascii="宋体" w:hAnsi="宋体"/>
          <w:b/>
          <w:bCs/>
          <w:color w:val="auto"/>
          <w:spacing w:val="4"/>
          <w:kern w:val="0"/>
          <w:sz w:val="30"/>
          <w:szCs w:val="30"/>
        </w:rPr>
        <w:t>参与编制技术标投标文件人员名单</w:t>
      </w:r>
    </w:p>
    <w:tbl>
      <w:tblPr>
        <w:tblStyle w:val="2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372"/>
        <w:gridCol w:w="2353"/>
        <w:gridCol w:w="2256"/>
        <w:gridCol w:w="1350"/>
      </w:tblGrid>
      <w:tr w14:paraId="7A27D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14:paraId="2CA8036E">
            <w:pPr>
              <w:tabs>
                <w:tab w:val="left" w:pos="720"/>
              </w:tabs>
              <w:snapToGrid w:val="0"/>
              <w:spacing w:line="360" w:lineRule="auto"/>
              <w:jc w:val="center"/>
              <w:rPr>
                <w:rStyle w:val="122"/>
                <w:rFonts w:ascii="宋体" w:hAnsi="宋体"/>
                <w:color w:val="auto"/>
                <w:sz w:val="24"/>
                <w:szCs w:val="24"/>
              </w:rPr>
            </w:pPr>
            <w:r>
              <w:rPr>
                <w:rStyle w:val="122"/>
                <w:rFonts w:ascii="宋体" w:hAnsi="宋体"/>
                <w:color w:val="auto"/>
                <w:sz w:val="24"/>
                <w:szCs w:val="24"/>
              </w:rPr>
              <w:t>投标单位名称</w:t>
            </w:r>
          </w:p>
        </w:tc>
      </w:tr>
      <w:tr w14:paraId="448B9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2105B027">
            <w:pPr>
              <w:tabs>
                <w:tab w:val="left" w:pos="720"/>
              </w:tabs>
              <w:snapToGrid w:val="0"/>
              <w:spacing w:line="360" w:lineRule="auto"/>
              <w:jc w:val="center"/>
              <w:rPr>
                <w:rStyle w:val="122"/>
                <w:rFonts w:ascii="宋体" w:hAnsi="宋体"/>
                <w:color w:val="auto"/>
                <w:sz w:val="24"/>
                <w:szCs w:val="24"/>
              </w:rPr>
            </w:pPr>
            <w:r>
              <w:rPr>
                <w:rStyle w:val="122"/>
                <w:rFonts w:ascii="宋体" w:hAnsi="宋体"/>
                <w:color w:val="auto"/>
                <w:sz w:val="24"/>
                <w:szCs w:val="24"/>
              </w:rPr>
              <w:t>姓名</w:t>
            </w:r>
          </w:p>
        </w:tc>
        <w:tc>
          <w:tcPr>
            <w:tcW w:w="1372" w:type="dxa"/>
            <w:tcBorders>
              <w:top w:val="single" w:color="000000" w:sz="4" w:space="0"/>
              <w:left w:val="single" w:color="000000" w:sz="4" w:space="0"/>
              <w:bottom w:val="single" w:color="000000" w:sz="4" w:space="0"/>
              <w:right w:val="single" w:color="000000" w:sz="4" w:space="0"/>
            </w:tcBorders>
            <w:vAlign w:val="center"/>
          </w:tcPr>
          <w:p w14:paraId="08DA6864">
            <w:pPr>
              <w:tabs>
                <w:tab w:val="left" w:pos="720"/>
              </w:tabs>
              <w:snapToGrid w:val="0"/>
              <w:spacing w:line="360" w:lineRule="auto"/>
              <w:jc w:val="center"/>
              <w:rPr>
                <w:rStyle w:val="122"/>
                <w:rFonts w:ascii="宋体" w:hAnsi="宋体"/>
                <w:color w:val="auto"/>
                <w:sz w:val="24"/>
                <w:szCs w:val="24"/>
              </w:rPr>
            </w:pPr>
            <w:r>
              <w:rPr>
                <w:rStyle w:val="122"/>
                <w:rFonts w:ascii="宋体" w:hAnsi="宋体"/>
                <w:color w:val="auto"/>
                <w:sz w:val="24"/>
                <w:szCs w:val="24"/>
              </w:rPr>
              <w:t>职务</w:t>
            </w:r>
          </w:p>
        </w:tc>
        <w:tc>
          <w:tcPr>
            <w:tcW w:w="2353" w:type="dxa"/>
            <w:tcBorders>
              <w:top w:val="single" w:color="000000" w:sz="4" w:space="0"/>
              <w:left w:val="single" w:color="000000" w:sz="4" w:space="0"/>
              <w:bottom w:val="single" w:color="000000" w:sz="4" w:space="0"/>
              <w:right w:val="single" w:color="000000" w:sz="4" w:space="0"/>
            </w:tcBorders>
            <w:vAlign w:val="center"/>
          </w:tcPr>
          <w:p w14:paraId="0F001A7F">
            <w:pPr>
              <w:tabs>
                <w:tab w:val="left" w:pos="720"/>
              </w:tabs>
              <w:snapToGrid w:val="0"/>
              <w:spacing w:line="360" w:lineRule="auto"/>
              <w:jc w:val="center"/>
              <w:rPr>
                <w:rStyle w:val="122"/>
                <w:rFonts w:ascii="宋体" w:hAnsi="宋体"/>
                <w:color w:val="auto"/>
                <w:sz w:val="24"/>
                <w:szCs w:val="24"/>
              </w:rPr>
            </w:pPr>
            <w:r>
              <w:rPr>
                <w:rStyle w:val="122"/>
                <w:rFonts w:ascii="宋体" w:hAnsi="宋体"/>
                <w:color w:val="auto"/>
                <w:sz w:val="24"/>
                <w:szCs w:val="24"/>
              </w:rPr>
              <w:t>所承担工作</w:t>
            </w:r>
          </w:p>
        </w:tc>
        <w:tc>
          <w:tcPr>
            <w:tcW w:w="2256" w:type="dxa"/>
            <w:tcBorders>
              <w:top w:val="single" w:color="000000" w:sz="4" w:space="0"/>
              <w:left w:val="single" w:color="000000" w:sz="4" w:space="0"/>
              <w:bottom w:val="single" w:color="000000" w:sz="4" w:space="0"/>
              <w:right w:val="single" w:color="000000" w:sz="4" w:space="0"/>
            </w:tcBorders>
            <w:vAlign w:val="center"/>
          </w:tcPr>
          <w:p w14:paraId="1662DCFB">
            <w:pPr>
              <w:tabs>
                <w:tab w:val="left" w:pos="720"/>
              </w:tabs>
              <w:snapToGrid w:val="0"/>
              <w:spacing w:line="360" w:lineRule="auto"/>
              <w:jc w:val="center"/>
              <w:rPr>
                <w:rStyle w:val="122"/>
                <w:rFonts w:ascii="宋体" w:hAnsi="宋体"/>
                <w:color w:val="auto"/>
                <w:sz w:val="24"/>
                <w:szCs w:val="24"/>
              </w:rPr>
            </w:pPr>
            <w:r>
              <w:rPr>
                <w:rStyle w:val="122"/>
                <w:rFonts w:ascii="宋体" w:hAnsi="宋体"/>
                <w:color w:val="auto"/>
                <w:sz w:val="24"/>
                <w:szCs w:val="24"/>
              </w:rPr>
              <w:t>身份证号码</w:t>
            </w:r>
          </w:p>
        </w:tc>
        <w:tc>
          <w:tcPr>
            <w:tcW w:w="1350" w:type="dxa"/>
            <w:tcBorders>
              <w:top w:val="single" w:color="000000" w:sz="4" w:space="0"/>
              <w:left w:val="single" w:color="000000" w:sz="4" w:space="0"/>
              <w:bottom w:val="single" w:color="000000" w:sz="4" w:space="0"/>
              <w:right w:val="single" w:color="000000" w:sz="4" w:space="0"/>
            </w:tcBorders>
            <w:vAlign w:val="center"/>
          </w:tcPr>
          <w:p w14:paraId="7457690D">
            <w:pPr>
              <w:tabs>
                <w:tab w:val="left" w:pos="720"/>
              </w:tabs>
              <w:snapToGrid w:val="0"/>
              <w:spacing w:line="360" w:lineRule="auto"/>
              <w:jc w:val="center"/>
              <w:rPr>
                <w:rStyle w:val="122"/>
                <w:rFonts w:ascii="宋体" w:hAnsi="宋体"/>
                <w:color w:val="auto"/>
                <w:sz w:val="24"/>
                <w:szCs w:val="24"/>
              </w:rPr>
            </w:pPr>
            <w:r>
              <w:rPr>
                <w:rStyle w:val="122"/>
                <w:rFonts w:ascii="宋体" w:hAnsi="宋体"/>
                <w:color w:val="auto"/>
                <w:sz w:val="24"/>
                <w:szCs w:val="24"/>
              </w:rPr>
              <w:t>本人签名栏</w:t>
            </w:r>
          </w:p>
        </w:tc>
      </w:tr>
      <w:tr w14:paraId="193C7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1E3435B2">
            <w:pPr>
              <w:tabs>
                <w:tab w:val="left" w:pos="720"/>
              </w:tabs>
              <w:snapToGrid w:val="0"/>
              <w:spacing w:line="360" w:lineRule="auto"/>
              <w:jc w:val="center"/>
              <w:rPr>
                <w:rStyle w:val="122"/>
                <w:rFonts w:ascii="宋体" w:hAnsi="宋体"/>
                <w:color w:val="auto"/>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11DF7DAF">
            <w:pPr>
              <w:tabs>
                <w:tab w:val="left" w:pos="720"/>
              </w:tabs>
              <w:snapToGrid w:val="0"/>
              <w:spacing w:line="360" w:lineRule="auto"/>
              <w:jc w:val="center"/>
              <w:rPr>
                <w:rStyle w:val="122"/>
                <w:rFonts w:ascii="宋体" w:hAnsi="宋体"/>
                <w:color w:val="auto"/>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61477476">
            <w:pPr>
              <w:tabs>
                <w:tab w:val="left" w:pos="720"/>
              </w:tabs>
              <w:snapToGrid w:val="0"/>
              <w:spacing w:line="360" w:lineRule="auto"/>
              <w:jc w:val="center"/>
              <w:rPr>
                <w:rStyle w:val="122"/>
                <w:rFonts w:ascii="宋体" w:hAnsi="宋体"/>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54293E65">
            <w:pPr>
              <w:tabs>
                <w:tab w:val="left" w:pos="720"/>
              </w:tabs>
              <w:snapToGrid w:val="0"/>
              <w:spacing w:line="360" w:lineRule="auto"/>
              <w:jc w:val="center"/>
              <w:rPr>
                <w:rStyle w:val="122"/>
                <w:rFonts w:ascii="宋体" w:hAnsi="宋体"/>
                <w:color w:val="auto"/>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7A14CE8C">
            <w:pPr>
              <w:tabs>
                <w:tab w:val="left" w:pos="720"/>
              </w:tabs>
              <w:snapToGrid w:val="0"/>
              <w:spacing w:line="360" w:lineRule="auto"/>
              <w:jc w:val="center"/>
              <w:rPr>
                <w:rStyle w:val="122"/>
                <w:rFonts w:ascii="宋体" w:hAnsi="宋体"/>
                <w:color w:val="auto"/>
                <w:sz w:val="24"/>
                <w:szCs w:val="24"/>
              </w:rPr>
            </w:pPr>
          </w:p>
        </w:tc>
      </w:tr>
      <w:tr w14:paraId="765E9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5FBE866D">
            <w:pPr>
              <w:tabs>
                <w:tab w:val="left" w:pos="720"/>
              </w:tabs>
              <w:snapToGrid w:val="0"/>
              <w:spacing w:line="360" w:lineRule="auto"/>
              <w:jc w:val="center"/>
              <w:rPr>
                <w:rStyle w:val="122"/>
                <w:rFonts w:ascii="宋体" w:hAnsi="宋体"/>
                <w:color w:val="auto"/>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35EB4972">
            <w:pPr>
              <w:tabs>
                <w:tab w:val="left" w:pos="720"/>
              </w:tabs>
              <w:snapToGrid w:val="0"/>
              <w:spacing w:line="360" w:lineRule="auto"/>
              <w:jc w:val="center"/>
              <w:rPr>
                <w:rStyle w:val="122"/>
                <w:rFonts w:ascii="宋体" w:hAnsi="宋体"/>
                <w:color w:val="auto"/>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772F065A">
            <w:pPr>
              <w:tabs>
                <w:tab w:val="left" w:pos="720"/>
              </w:tabs>
              <w:snapToGrid w:val="0"/>
              <w:spacing w:line="360" w:lineRule="auto"/>
              <w:jc w:val="center"/>
              <w:rPr>
                <w:rStyle w:val="122"/>
                <w:rFonts w:ascii="宋体" w:hAnsi="宋体"/>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2342BFAD">
            <w:pPr>
              <w:tabs>
                <w:tab w:val="left" w:pos="720"/>
              </w:tabs>
              <w:snapToGrid w:val="0"/>
              <w:spacing w:line="360" w:lineRule="auto"/>
              <w:jc w:val="center"/>
              <w:rPr>
                <w:rStyle w:val="122"/>
                <w:rFonts w:ascii="宋体" w:hAnsi="宋体"/>
                <w:color w:val="auto"/>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4C4CE9D3">
            <w:pPr>
              <w:tabs>
                <w:tab w:val="left" w:pos="720"/>
              </w:tabs>
              <w:snapToGrid w:val="0"/>
              <w:spacing w:line="360" w:lineRule="auto"/>
              <w:jc w:val="center"/>
              <w:rPr>
                <w:rStyle w:val="122"/>
                <w:rFonts w:ascii="宋体" w:hAnsi="宋体"/>
                <w:color w:val="auto"/>
                <w:sz w:val="24"/>
                <w:szCs w:val="24"/>
              </w:rPr>
            </w:pPr>
          </w:p>
        </w:tc>
      </w:tr>
      <w:tr w14:paraId="6F851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0E072783">
            <w:pPr>
              <w:tabs>
                <w:tab w:val="left" w:pos="720"/>
              </w:tabs>
              <w:snapToGrid w:val="0"/>
              <w:spacing w:line="360" w:lineRule="auto"/>
              <w:jc w:val="center"/>
              <w:rPr>
                <w:rStyle w:val="122"/>
                <w:rFonts w:ascii="宋体" w:hAnsi="宋体"/>
                <w:color w:val="auto"/>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3CBF4445">
            <w:pPr>
              <w:tabs>
                <w:tab w:val="left" w:pos="720"/>
              </w:tabs>
              <w:snapToGrid w:val="0"/>
              <w:spacing w:line="360" w:lineRule="auto"/>
              <w:jc w:val="center"/>
              <w:rPr>
                <w:rStyle w:val="122"/>
                <w:rFonts w:ascii="宋体" w:hAnsi="宋体"/>
                <w:color w:val="auto"/>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52B0047E">
            <w:pPr>
              <w:tabs>
                <w:tab w:val="left" w:pos="720"/>
              </w:tabs>
              <w:snapToGrid w:val="0"/>
              <w:spacing w:line="360" w:lineRule="auto"/>
              <w:jc w:val="center"/>
              <w:rPr>
                <w:rStyle w:val="122"/>
                <w:rFonts w:ascii="宋体" w:hAnsi="宋体"/>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4DC78B6E">
            <w:pPr>
              <w:tabs>
                <w:tab w:val="left" w:pos="720"/>
              </w:tabs>
              <w:snapToGrid w:val="0"/>
              <w:spacing w:line="360" w:lineRule="auto"/>
              <w:jc w:val="center"/>
              <w:rPr>
                <w:rStyle w:val="122"/>
                <w:rFonts w:ascii="宋体" w:hAnsi="宋体"/>
                <w:color w:val="auto"/>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056A851C">
            <w:pPr>
              <w:tabs>
                <w:tab w:val="left" w:pos="720"/>
              </w:tabs>
              <w:snapToGrid w:val="0"/>
              <w:spacing w:line="360" w:lineRule="auto"/>
              <w:jc w:val="center"/>
              <w:rPr>
                <w:rStyle w:val="122"/>
                <w:rFonts w:ascii="宋体" w:hAnsi="宋体"/>
                <w:color w:val="auto"/>
                <w:sz w:val="24"/>
                <w:szCs w:val="24"/>
              </w:rPr>
            </w:pPr>
          </w:p>
        </w:tc>
      </w:tr>
      <w:tr w14:paraId="5D9A1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58C2A097">
            <w:pPr>
              <w:tabs>
                <w:tab w:val="left" w:pos="720"/>
              </w:tabs>
              <w:snapToGrid w:val="0"/>
              <w:spacing w:line="360" w:lineRule="auto"/>
              <w:jc w:val="center"/>
              <w:rPr>
                <w:rStyle w:val="122"/>
                <w:rFonts w:ascii="宋体" w:hAnsi="宋体"/>
                <w:color w:val="auto"/>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1DC14E59">
            <w:pPr>
              <w:tabs>
                <w:tab w:val="left" w:pos="720"/>
              </w:tabs>
              <w:snapToGrid w:val="0"/>
              <w:spacing w:line="360" w:lineRule="auto"/>
              <w:jc w:val="center"/>
              <w:rPr>
                <w:rStyle w:val="122"/>
                <w:rFonts w:ascii="宋体" w:hAnsi="宋体"/>
                <w:color w:val="auto"/>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06211009">
            <w:pPr>
              <w:tabs>
                <w:tab w:val="left" w:pos="720"/>
              </w:tabs>
              <w:snapToGrid w:val="0"/>
              <w:spacing w:line="360" w:lineRule="auto"/>
              <w:jc w:val="center"/>
              <w:rPr>
                <w:rStyle w:val="122"/>
                <w:rFonts w:ascii="宋体" w:hAnsi="宋体"/>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0AAE5A5A">
            <w:pPr>
              <w:tabs>
                <w:tab w:val="left" w:pos="720"/>
              </w:tabs>
              <w:snapToGrid w:val="0"/>
              <w:spacing w:line="360" w:lineRule="auto"/>
              <w:jc w:val="center"/>
              <w:rPr>
                <w:rStyle w:val="122"/>
                <w:rFonts w:ascii="宋体" w:hAnsi="宋体"/>
                <w:color w:val="auto"/>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44941AA6">
            <w:pPr>
              <w:tabs>
                <w:tab w:val="left" w:pos="720"/>
              </w:tabs>
              <w:snapToGrid w:val="0"/>
              <w:spacing w:line="360" w:lineRule="auto"/>
              <w:jc w:val="center"/>
              <w:rPr>
                <w:rStyle w:val="122"/>
                <w:rFonts w:ascii="宋体" w:hAnsi="宋体"/>
                <w:color w:val="auto"/>
                <w:sz w:val="24"/>
                <w:szCs w:val="24"/>
              </w:rPr>
            </w:pPr>
          </w:p>
        </w:tc>
      </w:tr>
      <w:tr w14:paraId="3C2E3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23FBD677">
            <w:pPr>
              <w:tabs>
                <w:tab w:val="left" w:pos="720"/>
              </w:tabs>
              <w:snapToGrid w:val="0"/>
              <w:spacing w:line="360" w:lineRule="auto"/>
              <w:jc w:val="center"/>
              <w:rPr>
                <w:rStyle w:val="122"/>
                <w:rFonts w:ascii="宋体" w:hAnsi="宋体"/>
                <w:color w:val="auto"/>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0439DBB5">
            <w:pPr>
              <w:tabs>
                <w:tab w:val="left" w:pos="720"/>
              </w:tabs>
              <w:snapToGrid w:val="0"/>
              <w:spacing w:line="360" w:lineRule="auto"/>
              <w:jc w:val="center"/>
              <w:rPr>
                <w:rStyle w:val="122"/>
                <w:rFonts w:ascii="宋体" w:hAnsi="宋体"/>
                <w:color w:val="auto"/>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2A8F27C3">
            <w:pPr>
              <w:tabs>
                <w:tab w:val="left" w:pos="720"/>
              </w:tabs>
              <w:snapToGrid w:val="0"/>
              <w:spacing w:line="360" w:lineRule="auto"/>
              <w:jc w:val="center"/>
              <w:rPr>
                <w:rStyle w:val="122"/>
                <w:rFonts w:ascii="宋体" w:hAnsi="宋体"/>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15B425BE">
            <w:pPr>
              <w:tabs>
                <w:tab w:val="left" w:pos="720"/>
              </w:tabs>
              <w:snapToGrid w:val="0"/>
              <w:spacing w:line="360" w:lineRule="auto"/>
              <w:jc w:val="center"/>
              <w:rPr>
                <w:rStyle w:val="122"/>
                <w:rFonts w:ascii="宋体" w:hAnsi="宋体"/>
                <w:color w:val="auto"/>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5939B9B3">
            <w:pPr>
              <w:tabs>
                <w:tab w:val="left" w:pos="720"/>
              </w:tabs>
              <w:snapToGrid w:val="0"/>
              <w:spacing w:line="360" w:lineRule="auto"/>
              <w:jc w:val="center"/>
              <w:rPr>
                <w:rStyle w:val="122"/>
                <w:rFonts w:ascii="宋体" w:hAnsi="宋体"/>
                <w:color w:val="auto"/>
                <w:sz w:val="24"/>
                <w:szCs w:val="24"/>
              </w:rPr>
            </w:pPr>
          </w:p>
        </w:tc>
      </w:tr>
      <w:tr w14:paraId="2631A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29DD84DD">
            <w:pPr>
              <w:tabs>
                <w:tab w:val="left" w:pos="720"/>
              </w:tabs>
              <w:snapToGrid w:val="0"/>
              <w:spacing w:line="360" w:lineRule="auto"/>
              <w:jc w:val="center"/>
              <w:rPr>
                <w:rStyle w:val="122"/>
                <w:rFonts w:ascii="宋体" w:hAnsi="宋体"/>
                <w:color w:val="auto"/>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7327A947">
            <w:pPr>
              <w:tabs>
                <w:tab w:val="left" w:pos="720"/>
              </w:tabs>
              <w:snapToGrid w:val="0"/>
              <w:spacing w:line="360" w:lineRule="auto"/>
              <w:jc w:val="center"/>
              <w:rPr>
                <w:rStyle w:val="122"/>
                <w:rFonts w:ascii="宋体" w:hAnsi="宋体"/>
                <w:color w:val="auto"/>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12BDA831">
            <w:pPr>
              <w:tabs>
                <w:tab w:val="left" w:pos="720"/>
              </w:tabs>
              <w:snapToGrid w:val="0"/>
              <w:spacing w:line="360" w:lineRule="auto"/>
              <w:jc w:val="center"/>
              <w:rPr>
                <w:rStyle w:val="122"/>
                <w:rFonts w:ascii="宋体" w:hAnsi="宋体"/>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2FBBC498">
            <w:pPr>
              <w:tabs>
                <w:tab w:val="left" w:pos="720"/>
              </w:tabs>
              <w:snapToGrid w:val="0"/>
              <w:spacing w:line="360" w:lineRule="auto"/>
              <w:jc w:val="center"/>
              <w:rPr>
                <w:rStyle w:val="122"/>
                <w:rFonts w:ascii="宋体" w:hAnsi="宋体"/>
                <w:color w:val="auto"/>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43A63E04">
            <w:pPr>
              <w:tabs>
                <w:tab w:val="left" w:pos="720"/>
              </w:tabs>
              <w:snapToGrid w:val="0"/>
              <w:spacing w:line="360" w:lineRule="auto"/>
              <w:jc w:val="center"/>
              <w:rPr>
                <w:rStyle w:val="122"/>
                <w:rFonts w:ascii="宋体" w:hAnsi="宋体"/>
                <w:color w:val="auto"/>
                <w:sz w:val="24"/>
                <w:szCs w:val="24"/>
              </w:rPr>
            </w:pPr>
          </w:p>
        </w:tc>
      </w:tr>
      <w:tr w14:paraId="626F6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49397B30">
            <w:pPr>
              <w:tabs>
                <w:tab w:val="left" w:pos="720"/>
              </w:tabs>
              <w:snapToGrid w:val="0"/>
              <w:spacing w:line="360" w:lineRule="auto"/>
              <w:jc w:val="center"/>
              <w:rPr>
                <w:rStyle w:val="122"/>
                <w:rFonts w:ascii="宋体" w:hAnsi="宋体"/>
                <w:color w:val="auto"/>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4259D37D">
            <w:pPr>
              <w:tabs>
                <w:tab w:val="left" w:pos="720"/>
              </w:tabs>
              <w:snapToGrid w:val="0"/>
              <w:spacing w:line="360" w:lineRule="auto"/>
              <w:jc w:val="center"/>
              <w:rPr>
                <w:rStyle w:val="122"/>
                <w:rFonts w:ascii="宋体" w:hAnsi="宋体"/>
                <w:color w:val="auto"/>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66421A5A">
            <w:pPr>
              <w:tabs>
                <w:tab w:val="left" w:pos="720"/>
              </w:tabs>
              <w:snapToGrid w:val="0"/>
              <w:spacing w:line="360" w:lineRule="auto"/>
              <w:jc w:val="center"/>
              <w:rPr>
                <w:rStyle w:val="122"/>
                <w:rFonts w:ascii="宋体" w:hAnsi="宋体"/>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66077465">
            <w:pPr>
              <w:tabs>
                <w:tab w:val="left" w:pos="720"/>
              </w:tabs>
              <w:snapToGrid w:val="0"/>
              <w:spacing w:line="360" w:lineRule="auto"/>
              <w:jc w:val="center"/>
              <w:rPr>
                <w:rStyle w:val="122"/>
                <w:rFonts w:ascii="宋体" w:hAnsi="宋体"/>
                <w:color w:val="auto"/>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1FFFCB01">
            <w:pPr>
              <w:tabs>
                <w:tab w:val="left" w:pos="720"/>
              </w:tabs>
              <w:snapToGrid w:val="0"/>
              <w:spacing w:line="360" w:lineRule="auto"/>
              <w:jc w:val="center"/>
              <w:rPr>
                <w:rStyle w:val="122"/>
                <w:rFonts w:ascii="宋体" w:hAnsi="宋体"/>
                <w:color w:val="auto"/>
                <w:sz w:val="24"/>
                <w:szCs w:val="24"/>
              </w:rPr>
            </w:pPr>
          </w:p>
        </w:tc>
      </w:tr>
      <w:tr w14:paraId="16E50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59FE1A4F">
            <w:pPr>
              <w:tabs>
                <w:tab w:val="left" w:pos="720"/>
              </w:tabs>
              <w:snapToGrid w:val="0"/>
              <w:spacing w:line="360" w:lineRule="auto"/>
              <w:jc w:val="center"/>
              <w:rPr>
                <w:rStyle w:val="122"/>
                <w:rFonts w:ascii="宋体" w:hAnsi="宋体"/>
                <w:color w:val="auto"/>
                <w:sz w:val="24"/>
                <w:szCs w:val="24"/>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78872CD0">
            <w:pPr>
              <w:tabs>
                <w:tab w:val="left" w:pos="720"/>
              </w:tabs>
              <w:snapToGrid w:val="0"/>
              <w:spacing w:line="360" w:lineRule="auto"/>
              <w:jc w:val="center"/>
              <w:rPr>
                <w:rStyle w:val="122"/>
                <w:rFonts w:ascii="宋体" w:hAnsi="宋体"/>
                <w:color w:val="auto"/>
                <w:sz w:val="24"/>
                <w:szCs w:val="24"/>
              </w:rPr>
            </w:pPr>
          </w:p>
        </w:tc>
        <w:tc>
          <w:tcPr>
            <w:tcW w:w="2353" w:type="dxa"/>
            <w:tcBorders>
              <w:top w:val="single" w:color="000000" w:sz="4" w:space="0"/>
              <w:left w:val="single" w:color="000000" w:sz="4" w:space="0"/>
              <w:bottom w:val="single" w:color="000000" w:sz="4" w:space="0"/>
              <w:right w:val="single" w:color="000000" w:sz="4" w:space="0"/>
            </w:tcBorders>
            <w:vAlign w:val="center"/>
          </w:tcPr>
          <w:p w14:paraId="545F4A1F">
            <w:pPr>
              <w:tabs>
                <w:tab w:val="left" w:pos="720"/>
              </w:tabs>
              <w:snapToGrid w:val="0"/>
              <w:spacing w:line="360" w:lineRule="auto"/>
              <w:jc w:val="center"/>
              <w:rPr>
                <w:rStyle w:val="122"/>
                <w:rFonts w:ascii="宋体" w:hAnsi="宋体"/>
                <w:color w:val="auto"/>
                <w:sz w:val="24"/>
                <w:szCs w:val="24"/>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13513D5B">
            <w:pPr>
              <w:tabs>
                <w:tab w:val="left" w:pos="720"/>
              </w:tabs>
              <w:snapToGrid w:val="0"/>
              <w:spacing w:line="360" w:lineRule="auto"/>
              <w:jc w:val="center"/>
              <w:rPr>
                <w:rStyle w:val="122"/>
                <w:rFonts w:ascii="宋体" w:hAnsi="宋体"/>
                <w:color w:val="auto"/>
                <w:sz w:val="24"/>
                <w:szCs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7E2CF37D">
            <w:pPr>
              <w:tabs>
                <w:tab w:val="left" w:pos="720"/>
              </w:tabs>
              <w:snapToGrid w:val="0"/>
              <w:spacing w:line="360" w:lineRule="auto"/>
              <w:jc w:val="center"/>
              <w:rPr>
                <w:rStyle w:val="122"/>
                <w:rFonts w:ascii="宋体" w:hAnsi="宋体"/>
                <w:color w:val="auto"/>
                <w:sz w:val="24"/>
                <w:szCs w:val="24"/>
              </w:rPr>
            </w:pPr>
          </w:p>
        </w:tc>
      </w:tr>
    </w:tbl>
    <w:p w14:paraId="1A1AE9CA">
      <w:pPr>
        <w:spacing w:line="360" w:lineRule="auto"/>
        <w:ind w:firstLine="496"/>
        <w:jc w:val="left"/>
        <w:rPr>
          <w:rStyle w:val="122"/>
          <w:rFonts w:ascii="宋体" w:hAnsi="宋体"/>
          <w:color w:val="auto"/>
          <w:spacing w:val="4"/>
          <w:kern w:val="0"/>
          <w:sz w:val="24"/>
          <w:szCs w:val="24"/>
        </w:rPr>
      </w:pPr>
      <w:r>
        <w:rPr>
          <w:rStyle w:val="122"/>
          <w:rFonts w:ascii="宋体" w:hAnsi="宋体"/>
          <w:color w:val="auto"/>
          <w:spacing w:val="4"/>
          <w:kern w:val="0"/>
          <w:sz w:val="24"/>
          <w:szCs w:val="24"/>
        </w:rPr>
        <w:t>注：参与编制技术标书所有人员名单应包括如编制技术投标方案、负责清样校对、负责打印及复印等所有人员在内的人员名单。</w:t>
      </w:r>
    </w:p>
    <w:p w14:paraId="588B8C84">
      <w:pPr>
        <w:pStyle w:val="147"/>
        <w:rPr>
          <w:rFonts w:ascii="宋体" w:hAnsi="宋体"/>
          <w:color w:val="auto"/>
        </w:rPr>
      </w:pPr>
    </w:p>
    <w:p w14:paraId="01555AB1">
      <w:pPr>
        <w:pStyle w:val="147"/>
        <w:rPr>
          <w:rFonts w:ascii="宋体" w:hAnsi="宋体"/>
          <w:color w:val="auto"/>
        </w:rPr>
      </w:pPr>
    </w:p>
    <w:p w14:paraId="74C8D35B">
      <w:pPr>
        <w:pStyle w:val="147"/>
        <w:rPr>
          <w:rFonts w:ascii="宋体" w:hAnsi="宋体"/>
          <w:color w:val="auto"/>
        </w:rPr>
      </w:pPr>
    </w:p>
    <w:p w14:paraId="0A66113E">
      <w:pPr>
        <w:spacing w:line="360" w:lineRule="auto"/>
        <w:rPr>
          <w:rStyle w:val="122"/>
          <w:rFonts w:ascii="宋体" w:hAnsi="宋体"/>
          <w:b/>
          <w:color w:val="auto"/>
          <w:sz w:val="24"/>
          <w:szCs w:val="24"/>
        </w:rPr>
      </w:pPr>
      <w:r>
        <w:rPr>
          <w:rStyle w:val="122"/>
          <w:rFonts w:ascii="宋体" w:hAnsi="宋体"/>
          <w:color w:val="auto"/>
        </w:rPr>
        <w:br w:type="page"/>
      </w:r>
      <w:r>
        <w:rPr>
          <w:rStyle w:val="122"/>
          <w:rFonts w:ascii="宋体" w:hAnsi="宋体"/>
          <w:b/>
          <w:color w:val="auto"/>
          <w:sz w:val="24"/>
          <w:szCs w:val="24"/>
        </w:rPr>
        <w:t>格式</w:t>
      </w:r>
      <w:r>
        <w:rPr>
          <w:rStyle w:val="122"/>
          <w:rFonts w:hint="eastAsia" w:ascii="宋体" w:hAnsi="宋体"/>
          <w:b/>
          <w:color w:val="auto"/>
          <w:sz w:val="24"/>
          <w:szCs w:val="24"/>
        </w:rPr>
        <w:t>三：</w:t>
      </w:r>
    </w:p>
    <w:p w14:paraId="7130162F">
      <w:pPr>
        <w:pStyle w:val="4"/>
        <w:ind w:firstLine="0"/>
        <w:rPr>
          <w:color w:val="auto"/>
        </w:rPr>
      </w:pPr>
    </w:p>
    <w:p w14:paraId="04840650">
      <w:pPr>
        <w:widowControl w:val="0"/>
        <w:tabs>
          <w:tab w:val="left" w:pos="720"/>
        </w:tabs>
        <w:jc w:val="center"/>
        <w:textAlignment w:val="auto"/>
        <w:rPr>
          <w:rFonts w:ascii="宋体" w:hAnsi="宋体" w:cs="宋体"/>
          <w:b/>
          <w:color w:val="auto"/>
          <w:sz w:val="32"/>
          <w:szCs w:val="32"/>
        </w:rPr>
      </w:pPr>
      <w:r>
        <w:rPr>
          <w:rFonts w:hint="eastAsia" w:ascii="宋体" w:hAnsi="宋体" w:cs="宋体"/>
          <w:b/>
          <w:color w:val="auto"/>
          <w:sz w:val="32"/>
          <w:szCs w:val="32"/>
        </w:rPr>
        <w:t>法定代表人证明书、授权委托书</w:t>
      </w:r>
    </w:p>
    <w:p w14:paraId="2D3A71EA">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r>
        <w:rPr>
          <w:rFonts w:hint="eastAsia" w:ascii="宋体" w:hAnsi="宋体" w:cs="宋体"/>
          <w:color w:val="auto"/>
          <w:spacing w:val="4"/>
          <w:kern w:val="0"/>
          <w:sz w:val="24"/>
          <w:szCs w:val="24"/>
        </w:rPr>
        <w:t>（1）法定代表人证明书</w:t>
      </w:r>
    </w:p>
    <w:p w14:paraId="76936056">
      <w:pPr>
        <w:widowControl w:val="0"/>
        <w:wordWrap w:val="0"/>
        <w:topLinePunct/>
        <w:adjustRightInd w:val="0"/>
        <w:snapToGrid w:val="0"/>
        <w:spacing w:line="360" w:lineRule="auto"/>
        <w:jc w:val="right"/>
        <w:textAlignment w:val="auto"/>
        <w:rPr>
          <w:rFonts w:ascii="宋体" w:hAnsi="宋体" w:cs="宋体"/>
          <w:color w:val="auto"/>
          <w:spacing w:val="4"/>
          <w:kern w:val="0"/>
          <w:sz w:val="24"/>
          <w:szCs w:val="24"/>
        </w:rPr>
      </w:pPr>
      <w:r>
        <w:rPr>
          <w:rFonts w:hint="eastAsia" w:ascii="宋体" w:hAnsi="宋体" w:cs="宋体"/>
          <w:color w:val="auto"/>
          <w:spacing w:val="4"/>
          <w:kern w:val="0"/>
          <w:sz w:val="24"/>
          <w:szCs w:val="24"/>
        </w:rPr>
        <w:t>（   ）第  号</w:t>
      </w:r>
    </w:p>
    <w:p w14:paraId="326027D9">
      <w:pPr>
        <w:widowControl w:val="0"/>
        <w:topLinePunct/>
        <w:adjustRightInd w:val="0"/>
        <w:snapToGrid w:val="0"/>
        <w:spacing w:line="360" w:lineRule="auto"/>
        <w:ind w:firstLine="420" w:firstLineChars="200"/>
        <w:textAlignment w:val="auto"/>
        <w:rPr>
          <w:rFonts w:ascii="宋体" w:hAnsi="宋体" w:cs="宋体"/>
          <w:color w:val="auto"/>
          <w:spacing w:val="4"/>
          <w:kern w:val="0"/>
          <w:sz w:val="24"/>
          <w:szCs w:val="24"/>
        </w:rPr>
      </w:pPr>
      <w:r>
        <w:rPr>
          <w:color w:val="auto"/>
        </w:rPr>
        <mc:AlternateContent>
          <mc:Choice Requires="wps">
            <w:drawing>
              <wp:anchor distT="0" distB="0" distL="114300" distR="114300" simplePos="0" relativeHeight="251659264" behindDoc="0" locked="0" layoutInCell="1" allowOverlap="1">
                <wp:simplePos x="0" y="0"/>
                <wp:positionH relativeFrom="column">
                  <wp:posOffset>-236855</wp:posOffset>
                </wp:positionH>
                <wp:positionV relativeFrom="paragraph">
                  <wp:posOffset>55880</wp:posOffset>
                </wp:positionV>
                <wp:extent cx="5716905" cy="2773680"/>
                <wp:effectExtent l="4445" t="5080" r="12700" b="21590"/>
                <wp:wrapNone/>
                <wp:docPr id="2" name="文本框 4"/>
                <wp:cNvGraphicFramePr/>
                <a:graphic xmlns:a="http://schemas.openxmlformats.org/drawingml/2006/main">
                  <a:graphicData uri="http://schemas.microsoft.com/office/word/2010/wordprocessingShape">
                    <wps:wsp>
                      <wps:cNvSpPr txBox="1"/>
                      <wps:spPr>
                        <a:xfrm>
                          <a:off x="0" y="0"/>
                          <a:ext cx="5716905"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49E724">
                            <w:pPr>
                              <w:pStyle w:val="119"/>
                              <w:ind w:firstLine="0" w:firstLineChars="0"/>
                              <w:rPr>
                                <w:rFonts w:ascii="宋体" w:hAnsi="宋体" w:eastAsia="宋体" w:cs="宋体"/>
                                <w:szCs w:val="28"/>
                              </w:rPr>
                            </w:pPr>
                          </w:p>
                          <w:p w14:paraId="4F963121">
                            <w:pPr>
                              <w:pStyle w:val="119"/>
                              <w:ind w:firstLine="0" w:firstLineChars="0"/>
                              <w:jc w:val="center"/>
                              <w:rPr>
                                <w:rFonts w:ascii="宋体" w:hAnsi="宋体" w:eastAsia="宋体" w:cs="宋体"/>
                                <w:szCs w:val="28"/>
                              </w:rPr>
                            </w:pPr>
                            <w:r>
                              <w:rPr>
                                <w:rFonts w:hint="eastAsia" w:ascii="宋体" w:hAnsi="宋体" w:eastAsia="宋体" w:cs="宋体"/>
                                <w:szCs w:val="28"/>
                              </w:rPr>
                              <w:t>现任我单位</w:t>
                            </w:r>
                            <w:r>
                              <w:rPr>
                                <w:rFonts w:hint="eastAsia" w:ascii="宋体" w:hAnsi="宋体" w:eastAsia="宋体" w:cs="宋体"/>
                                <w:szCs w:val="28"/>
                                <w:u w:val="single"/>
                              </w:rPr>
                              <w:t>　　　　　</w:t>
                            </w:r>
                            <w:r>
                              <w:rPr>
                                <w:rFonts w:hint="eastAsia" w:ascii="宋体" w:hAnsi="宋体" w:eastAsia="宋体" w:cs="宋体"/>
                                <w:szCs w:val="28"/>
                              </w:rPr>
                              <w:t>职务，为法定代表人（负责人），</w:t>
                            </w:r>
                          </w:p>
                          <w:p w14:paraId="1D7DA554">
                            <w:pPr>
                              <w:pStyle w:val="119"/>
                              <w:ind w:firstLine="0" w:firstLineChars="0"/>
                              <w:rPr>
                                <w:rFonts w:ascii="宋体" w:hAnsi="宋体" w:eastAsia="宋体" w:cs="宋体"/>
                                <w:szCs w:val="28"/>
                              </w:rPr>
                            </w:pPr>
                            <w:r>
                              <w:rPr>
                                <w:rFonts w:hint="eastAsia" w:ascii="宋体" w:hAnsi="宋体" w:eastAsia="宋体" w:cs="宋体"/>
                                <w:szCs w:val="28"/>
                              </w:rPr>
                              <w:t>特此证明。</w:t>
                            </w:r>
                          </w:p>
                          <w:p w14:paraId="20D83A28">
                            <w:pPr>
                              <w:pStyle w:val="119"/>
                              <w:ind w:firstLine="0" w:firstLineChars="0"/>
                              <w:rPr>
                                <w:rFonts w:ascii="宋体" w:hAnsi="宋体" w:eastAsia="宋体" w:cs="宋体"/>
                                <w:szCs w:val="28"/>
                              </w:rPr>
                            </w:pPr>
                            <w:r>
                              <w:rPr>
                                <w:rFonts w:hint="eastAsia" w:ascii="宋体" w:hAnsi="宋体" w:eastAsia="宋体" w:cs="宋体"/>
                                <w:szCs w:val="28"/>
                              </w:rPr>
                              <w:t>有效期限：</w:t>
                            </w:r>
                            <w:r>
                              <w:rPr>
                                <w:rFonts w:hint="eastAsia" w:ascii="宋体" w:hAnsi="宋体" w:eastAsia="宋体" w:cs="宋体"/>
                                <w:szCs w:val="28"/>
                                <w:u w:val="single"/>
                              </w:rPr>
                              <w:t xml:space="preserve">                                  </w:t>
                            </w:r>
                          </w:p>
                          <w:p w14:paraId="3E6C436A">
                            <w:pPr>
                              <w:pStyle w:val="119"/>
                              <w:ind w:firstLine="0" w:firstLineChars="0"/>
                              <w:rPr>
                                <w:rFonts w:ascii="宋体" w:hAnsi="宋体" w:eastAsia="宋体" w:cs="宋体"/>
                                <w:szCs w:val="28"/>
                              </w:rPr>
                            </w:pPr>
                            <w:r>
                              <w:rPr>
                                <w:rFonts w:hint="eastAsia" w:ascii="宋体" w:hAnsi="宋体" w:eastAsia="宋体" w:cs="宋体"/>
                                <w:szCs w:val="28"/>
                              </w:rPr>
                              <w:t>附：法定代表人（负责人）性别：</w:t>
                            </w:r>
                            <w:r>
                              <w:rPr>
                                <w:rFonts w:hint="eastAsia" w:ascii="宋体" w:hAnsi="宋体" w:eastAsia="宋体" w:cs="宋体"/>
                                <w:szCs w:val="28"/>
                                <w:u w:val="single"/>
                              </w:rPr>
                              <w:t>　　</w:t>
                            </w:r>
                            <w:r>
                              <w:rPr>
                                <w:rFonts w:hint="eastAsia" w:ascii="宋体" w:hAnsi="宋体" w:eastAsia="宋体" w:cs="宋体"/>
                                <w:szCs w:val="28"/>
                              </w:rPr>
                              <w:t>年龄：</w:t>
                            </w:r>
                            <w:r>
                              <w:rPr>
                                <w:rFonts w:hint="eastAsia" w:ascii="宋体" w:hAnsi="宋体" w:eastAsia="宋体" w:cs="宋体"/>
                                <w:szCs w:val="28"/>
                                <w:u w:val="single"/>
                              </w:rPr>
                              <w:t>　　</w:t>
                            </w: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21925DB8">
                            <w:pPr>
                              <w:pStyle w:val="119"/>
                              <w:ind w:firstLine="0" w:firstLineChars="0"/>
                              <w:rPr>
                                <w:rFonts w:ascii="宋体" w:hAnsi="宋体" w:eastAsia="宋体" w:cs="宋体"/>
                                <w:szCs w:val="28"/>
                              </w:rPr>
                            </w:pPr>
                            <w:r>
                              <w:rPr>
                                <w:rFonts w:hint="eastAsia" w:ascii="宋体" w:hAnsi="宋体" w:eastAsia="宋体" w:cs="宋体"/>
                                <w:szCs w:val="28"/>
                              </w:rPr>
                              <w:t>统一社会信用代码：</w:t>
                            </w:r>
                            <w:r>
                              <w:rPr>
                                <w:rFonts w:hint="eastAsia" w:ascii="宋体" w:hAnsi="宋体" w:eastAsia="宋体" w:cs="宋体"/>
                                <w:szCs w:val="28"/>
                                <w:u w:val="single"/>
                              </w:rPr>
                              <w:t>　　　　　　　　　　</w:t>
                            </w:r>
                            <w:r>
                              <w:rPr>
                                <w:rFonts w:hint="eastAsia" w:ascii="宋体" w:hAnsi="宋体" w:eastAsia="宋体" w:cs="宋体"/>
                                <w:szCs w:val="28"/>
                              </w:rPr>
                              <w:t>企业类型：</w:t>
                            </w:r>
                            <w:r>
                              <w:rPr>
                                <w:rFonts w:hint="eastAsia" w:ascii="宋体" w:hAnsi="宋体" w:eastAsia="宋体" w:cs="宋体"/>
                                <w:szCs w:val="28"/>
                                <w:u w:val="single"/>
                              </w:rPr>
                              <w:t xml:space="preserve">                          </w:t>
                            </w:r>
                          </w:p>
                          <w:p w14:paraId="7D8FA62F">
                            <w:pPr>
                              <w:pStyle w:val="119"/>
                              <w:ind w:firstLine="0" w:firstLineChars="0"/>
                              <w:rPr>
                                <w:rFonts w:ascii="宋体" w:hAnsi="宋体" w:eastAsia="宋体" w:cs="宋体"/>
                                <w:szCs w:val="28"/>
                              </w:rPr>
                            </w:pPr>
                            <w:r>
                              <w:rPr>
                                <w:rFonts w:hint="eastAsia" w:ascii="宋体" w:hAnsi="宋体" w:eastAsia="宋体" w:cs="宋体"/>
                                <w:szCs w:val="28"/>
                              </w:rPr>
                              <w:t>经营范围：</w:t>
                            </w:r>
                            <w:r>
                              <w:rPr>
                                <w:rFonts w:hint="eastAsia" w:ascii="宋体" w:hAnsi="宋体" w:eastAsia="宋体" w:cs="宋体"/>
                                <w:szCs w:val="28"/>
                                <w:u w:val="single"/>
                              </w:rPr>
                              <w:t xml:space="preserve">                                       </w:t>
                            </w:r>
                          </w:p>
                          <w:p w14:paraId="687D3DBC">
                            <w:pPr>
                              <w:pStyle w:val="119"/>
                              <w:ind w:firstLine="0" w:firstLineChars="0"/>
                              <w:rPr>
                                <w:rFonts w:ascii="宋体" w:hAnsi="宋体" w:eastAsia="宋体" w:cs="宋体"/>
                                <w:szCs w:val="28"/>
                              </w:rPr>
                            </w:pPr>
                            <w:r>
                              <w:rPr>
                                <w:rFonts w:hint="eastAsia" w:ascii="宋体" w:hAnsi="宋体" w:eastAsia="宋体" w:cs="宋体"/>
                                <w:szCs w:val="28"/>
                              </w:rPr>
                              <w:t>　　　　　　　　　　单位：　　　　　　　　　　　（盖章）</w:t>
                            </w:r>
                          </w:p>
                          <w:p w14:paraId="6612561E">
                            <w:pPr>
                              <w:pStyle w:val="119"/>
                              <w:ind w:firstLine="0" w:firstLineChars="0"/>
                              <w:rPr>
                                <w:rFonts w:ascii="宋体" w:hAnsi="宋体" w:eastAsia="宋体" w:cs="宋体"/>
                                <w:szCs w:val="28"/>
                              </w:rPr>
                            </w:pPr>
                            <w:r>
                              <w:rPr>
                                <w:rFonts w:hint="eastAsia" w:ascii="宋体" w:hAnsi="宋体" w:eastAsia="宋体" w:cs="宋体"/>
                                <w:szCs w:val="28"/>
                              </w:rPr>
                              <w:t>　　　　　　　　　　　　　　　　　　　　　    年　月　　日</w:t>
                            </w:r>
                          </w:p>
                        </w:txbxContent>
                      </wps:txbx>
                      <wps:bodyPr wrap="square" upright="1"/>
                    </wps:wsp>
                  </a:graphicData>
                </a:graphic>
              </wp:anchor>
            </w:drawing>
          </mc:Choice>
          <mc:Fallback>
            <w:pict>
              <v:shape id="文本框 4" o:spid="_x0000_s1026" o:spt="202" type="#_x0000_t202" style="position:absolute;left:0pt;margin-left:-18.65pt;margin-top:4.4pt;height:218.4pt;width:450.15pt;z-index:251659264;mso-width-relative:page;mso-height-relative:page;" fillcolor="#FFFFFF" filled="t" stroked="t" coordsize="21600,21600" o:gfxdata="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A4l2tgA&#10;AAAJAQAADwAAAAAAAAABACAAAAAiAAAAZHJzL2Rvd25yZXYueG1sUEsBAhQAFAAAAAgAh07iQEgV&#10;V/gfAgAAUwQAAA4AAAAAAAAAAQAgAAAAJwEAAGRycy9lMm9Eb2MueG1sUEsFBgAAAAAGAAYAWQEA&#10;ALgFAAAAAA==&#10;">
                <v:fill on="t" focussize="0,0"/>
                <v:stroke color="#000000" joinstyle="miter"/>
                <v:imagedata o:title=""/>
                <o:lock v:ext="edit" aspectratio="f"/>
                <v:textbox>
                  <w:txbxContent>
                    <w:p w14:paraId="0349E724">
                      <w:pPr>
                        <w:pStyle w:val="119"/>
                        <w:ind w:firstLine="0" w:firstLineChars="0"/>
                        <w:rPr>
                          <w:rFonts w:ascii="宋体" w:hAnsi="宋体" w:eastAsia="宋体" w:cs="宋体"/>
                          <w:szCs w:val="28"/>
                        </w:rPr>
                      </w:pPr>
                    </w:p>
                    <w:p w14:paraId="4F963121">
                      <w:pPr>
                        <w:pStyle w:val="119"/>
                        <w:ind w:firstLine="0" w:firstLineChars="0"/>
                        <w:jc w:val="center"/>
                        <w:rPr>
                          <w:rFonts w:ascii="宋体" w:hAnsi="宋体" w:eastAsia="宋体" w:cs="宋体"/>
                          <w:szCs w:val="28"/>
                        </w:rPr>
                      </w:pPr>
                      <w:r>
                        <w:rPr>
                          <w:rFonts w:hint="eastAsia" w:ascii="宋体" w:hAnsi="宋体" w:eastAsia="宋体" w:cs="宋体"/>
                          <w:szCs w:val="28"/>
                        </w:rPr>
                        <w:t>现任我单位</w:t>
                      </w:r>
                      <w:r>
                        <w:rPr>
                          <w:rFonts w:hint="eastAsia" w:ascii="宋体" w:hAnsi="宋体" w:eastAsia="宋体" w:cs="宋体"/>
                          <w:szCs w:val="28"/>
                          <w:u w:val="single"/>
                        </w:rPr>
                        <w:t>　　　　　</w:t>
                      </w:r>
                      <w:r>
                        <w:rPr>
                          <w:rFonts w:hint="eastAsia" w:ascii="宋体" w:hAnsi="宋体" w:eastAsia="宋体" w:cs="宋体"/>
                          <w:szCs w:val="28"/>
                        </w:rPr>
                        <w:t>职务，为法定代表人（负责人），</w:t>
                      </w:r>
                    </w:p>
                    <w:p w14:paraId="1D7DA554">
                      <w:pPr>
                        <w:pStyle w:val="119"/>
                        <w:ind w:firstLine="0" w:firstLineChars="0"/>
                        <w:rPr>
                          <w:rFonts w:ascii="宋体" w:hAnsi="宋体" w:eastAsia="宋体" w:cs="宋体"/>
                          <w:szCs w:val="28"/>
                        </w:rPr>
                      </w:pPr>
                      <w:r>
                        <w:rPr>
                          <w:rFonts w:hint="eastAsia" w:ascii="宋体" w:hAnsi="宋体" w:eastAsia="宋体" w:cs="宋体"/>
                          <w:szCs w:val="28"/>
                        </w:rPr>
                        <w:t>特此证明。</w:t>
                      </w:r>
                    </w:p>
                    <w:p w14:paraId="20D83A28">
                      <w:pPr>
                        <w:pStyle w:val="119"/>
                        <w:ind w:firstLine="0" w:firstLineChars="0"/>
                        <w:rPr>
                          <w:rFonts w:ascii="宋体" w:hAnsi="宋体" w:eastAsia="宋体" w:cs="宋体"/>
                          <w:szCs w:val="28"/>
                        </w:rPr>
                      </w:pPr>
                      <w:r>
                        <w:rPr>
                          <w:rFonts w:hint="eastAsia" w:ascii="宋体" w:hAnsi="宋体" w:eastAsia="宋体" w:cs="宋体"/>
                          <w:szCs w:val="28"/>
                        </w:rPr>
                        <w:t>有效期限：</w:t>
                      </w:r>
                      <w:r>
                        <w:rPr>
                          <w:rFonts w:hint="eastAsia" w:ascii="宋体" w:hAnsi="宋体" w:eastAsia="宋体" w:cs="宋体"/>
                          <w:szCs w:val="28"/>
                          <w:u w:val="single"/>
                        </w:rPr>
                        <w:t xml:space="preserve">                                  </w:t>
                      </w:r>
                    </w:p>
                    <w:p w14:paraId="3E6C436A">
                      <w:pPr>
                        <w:pStyle w:val="119"/>
                        <w:ind w:firstLine="0" w:firstLineChars="0"/>
                        <w:rPr>
                          <w:rFonts w:ascii="宋体" w:hAnsi="宋体" w:eastAsia="宋体" w:cs="宋体"/>
                          <w:szCs w:val="28"/>
                        </w:rPr>
                      </w:pPr>
                      <w:r>
                        <w:rPr>
                          <w:rFonts w:hint="eastAsia" w:ascii="宋体" w:hAnsi="宋体" w:eastAsia="宋体" w:cs="宋体"/>
                          <w:szCs w:val="28"/>
                        </w:rPr>
                        <w:t>附：法定代表人（负责人）性别：</w:t>
                      </w:r>
                      <w:r>
                        <w:rPr>
                          <w:rFonts w:hint="eastAsia" w:ascii="宋体" w:hAnsi="宋体" w:eastAsia="宋体" w:cs="宋体"/>
                          <w:szCs w:val="28"/>
                          <w:u w:val="single"/>
                        </w:rPr>
                        <w:t>　　</w:t>
                      </w:r>
                      <w:r>
                        <w:rPr>
                          <w:rFonts w:hint="eastAsia" w:ascii="宋体" w:hAnsi="宋体" w:eastAsia="宋体" w:cs="宋体"/>
                          <w:szCs w:val="28"/>
                        </w:rPr>
                        <w:t>年龄：</w:t>
                      </w:r>
                      <w:r>
                        <w:rPr>
                          <w:rFonts w:hint="eastAsia" w:ascii="宋体" w:hAnsi="宋体" w:eastAsia="宋体" w:cs="宋体"/>
                          <w:szCs w:val="28"/>
                          <w:u w:val="single"/>
                        </w:rPr>
                        <w:t>　　</w:t>
                      </w: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21925DB8">
                      <w:pPr>
                        <w:pStyle w:val="119"/>
                        <w:ind w:firstLine="0" w:firstLineChars="0"/>
                        <w:rPr>
                          <w:rFonts w:ascii="宋体" w:hAnsi="宋体" w:eastAsia="宋体" w:cs="宋体"/>
                          <w:szCs w:val="28"/>
                        </w:rPr>
                      </w:pPr>
                      <w:r>
                        <w:rPr>
                          <w:rFonts w:hint="eastAsia" w:ascii="宋体" w:hAnsi="宋体" w:eastAsia="宋体" w:cs="宋体"/>
                          <w:szCs w:val="28"/>
                        </w:rPr>
                        <w:t>统一社会信用代码：</w:t>
                      </w:r>
                      <w:r>
                        <w:rPr>
                          <w:rFonts w:hint="eastAsia" w:ascii="宋体" w:hAnsi="宋体" w:eastAsia="宋体" w:cs="宋体"/>
                          <w:szCs w:val="28"/>
                          <w:u w:val="single"/>
                        </w:rPr>
                        <w:t>　　　　　　　　　　</w:t>
                      </w:r>
                      <w:r>
                        <w:rPr>
                          <w:rFonts w:hint="eastAsia" w:ascii="宋体" w:hAnsi="宋体" w:eastAsia="宋体" w:cs="宋体"/>
                          <w:szCs w:val="28"/>
                        </w:rPr>
                        <w:t>企业类型：</w:t>
                      </w:r>
                      <w:r>
                        <w:rPr>
                          <w:rFonts w:hint="eastAsia" w:ascii="宋体" w:hAnsi="宋体" w:eastAsia="宋体" w:cs="宋体"/>
                          <w:szCs w:val="28"/>
                          <w:u w:val="single"/>
                        </w:rPr>
                        <w:t xml:space="preserve">                          </w:t>
                      </w:r>
                    </w:p>
                    <w:p w14:paraId="7D8FA62F">
                      <w:pPr>
                        <w:pStyle w:val="119"/>
                        <w:ind w:firstLine="0" w:firstLineChars="0"/>
                        <w:rPr>
                          <w:rFonts w:ascii="宋体" w:hAnsi="宋体" w:eastAsia="宋体" w:cs="宋体"/>
                          <w:szCs w:val="28"/>
                        </w:rPr>
                      </w:pPr>
                      <w:r>
                        <w:rPr>
                          <w:rFonts w:hint="eastAsia" w:ascii="宋体" w:hAnsi="宋体" w:eastAsia="宋体" w:cs="宋体"/>
                          <w:szCs w:val="28"/>
                        </w:rPr>
                        <w:t>经营范围：</w:t>
                      </w:r>
                      <w:r>
                        <w:rPr>
                          <w:rFonts w:hint="eastAsia" w:ascii="宋体" w:hAnsi="宋体" w:eastAsia="宋体" w:cs="宋体"/>
                          <w:szCs w:val="28"/>
                          <w:u w:val="single"/>
                        </w:rPr>
                        <w:t xml:space="preserve">                                       </w:t>
                      </w:r>
                    </w:p>
                    <w:p w14:paraId="687D3DBC">
                      <w:pPr>
                        <w:pStyle w:val="119"/>
                        <w:ind w:firstLine="0" w:firstLineChars="0"/>
                        <w:rPr>
                          <w:rFonts w:ascii="宋体" w:hAnsi="宋体" w:eastAsia="宋体" w:cs="宋体"/>
                          <w:szCs w:val="28"/>
                        </w:rPr>
                      </w:pPr>
                      <w:r>
                        <w:rPr>
                          <w:rFonts w:hint="eastAsia" w:ascii="宋体" w:hAnsi="宋体" w:eastAsia="宋体" w:cs="宋体"/>
                          <w:szCs w:val="28"/>
                        </w:rPr>
                        <w:t>　　　　　　　　　　单位：　　　　　　　　　　　（盖章）</w:t>
                      </w:r>
                    </w:p>
                    <w:p w14:paraId="6612561E">
                      <w:pPr>
                        <w:pStyle w:val="119"/>
                        <w:ind w:firstLine="0" w:firstLineChars="0"/>
                        <w:rPr>
                          <w:rFonts w:ascii="宋体" w:hAnsi="宋体" w:eastAsia="宋体" w:cs="宋体"/>
                          <w:szCs w:val="28"/>
                        </w:rPr>
                      </w:pPr>
                      <w:r>
                        <w:rPr>
                          <w:rFonts w:hint="eastAsia" w:ascii="宋体" w:hAnsi="宋体" w:eastAsia="宋体" w:cs="宋体"/>
                          <w:szCs w:val="28"/>
                        </w:rPr>
                        <w:t>　　　　　　　　　　　　　　　　　　　　　    年　月　　日</w:t>
                      </w:r>
                    </w:p>
                  </w:txbxContent>
                </v:textbox>
              </v:shape>
            </w:pict>
          </mc:Fallback>
        </mc:AlternateContent>
      </w:r>
    </w:p>
    <w:p w14:paraId="7EA8941D">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r>
        <w:rPr>
          <w:rFonts w:hint="eastAsia" w:ascii="宋体" w:hAnsi="宋体" w:cs="宋体"/>
          <w:color w:val="auto"/>
          <w:spacing w:val="4"/>
          <w:kern w:val="0"/>
          <w:sz w:val="24"/>
          <w:szCs w:val="24"/>
        </w:rPr>
        <w:t>授权委</w:t>
      </w:r>
    </w:p>
    <w:p w14:paraId="49908785">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3C59810E">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r>
        <w:rPr>
          <w:rFonts w:hint="eastAsia" w:ascii="宋体" w:hAnsi="宋体" w:cs="宋体"/>
          <w:color w:val="auto"/>
          <w:spacing w:val="4"/>
          <w:kern w:val="0"/>
          <w:sz w:val="24"/>
          <w:szCs w:val="24"/>
        </w:rPr>
        <w:t>托证明书</w:t>
      </w:r>
    </w:p>
    <w:p w14:paraId="6213C2C1">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r>
        <w:rPr>
          <w:rFonts w:hint="eastAsia" w:ascii="宋体" w:hAnsi="宋体" w:cs="宋体"/>
          <w:color w:val="auto"/>
          <w:spacing w:val="4"/>
          <w:kern w:val="0"/>
          <w:sz w:val="24"/>
          <w:szCs w:val="24"/>
        </w:rPr>
        <w:t>（　 ）第　号</w:t>
      </w:r>
    </w:p>
    <w:p w14:paraId="7AB75FB2">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r>
        <w:rPr>
          <w:rFonts w:hint="eastAsia" w:ascii="宋体" w:hAnsi="宋体" w:cs="宋体"/>
          <w:color w:val="auto"/>
          <w:spacing w:val="4"/>
          <w:kern w:val="0"/>
          <w:sz w:val="24"/>
          <w:szCs w:val="24"/>
        </w:rPr>
        <w:t>注：按提供的该表格格式填写，或使用从工商管理部门购买的表格填写。</w:t>
      </w:r>
    </w:p>
    <w:p w14:paraId="5275D16E">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7411C063">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1725A828">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6F1AD3F4">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r>
        <w:rPr>
          <w:rFonts w:hint="eastAsia" w:ascii="宋体" w:hAnsi="宋体" w:cs="宋体"/>
          <w:color w:val="auto"/>
          <w:spacing w:val="4"/>
          <w:kern w:val="0"/>
          <w:sz w:val="24"/>
          <w:szCs w:val="24"/>
        </w:rPr>
        <w:t xml:space="preserve">      </w:t>
      </w:r>
    </w:p>
    <w:p w14:paraId="751B35B2">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72C1CB51">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r>
        <w:rPr>
          <w:rFonts w:hint="eastAsia" w:ascii="宋体" w:hAnsi="宋体" w:cs="宋体"/>
          <w:color w:val="auto"/>
          <w:spacing w:val="4"/>
          <w:kern w:val="0"/>
          <w:sz w:val="24"/>
          <w:szCs w:val="24"/>
        </w:rPr>
        <w:t>（2）法定代表人授权委托书</w:t>
      </w:r>
    </w:p>
    <w:p w14:paraId="0A0F5B71">
      <w:pPr>
        <w:widowControl w:val="0"/>
        <w:topLinePunct/>
        <w:adjustRightInd w:val="0"/>
        <w:snapToGrid w:val="0"/>
        <w:spacing w:line="360" w:lineRule="auto"/>
        <w:ind w:firstLine="420" w:firstLineChars="200"/>
        <w:textAlignment w:val="auto"/>
        <w:rPr>
          <w:rFonts w:ascii="宋体" w:hAnsi="宋体" w:cs="宋体"/>
          <w:color w:val="auto"/>
          <w:spacing w:val="4"/>
          <w:kern w:val="0"/>
          <w:sz w:val="24"/>
          <w:szCs w:val="24"/>
        </w:rPr>
      </w:pPr>
      <w:r>
        <w:rPr>
          <w:color w:val="auto"/>
        </w:rPr>
        <mc:AlternateContent>
          <mc:Choice Requires="wps">
            <w:drawing>
              <wp:anchor distT="0" distB="0" distL="114300" distR="114300" simplePos="0" relativeHeight="251660288" behindDoc="0" locked="0" layoutInCell="1" allowOverlap="1">
                <wp:simplePos x="0" y="0"/>
                <wp:positionH relativeFrom="column">
                  <wp:posOffset>-225425</wp:posOffset>
                </wp:positionH>
                <wp:positionV relativeFrom="paragraph">
                  <wp:posOffset>243840</wp:posOffset>
                </wp:positionV>
                <wp:extent cx="5692140" cy="2971800"/>
                <wp:effectExtent l="4445" t="4445" r="18415" b="14605"/>
                <wp:wrapNone/>
                <wp:docPr id="3" name="文本框 2"/>
                <wp:cNvGraphicFramePr/>
                <a:graphic xmlns:a="http://schemas.openxmlformats.org/drawingml/2006/main">
                  <a:graphicData uri="http://schemas.microsoft.com/office/word/2010/wordprocessingShape">
                    <wps:wsp>
                      <wps:cNvSpPr txBox="1"/>
                      <wps:spPr>
                        <a:xfrm>
                          <a:off x="0" y="0"/>
                          <a:ext cx="5692140" cy="2971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C2CEBD">
                            <w:pPr>
                              <w:pStyle w:val="119"/>
                              <w:ind w:firstLine="0" w:firstLineChars="0"/>
                              <w:rPr>
                                <w:rFonts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为我方委托代理人，其权限是：</w:t>
                            </w:r>
                            <w:r>
                              <w:rPr>
                                <w:rFonts w:hint="eastAsia" w:ascii="宋体" w:hAnsi="宋体" w:eastAsia="宋体" w:cs="宋体"/>
                                <w:u w:val="single"/>
                              </w:rPr>
                              <w:t xml:space="preserve">                </w:t>
                            </w:r>
                          </w:p>
                          <w:p w14:paraId="1B7716A9">
                            <w:pPr>
                              <w:pStyle w:val="119"/>
                              <w:ind w:firstLine="0" w:firstLineChars="0"/>
                              <w:rPr>
                                <w:rFonts w:ascii="宋体" w:hAnsi="宋体" w:eastAsia="宋体" w:cs="宋体"/>
                                <w:u w:val="single"/>
                              </w:rPr>
                            </w:pPr>
                            <w:r>
                              <w:rPr>
                                <w:rFonts w:hint="eastAsia" w:ascii="宋体" w:hAnsi="宋体" w:eastAsia="宋体" w:cs="宋体"/>
                              </w:rPr>
                              <w:t xml:space="preserve"> </w:t>
                            </w:r>
                            <w:r>
                              <w:rPr>
                                <w:rFonts w:hint="eastAsia" w:ascii="宋体" w:hAnsi="宋体" w:eastAsia="宋体" w:cs="宋体"/>
                                <w:u w:val="single"/>
                              </w:rPr>
                              <w:t xml:space="preserve">                                                                </w:t>
                            </w:r>
                          </w:p>
                          <w:p w14:paraId="4944EB84">
                            <w:pPr>
                              <w:pStyle w:val="119"/>
                              <w:ind w:firstLine="0" w:firstLineChars="0"/>
                              <w:rPr>
                                <w:rFonts w:ascii="宋体" w:hAnsi="宋体" w:eastAsia="宋体" w:cs="宋体"/>
                              </w:rPr>
                            </w:pPr>
                            <w:r>
                              <w:rPr>
                                <w:rFonts w:hint="eastAsia" w:ascii="宋体" w:hAnsi="宋体" w:eastAsia="宋体" w:cs="宋体"/>
                              </w:rPr>
                              <w:t>有效期限：</w:t>
                            </w:r>
                            <w:r>
                              <w:rPr>
                                <w:rFonts w:hint="eastAsia" w:ascii="宋体" w:hAnsi="宋体" w:eastAsia="宋体" w:cs="宋体"/>
                                <w:u w:val="single"/>
                              </w:rPr>
                              <w:t xml:space="preserve">                                                        </w:t>
                            </w:r>
                          </w:p>
                          <w:p w14:paraId="201678EA">
                            <w:pPr>
                              <w:pStyle w:val="119"/>
                              <w:ind w:firstLine="496"/>
                              <w:rPr>
                                <w:rFonts w:ascii="宋体" w:hAnsi="宋体" w:eastAsia="宋体" w:cs="宋体"/>
                              </w:rPr>
                            </w:pPr>
                          </w:p>
                          <w:p w14:paraId="1B48E6CC">
                            <w:pPr>
                              <w:pStyle w:val="119"/>
                              <w:ind w:firstLine="0" w:firstLineChars="0"/>
                              <w:rPr>
                                <w:rFonts w:ascii="宋体" w:hAnsi="宋体" w:eastAsia="宋体" w:cs="宋体"/>
                              </w:rPr>
                            </w:pPr>
                            <w:r>
                              <w:rPr>
                                <w:rFonts w:hint="eastAsia" w:ascii="宋体" w:hAnsi="宋体" w:eastAsia="宋体" w:cs="宋体"/>
                              </w:rPr>
                              <w:t>附：代理人性别：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身份证号码：</w:t>
                            </w:r>
                            <w:r>
                              <w:rPr>
                                <w:rFonts w:hint="eastAsia" w:ascii="宋体" w:hAnsi="宋体" w:eastAsia="宋体" w:cs="宋体"/>
                                <w:u w:val="single"/>
                              </w:rPr>
                              <w:t xml:space="preserve">                       </w:t>
                            </w:r>
                          </w:p>
                          <w:p w14:paraId="03C2FB72">
                            <w:pPr>
                              <w:pStyle w:val="119"/>
                              <w:ind w:firstLine="0" w:firstLineChars="0"/>
                              <w:rPr>
                                <w:rFonts w:ascii="宋体" w:hAnsi="宋体" w:eastAsia="宋体" w:cs="宋体"/>
                              </w:rPr>
                            </w:pPr>
                            <w:r>
                              <w:rPr>
                                <w:rFonts w:hint="eastAsia" w:ascii="宋体" w:hAnsi="宋体" w:eastAsia="宋体" w:cs="宋体"/>
                                <w:szCs w:val="28"/>
                              </w:rPr>
                              <w:t>统一社会信用代码</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企业类型：</w:t>
                            </w:r>
                            <w:r>
                              <w:rPr>
                                <w:rFonts w:hint="eastAsia" w:ascii="宋体" w:hAnsi="宋体" w:eastAsia="宋体" w:cs="宋体"/>
                                <w:u w:val="single"/>
                              </w:rPr>
                              <w:t xml:space="preserve">                            </w:t>
                            </w:r>
                          </w:p>
                          <w:p w14:paraId="157F1D74">
                            <w:pPr>
                              <w:pStyle w:val="119"/>
                              <w:ind w:firstLine="0" w:firstLineChars="0"/>
                              <w:rPr>
                                <w:rFonts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p>
                          <w:p w14:paraId="13B89256">
                            <w:pPr>
                              <w:pStyle w:val="119"/>
                              <w:ind w:firstLine="0" w:firstLineChars="0"/>
                              <w:rPr>
                                <w:rFonts w:ascii="宋体" w:hAnsi="宋体" w:eastAsia="宋体" w:cs="宋体"/>
                              </w:rPr>
                            </w:pPr>
                            <w:r>
                              <w:rPr>
                                <w:rFonts w:hint="eastAsia" w:ascii="宋体" w:hAnsi="宋体" w:eastAsia="宋体" w:cs="宋体"/>
                              </w:rPr>
                              <w:t>法定代表人（负责人）：</w:t>
                            </w:r>
                            <w:r>
                              <w:rPr>
                                <w:rFonts w:hint="eastAsia" w:ascii="宋体" w:hAnsi="宋体" w:eastAsia="宋体" w:cs="宋体"/>
                                <w:u w:val="single"/>
                              </w:rPr>
                              <w:t xml:space="preserve">                 </w:t>
                            </w:r>
                            <w:r>
                              <w:rPr>
                                <w:rFonts w:hint="eastAsia" w:ascii="宋体" w:hAnsi="宋体" w:eastAsia="宋体" w:cs="宋体"/>
                              </w:rPr>
                              <w:t>（签名或盖章）</w:t>
                            </w:r>
                          </w:p>
                          <w:p w14:paraId="2EA3E534">
                            <w:pPr>
                              <w:pStyle w:val="119"/>
                              <w:ind w:firstLine="0" w:firstLineChars="0"/>
                              <w:rPr>
                                <w:rFonts w:ascii="宋体" w:hAnsi="宋体" w:eastAsia="宋体" w:cs="宋体"/>
                              </w:rPr>
                            </w:pPr>
                            <w:r>
                              <w:rPr>
                                <w:rFonts w:hint="eastAsia" w:ascii="宋体" w:hAnsi="宋体" w:eastAsia="宋体" w:cs="宋体"/>
                              </w:rPr>
                              <w:t>授权单位：（盖章）</w:t>
                            </w:r>
                            <w:r>
                              <w:rPr>
                                <w:rFonts w:hint="eastAsia" w:ascii="宋体" w:hAnsi="宋体" w:eastAsia="宋体" w:cs="宋体"/>
                                <w:u w:val="single"/>
                              </w:rPr>
                              <w:t xml:space="preserve">                      </w:t>
                            </w:r>
                          </w:p>
                          <w:p w14:paraId="4F744847">
                            <w:pPr>
                              <w:pStyle w:val="119"/>
                              <w:ind w:firstLine="5828" w:firstLineChars="2350"/>
                              <w:rPr>
                                <w:rFonts w:ascii="宋体" w:hAnsi="宋体" w:eastAsia="宋体" w:cs="宋体"/>
                              </w:rPr>
                            </w:pPr>
                            <w:r>
                              <w:rPr>
                                <w:rFonts w:hint="eastAsia" w:ascii="宋体" w:hAnsi="宋体" w:eastAsia="宋体" w:cs="宋体"/>
                              </w:rPr>
                              <w:t>年  月   日</w:t>
                            </w:r>
                          </w:p>
                        </w:txbxContent>
                      </wps:txbx>
                      <wps:bodyPr wrap="square" upright="1"/>
                    </wps:wsp>
                  </a:graphicData>
                </a:graphic>
              </wp:anchor>
            </w:drawing>
          </mc:Choice>
          <mc:Fallback>
            <w:pict>
              <v:shape id="文本框 2" o:spid="_x0000_s1026" o:spt="202" type="#_x0000_t202" style="position:absolute;left:0pt;margin-left:-17.75pt;margin-top:19.2pt;height:234pt;width:448.2pt;z-index:251660288;mso-width-relative:page;mso-height-relative:page;" fillcolor="#FFFFFF" filled="t" stroked="t" coordsize="21600,21600" o:gfxdata="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JrJSna&#10;AAAACgEAAA8AAAAAAAAAAQAgAAAAIgAAAGRycy9kb3ducmV2LnhtbFBLAQIUABQAAAAIAIdO4kDe&#10;MnkXHgIAAFMEAAAOAAAAAAAAAAEAIAAAACkBAABkcnMvZTJvRG9jLnhtbFBLBQYAAAAABgAGAFkB&#10;AAC5BQAAAAA=&#10;">
                <v:fill on="t" focussize="0,0"/>
                <v:stroke color="#000000" joinstyle="miter"/>
                <v:imagedata o:title=""/>
                <o:lock v:ext="edit" aspectratio="f"/>
                <v:textbox>
                  <w:txbxContent>
                    <w:p w14:paraId="77C2CEBD">
                      <w:pPr>
                        <w:pStyle w:val="119"/>
                        <w:ind w:firstLine="0" w:firstLineChars="0"/>
                        <w:rPr>
                          <w:rFonts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为我方委托代理人，其权限是：</w:t>
                      </w:r>
                      <w:r>
                        <w:rPr>
                          <w:rFonts w:hint="eastAsia" w:ascii="宋体" w:hAnsi="宋体" w:eastAsia="宋体" w:cs="宋体"/>
                          <w:u w:val="single"/>
                        </w:rPr>
                        <w:t xml:space="preserve">                </w:t>
                      </w:r>
                    </w:p>
                    <w:p w14:paraId="1B7716A9">
                      <w:pPr>
                        <w:pStyle w:val="119"/>
                        <w:ind w:firstLine="0" w:firstLineChars="0"/>
                        <w:rPr>
                          <w:rFonts w:ascii="宋体" w:hAnsi="宋体" w:eastAsia="宋体" w:cs="宋体"/>
                          <w:u w:val="single"/>
                        </w:rPr>
                      </w:pPr>
                      <w:r>
                        <w:rPr>
                          <w:rFonts w:hint="eastAsia" w:ascii="宋体" w:hAnsi="宋体" w:eastAsia="宋体" w:cs="宋体"/>
                        </w:rPr>
                        <w:t xml:space="preserve"> </w:t>
                      </w:r>
                      <w:r>
                        <w:rPr>
                          <w:rFonts w:hint="eastAsia" w:ascii="宋体" w:hAnsi="宋体" w:eastAsia="宋体" w:cs="宋体"/>
                          <w:u w:val="single"/>
                        </w:rPr>
                        <w:t xml:space="preserve">                                                                </w:t>
                      </w:r>
                    </w:p>
                    <w:p w14:paraId="4944EB84">
                      <w:pPr>
                        <w:pStyle w:val="119"/>
                        <w:ind w:firstLine="0" w:firstLineChars="0"/>
                        <w:rPr>
                          <w:rFonts w:ascii="宋体" w:hAnsi="宋体" w:eastAsia="宋体" w:cs="宋体"/>
                        </w:rPr>
                      </w:pPr>
                      <w:r>
                        <w:rPr>
                          <w:rFonts w:hint="eastAsia" w:ascii="宋体" w:hAnsi="宋体" w:eastAsia="宋体" w:cs="宋体"/>
                        </w:rPr>
                        <w:t>有效期限：</w:t>
                      </w:r>
                      <w:r>
                        <w:rPr>
                          <w:rFonts w:hint="eastAsia" w:ascii="宋体" w:hAnsi="宋体" w:eastAsia="宋体" w:cs="宋体"/>
                          <w:u w:val="single"/>
                        </w:rPr>
                        <w:t xml:space="preserve">                                                        </w:t>
                      </w:r>
                    </w:p>
                    <w:p w14:paraId="201678EA">
                      <w:pPr>
                        <w:pStyle w:val="119"/>
                        <w:ind w:firstLine="496"/>
                        <w:rPr>
                          <w:rFonts w:ascii="宋体" w:hAnsi="宋体" w:eastAsia="宋体" w:cs="宋体"/>
                        </w:rPr>
                      </w:pPr>
                    </w:p>
                    <w:p w14:paraId="1B48E6CC">
                      <w:pPr>
                        <w:pStyle w:val="119"/>
                        <w:ind w:firstLine="0" w:firstLineChars="0"/>
                        <w:rPr>
                          <w:rFonts w:ascii="宋体" w:hAnsi="宋体" w:eastAsia="宋体" w:cs="宋体"/>
                        </w:rPr>
                      </w:pPr>
                      <w:r>
                        <w:rPr>
                          <w:rFonts w:hint="eastAsia" w:ascii="宋体" w:hAnsi="宋体" w:eastAsia="宋体" w:cs="宋体"/>
                        </w:rPr>
                        <w:t>附：代理人性别：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身份证号码：</w:t>
                      </w:r>
                      <w:r>
                        <w:rPr>
                          <w:rFonts w:hint="eastAsia" w:ascii="宋体" w:hAnsi="宋体" w:eastAsia="宋体" w:cs="宋体"/>
                          <w:u w:val="single"/>
                        </w:rPr>
                        <w:t xml:space="preserve">                       </w:t>
                      </w:r>
                    </w:p>
                    <w:p w14:paraId="03C2FB72">
                      <w:pPr>
                        <w:pStyle w:val="119"/>
                        <w:ind w:firstLine="0" w:firstLineChars="0"/>
                        <w:rPr>
                          <w:rFonts w:ascii="宋体" w:hAnsi="宋体" w:eastAsia="宋体" w:cs="宋体"/>
                        </w:rPr>
                      </w:pPr>
                      <w:r>
                        <w:rPr>
                          <w:rFonts w:hint="eastAsia" w:ascii="宋体" w:hAnsi="宋体" w:eastAsia="宋体" w:cs="宋体"/>
                          <w:szCs w:val="28"/>
                        </w:rPr>
                        <w:t>统一社会信用代码</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企业类型：</w:t>
                      </w:r>
                      <w:r>
                        <w:rPr>
                          <w:rFonts w:hint="eastAsia" w:ascii="宋体" w:hAnsi="宋体" w:eastAsia="宋体" w:cs="宋体"/>
                          <w:u w:val="single"/>
                        </w:rPr>
                        <w:t xml:space="preserve">                            </w:t>
                      </w:r>
                    </w:p>
                    <w:p w14:paraId="157F1D74">
                      <w:pPr>
                        <w:pStyle w:val="119"/>
                        <w:ind w:firstLine="0" w:firstLineChars="0"/>
                        <w:rPr>
                          <w:rFonts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p>
                    <w:p w14:paraId="13B89256">
                      <w:pPr>
                        <w:pStyle w:val="119"/>
                        <w:ind w:firstLine="0" w:firstLineChars="0"/>
                        <w:rPr>
                          <w:rFonts w:ascii="宋体" w:hAnsi="宋体" w:eastAsia="宋体" w:cs="宋体"/>
                        </w:rPr>
                      </w:pPr>
                      <w:r>
                        <w:rPr>
                          <w:rFonts w:hint="eastAsia" w:ascii="宋体" w:hAnsi="宋体" w:eastAsia="宋体" w:cs="宋体"/>
                        </w:rPr>
                        <w:t>法定代表人（负责人）：</w:t>
                      </w:r>
                      <w:r>
                        <w:rPr>
                          <w:rFonts w:hint="eastAsia" w:ascii="宋体" w:hAnsi="宋体" w:eastAsia="宋体" w:cs="宋体"/>
                          <w:u w:val="single"/>
                        </w:rPr>
                        <w:t xml:space="preserve">                 </w:t>
                      </w:r>
                      <w:r>
                        <w:rPr>
                          <w:rFonts w:hint="eastAsia" w:ascii="宋体" w:hAnsi="宋体" w:eastAsia="宋体" w:cs="宋体"/>
                        </w:rPr>
                        <w:t>（签名或盖章）</w:t>
                      </w:r>
                    </w:p>
                    <w:p w14:paraId="2EA3E534">
                      <w:pPr>
                        <w:pStyle w:val="119"/>
                        <w:ind w:firstLine="0" w:firstLineChars="0"/>
                        <w:rPr>
                          <w:rFonts w:ascii="宋体" w:hAnsi="宋体" w:eastAsia="宋体" w:cs="宋体"/>
                        </w:rPr>
                      </w:pPr>
                      <w:r>
                        <w:rPr>
                          <w:rFonts w:hint="eastAsia" w:ascii="宋体" w:hAnsi="宋体" w:eastAsia="宋体" w:cs="宋体"/>
                        </w:rPr>
                        <w:t>授权单位：（盖章）</w:t>
                      </w:r>
                      <w:r>
                        <w:rPr>
                          <w:rFonts w:hint="eastAsia" w:ascii="宋体" w:hAnsi="宋体" w:eastAsia="宋体" w:cs="宋体"/>
                          <w:u w:val="single"/>
                        </w:rPr>
                        <w:t xml:space="preserve">                      </w:t>
                      </w:r>
                    </w:p>
                    <w:p w14:paraId="4F744847">
                      <w:pPr>
                        <w:pStyle w:val="119"/>
                        <w:ind w:firstLine="5828" w:firstLineChars="2350"/>
                        <w:rPr>
                          <w:rFonts w:ascii="宋体" w:hAnsi="宋体" w:eastAsia="宋体" w:cs="宋体"/>
                        </w:rPr>
                      </w:pPr>
                      <w:r>
                        <w:rPr>
                          <w:rFonts w:hint="eastAsia" w:ascii="宋体" w:hAnsi="宋体" w:eastAsia="宋体" w:cs="宋体"/>
                        </w:rPr>
                        <w:t>年  月   日</w:t>
                      </w:r>
                    </w:p>
                  </w:txbxContent>
                </v:textbox>
              </v:shape>
            </w:pict>
          </mc:Fallback>
        </mc:AlternateContent>
      </w:r>
      <w:r>
        <w:rPr>
          <w:rFonts w:hint="eastAsia" w:ascii="宋体" w:hAnsi="宋体" w:cs="宋体"/>
          <w:color w:val="auto"/>
          <w:spacing w:val="4"/>
          <w:kern w:val="0"/>
          <w:sz w:val="24"/>
          <w:szCs w:val="24"/>
        </w:rPr>
        <w:t xml:space="preserve">                                              （   ）第  号</w:t>
      </w:r>
    </w:p>
    <w:p w14:paraId="62C447E9">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28E4E297">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4537E67C">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0D21224E">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70025043">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1B55F1B7">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479813BD">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0086A24F">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218D1359">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35683968">
      <w:pPr>
        <w:widowControl w:val="0"/>
        <w:topLinePunct/>
        <w:adjustRightInd w:val="0"/>
        <w:snapToGrid w:val="0"/>
        <w:spacing w:line="360" w:lineRule="auto"/>
        <w:ind w:firstLine="496" w:firstLineChars="200"/>
        <w:textAlignment w:val="auto"/>
        <w:rPr>
          <w:rFonts w:ascii="宋体" w:hAnsi="宋体" w:cs="宋体"/>
          <w:color w:val="auto"/>
          <w:spacing w:val="4"/>
          <w:kern w:val="0"/>
          <w:sz w:val="24"/>
          <w:szCs w:val="24"/>
        </w:rPr>
      </w:pPr>
    </w:p>
    <w:p w14:paraId="1C409755">
      <w:pPr>
        <w:widowControl w:val="0"/>
        <w:topLinePunct/>
        <w:adjustRightInd w:val="0"/>
        <w:snapToGrid w:val="0"/>
        <w:spacing w:line="276" w:lineRule="auto"/>
        <w:ind w:firstLine="436" w:firstLineChars="200"/>
        <w:textAlignment w:val="auto"/>
        <w:rPr>
          <w:rFonts w:ascii="宋体" w:hAnsi="宋体" w:cs="宋体"/>
          <w:color w:val="auto"/>
          <w:spacing w:val="4"/>
          <w:kern w:val="0"/>
          <w:szCs w:val="21"/>
        </w:rPr>
      </w:pPr>
      <w:r>
        <w:rPr>
          <w:rFonts w:hint="eastAsia" w:ascii="宋体" w:hAnsi="宋体" w:cs="宋体"/>
          <w:color w:val="auto"/>
          <w:spacing w:val="4"/>
          <w:kern w:val="0"/>
          <w:szCs w:val="21"/>
        </w:rPr>
        <w:t>注：该格式供参考。</w:t>
      </w:r>
    </w:p>
    <w:p w14:paraId="04DAB875">
      <w:pPr>
        <w:widowControl w:val="0"/>
        <w:spacing w:line="276" w:lineRule="auto"/>
        <w:ind w:firstLine="630" w:firstLineChars="300"/>
        <w:textAlignment w:val="auto"/>
        <w:rPr>
          <w:rFonts w:ascii="宋体" w:hAnsi="宋体" w:cs="宋体"/>
          <w:b/>
          <w:color w:val="auto"/>
          <w:szCs w:val="21"/>
        </w:rPr>
      </w:pPr>
      <w:r>
        <w:rPr>
          <w:rFonts w:hint="eastAsia" w:ascii="宋体" w:hAnsi="宋体" w:cs="宋体"/>
          <w:b/>
          <w:color w:val="auto"/>
          <w:szCs w:val="21"/>
        </w:rPr>
        <w:t>后附法定代表人身份证复印件和授权代理人身份证复印件</w:t>
      </w:r>
    </w:p>
    <w:p w14:paraId="36A27385">
      <w:pPr>
        <w:spacing w:line="360" w:lineRule="auto"/>
        <w:rPr>
          <w:rStyle w:val="122"/>
          <w:rFonts w:ascii="宋体" w:hAnsi="宋体"/>
          <w:b/>
          <w:color w:val="auto"/>
          <w:sz w:val="24"/>
          <w:szCs w:val="24"/>
        </w:rPr>
      </w:pPr>
      <w:r>
        <w:rPr>
          <w:rFonts w:ascii="宋体" w:hAnsi="宋体"/>
          <w:color w:val="auto"/>
        </w:rPr>
        <w:br w:type="page"/>
      </w:r>
      <w:r>
        <w:rPr>
          <w:rStyle w:val="122"/>
          <w:rFonts w:ascii="宋体" w:hAnsi="宋体"/>
          <w:b/>
          <w:color w:val="auto"/>
          <w:sz w:val="24"/>
          <w:szCs w:val="24"/>
        </w:rPr>
        <w:t>格式</w:t>
      </w:r>
      <w:r>
        <w:rPr>
          <w:rStyle w:val="122"/>
          <w:rFonts w:hint="eastAsia" w:ascii="宋体" w:hAnsi="宋体"/>
          <w:b/>
          <w:color w:val="auto"/>
          <w:sz w:val="24"/>
          <w:szCs w:val="24"/>
        </w:rPr>
        <w:t>四：</w:t>
      </w:r>
    </w:p>
    <w:p w14:paraId="1982BB78">
      <w:pPr>
        <w:autoSpaceDE w:val="0"/>
        <w:autoSpaceDN w:val="0"/>
        <w:adjustRightInd w:val="0"/>
        <w:rPr>
          <w:rStyle w:val="122"/>
          <w:rFonts w:ascii="宋体" w:hAnsi="宋体"/>
          <w:b/>
          <w:color w:val="auto"/>
          <w:sz w:val="24"/>
          <w:szCs w:val="24"/>
        </w:rPr>
      </w:pPr>
    </w:p>
    <w:p w14:paraId="0164E1CF">
      <w:pPr>
        <w:pStyle w:val="163"/>
        <w:spacing w:before="156" w:beforeLines="50" w:after="156"/>
        <w:rPr>
          <w:bCs/>
          <w:color w:val="auto"/>
          <w:sz w:val="30"/>
          <w:szCs w:val="30"/>
        </w:rPr>
      </w:pPr>
      <w:r>
        <w:rPr>
          <w:rFonts w:hint="eastAsia"/>
          <w:bCs/>
          <w:color w:val="auto"/>
          <w:sz w:val="30"/>
          <w:szCs w:val="30"/>
        </w:rPr>
        <w:t>资格审查文件</w:t>
      </w:r>
    </w:p>
    <w:p w14:paraId="5A5D208F">
      <w:pPr>
        <w:widowControl w:val="0"/>
        <w:topLinePunct/>
        <w:adjustRightInd w:val="0"/>
        <w:snapToGrid w:val="0"/>
        <w:spacing w:line="360" w:lineRule="auto"/>
        <w:ind w:firstLine="436" w:firstLineChars="200"/>
        <w:textAlignment w:val="auto"/>
        <w:rPr>
          <w:rFonts w:ascii="宋体" w:hAnsi="宋体" w:cs="宋体"/>
          <w:color w:val="auto"/>
          <w:spacing w:val="4"/>
          <w:kern w:val="0"/>
          <w:szCs w:val="21"/>
        </w:rPr>
      </w:pPr>
      <w:r>
        <w:rPr>
          <w:rFonts w:hint="eastAsia" w:ascii="宋体" w:hAnsi="宋体" w:cs="宋体"/>
          <w:color w:val="auto"/>
          <w:spacing w:val="4"/>
          <w:kern w:val="0"/>
          <w:szCs w:val="21"/>
        </w:rPr>
        <w:t>注：按投标须知修改表11.2.2条款及《资格审查表》要求提交，格式自拟。</w:t>
      </w:r>
    </w:p>
    <w:p w14:paraId="2CA8BEF4">
      <w:pPr>
        <w:autoSpaceDE w:val="0"/>
        <w:autoSpaceDN w:val="0"/>
        <w:adjustRightInd w:val="0"/>
        <w:rPr>
          <w:rStyle w:val="122"/>
          <w:rFonts w:ascii="宋体" w:hAnsi="宋体"/>
          <w:color w:val="auto"/>
        </w:rPr>
      </w:pPr>
      <w:r>
        <w:rPr>
          <w:rStyle w:val="122"/>
          <w:rFonts w:hint="eastAsia" w:ascii="宋体" w:hAnsi="宋体"/>
          <w:b/>
          <w:color w:val="auto"/>
          <w:sz w:val="24"/>
          <w:szCs w:val="24"/>
        </w:rPr>
        <w:br w:type="column"/>
      </w:r>
      <w:r>
        <w:rPr>
          <w:rStyle w:val="122"/>
          <w:rFonts w:hint="eastAsia" w:ascii="宋体" w:hAnsi="宋体"/>
          <w:b/>
          <w:color w:val="auto"/>
          <w:sz w:val="24"/>
          <w:szCs w:val="24"/>
        </w:rPr>
        <w:t>格式五：</w:t>
      </w:r>
    </w:p>
    <w:p w14:paraId="7AD4537C">
      <w:pPr>
        <w:pStyle w:val="163"/>
        <w:spacing w:before="156" w:beforeLines="50" w:after="156"/>
        <w:rPr>
          <w:bCs/>
          <w:color w:val="auto"/>
          <w:sz w:val="30"/>
          <w:szCs w:val="30"/>
        </w:rPr>
      </w:pPr>
      <w:r>
        <w:rPr>
          <w:rFonts w:hint="eastAsia"/>
          <w:bCs/>
          <w:color w:val="auto"/>
          <w:sz w:val="30"/>
          <w:szCs w:val="30"/>
        </w:rPr>
        <w:t>技术评审资料</w:t>
      </w:r>
    </w:p>
    <w:p w14:paraId="22BA5582">
      <w:pPr>
        <w:widowControl w:val="0"/>
        <w:topLinePunct/>
        <w:adjustRightInd w:val="0"/>
        <w:snapToGrid w:val="0"/>
        <w:spacing w:line="360" w:lineRule="auto"/>
        <w:ind w:firstLine="436" w:firstLineChars="200"/>
        <w:textAlignment w:val="auto"/>
        <w:rPr>
          <w:rFonts w:ascii="宋体" w:hAnsi="宋体" w:cs="宋体"/>
          <w:color w:val="auto"/>
          <w:spacing w:val="4"/>
          <w:kern w:val="0"/>
          <w:szCs w:val="21"/>
        </w:rPr>
      </w:pPr>
      <w:r>
        <w:rPr>
          <w:rFonts w:hint="eastAsia" w:ascii="宋体" w:hAnsi="宋体" w:cs="宋体"/>
          <w:color w:val="auto"/>
          <w:spacing w:val="4"/>
          <w:kern w:val="0"/>
          <w:szCs w:val="21"/>
        </w:rPr>
        <w:t>注：按《技术标有效性审查表》及《技术标详细审查评分表》要求提交，格式如无要求可自拟。</w:t>
      </w:r>
    </w:p>
    <w:p w14:paraId="27951A91">
      <w:pPr>
        <w:pStyle w:val="4"/>
        <w:rPr>
          <w:color w:val="auto"/>
        </w:rPr>
      </w:pPr>
    </w:p>
    <w:p w14:paraId="718D3943">
      <w:pPr>
        <w:autoSpaceDE w:val="0"/>
        <w:autoSpaceDN w:val="0"/>
        <w:adjustRightInd w:val="0"/>
        <w:rPr>
          <w:rStyle w:val="122"/>
          <w:rFonts w:ascii="宋体" w:hAnsi="宋体"/>
          <w:b/>
          <w:color w:val="auto"/>
          <w:sz w:val="24"/>
          <w:szCs w:val="24"/>
        </w:rPr>
        <w:sectPr>
          <w:footerReference r:id="rId15" w:type="default"/>
          <w:pgSz w:w="11906" w:h="16838"/>
          <w:pgMar w:top="1418" w:right="1418" w:bottom="1418" w:left="1418" w:header="851" w:footer="737" w:gutter="0"/>
          <w:pgNumType w:fmt="decimal"/>
          <w:cols w:space="720" w:num="1"/>
          <w:docGrid w:type="linesAndChars" w:linePitch="312" w:charSpace="0"/>
        </w:sectPr>
      </w:pPr>
    </w:p>
    <w:p w14:paraId="2D5E47D4">
      <w:pPr>
        <w:autoSpaceDE w:val="0"/>
        <w:autoSpaceDN w:val="0"/>
        <w:adjustRightInd w:val="0"/>
        <w:rPr>
          <w:rStyle w:val="122"/>
          <w:rFonts w:ascii="宋体" w:hAnsi="宋体"/>
          <w:b/>
          <w:color w:val="auto"/>
          <w:sz w:val="24"/>
          <w:szCs w:val="24"/>
        </w:rPr>
      </w:pPr>
      <w:r>
        <w:rPr>
          <w:rStyle w:val="122"/>
          <w:rFonts w:hint="eastAsia" w:ascii="宋体" w:hAnsi="宋体"/>
          <w:b/>
          <w:color w:val="auto"/>
          <w:sz w:val="24"/>
          <w:szCs w:val="24"/>
        </w:rPr>
        <w:t>格式六：</w:t>
      </w:r>
    </w:p>
    <w:p w14:paraId="1C71C234">
      <w:pPr>
        <w:pStyle w:val="163"/>
        <w:spacing w:before="156" w:beforeLines="50" w:after="156" w:line="240" w:lineRule="auto"/>
        <w:rPr>
          <w:rStyle w:val="122"/>
          <w:bCs/>
          <w:color w:val="auto"/>
          <w:sz w:val="30"/>
          <w:szCs w:val="30"/>
        </w:rPr>
      </w:pPr>
      <w:bookmarkStart w:id="40" w:name="_Hlk184204618"/>
      <w:r>
        <w:rPr>
          <w:rStyle w:val="122"/>
          <w:rFonts w:hint="eastAsia"/>
          <w:bCs/>
          <w:color w:val="auto"/>
          <w:sz w:val="30"/>
          <w:szCs w:val="30"/>
        </w:rPr>
        <w:t>危险性较大的分部分项工程清单及</w:t>
      </w:r>
    </w:p>
    <w:p w14:paraId="60DE60B1">
      <w:pPr>
        <w:pStyle w:val="163"/>
        <w:spacing w:before="156" w:beforeLines="50" w:after="156" w:line="240" w:lineRule="auto"/>
        <w:rPr>
          <w:rStyle w:val="122"/>
          <w:bCs/>
          <w:color w:val="auto"/>
          <w:sz w:val="30"/>
          <w:szCs w:val="30"/>
        </w:rPr>
      </w:pPr>
      <w:r>
        <w:rPr>
          <w:rStyle w:val="122"/>
          <w:rFonts w:hint="eastAsia"/>
          <w:bCs/>
          <w:color w:val="auto"/>
          <w:sz w:val="30"/>
          <w:szCs w:val="30"/>
        </w:rPr>
        <w:t>超过一定规模的危险性较大的分部分项工程清单</w:t>
      </w:r>
    </w:p>
    <w:p w14:paraId="149FC846">
      <w:pPr>
        <w:widowControl w:val="0"/>
        <w:autoSpaceDE w:val="0"/>
        <w:autoSpaceDN w:val="0"/>
        <w:adjustRightInd w:val="0"/>
        <w:spacing w:line="276"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1.根据中华人民共和国住房和城乡建设部令第37号《危险性较大的分部分项工程安全管理规定》（以下简称“37号文”），投标人在投标时须补充完善危大工程清单并明确相应的安全管理措施。</w:t>
      </w:r>
    </w:p>
    <w:p w14:paraId="7569A622">
      <w:pPr>
        <w:widowControl w:val="0"/>
        <w:autoSpaceDE w:val="0"/>
        <w:autoSpaceDN w:val="0"/>
        <w:adjustRightInd w:val="0"/>
        <w:spacing w:line="276"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2.招标人根据设计文件的要求及37号文的规定列出“危险性较大的分部分项工程清单及超过一定规模的危险性较大的分部分项工程清单”中与本招标项目相关的清单项，具体详见第5点“打√”标识。</w:t>
      </w:r>
    </w:p>
    <w:p w14:paraId="3CBEDBEE">
      <w:pPr>
        <w:widowControl w:val="0"/>
        <w:autoSpaceDE w:val="0"/>
        <w:autoSpaceDN w:val="0"/>
        <w:adjustRightInd w:val="0"/>
        <w:spacing w:line="276"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（1）投标单位同意建设单位在清单中标识的该项请在对应项打“√”标识，并与投标文件中提供相应的安全管理措施。</w:t>
      </w:r>
    </w:p>
    <w:p w14:paraId="3AB87E75">
      <w:pPr>
        <w:widowControl w:val="0"/>
        <w:autoSpaceDE w:val="0"/>
        <w:autoSpaceDN w:val="0"/>
        <w:adjustRightInd w:val="0"/>
        <w:spacing w:line="276"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（2）投标单位对清单中认为需要补充的该项请在对应项打“√”标识，并与投标文件中提供相应的安全管理措施。</w:t>
      </w:r>
    </w:p>
    <w:p w14:paraId="0A7063FD">
      <w:pPr>
        <w:widowControl w:val="0"/>
        <w:autoSpaceDE w:val="0"/>
        <w:autoSpaceDN w:val="0"/>
        <w:adjustRightInd w:val="0"/>
        <w:spacing w:line="276"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（3）投标单位不同意建设单位在清单中标识的该项请在对应项打“×”标识，并在备注栏填上相关说明。</w:t>
      </w:r>
    </w:p>
    <w:p w14:paraId="5DD7AC7C">
      <w:pPr>
        <w:widowControl w:val="0"/>
        <w:autoSpaceDE w:val="0"/>
        <w:autoSpaceDN w:val="0"/>
        <w:adjustRightInd w:val="0"/>
        <w:spacing w:line="276"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3.投标单位中标后应当根据招标人提供的下述第5点清单，在</w:t>
      </w:r>
      <w:r>
        <w:rPr>
          <w:rStyle w:val="30"/>
          <w:rFonts w:hint="eastAsia"/>
          <w:color w:val="auto"/>
        </w:rPr>
        <w:t>施工前</w:t>
      </w:r>
      <w:r>
        <w:rPr>
          <w:rFonts w:hint="eastAsia" w:ascii="宋体" w:hAnsi="宋体" w:cs="宋体"/>
          <w:color w:val="auto"/>
          <w:szCs w:val="21"/>
        </w:rPr>
        <w:t>编制专项施工方案。</w:t>
      </w:r>
    </w:p>
    <w:p w14:paraId="69933BF5">
      <w:pPr>
        <w:widowControl w:val="0"/>
        <w:autoSpaceDE w:val="0"/>
        <w:autoSpaceDN w:val="0"/>
        <w:adjustRightInd w:val="0"/>
        <w:spacing w:line="276"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7E31001">
      <w:pPr>
        <w:widowControl w:val="0"/>
        <w:autoSpaceDE w:val="0"/>
        <w:autoSpaceDN w:val="0"/>
        <w:adjustRightInd w:val="0"/>
        <w:spacing w:line="276"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5.危险性较大的分部分项工程清单及超过一定规模的危险性较大的分部分项工程清单：</w:t>
      </w:r>
    </w:p>
    <w:bookmarkEnd w:id="40"/>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195"/>
        <w:gridCol w:w="1204"/>
        <w:gridCol w:w="760"/>
      </w:tblGrid>
      <w:tr w14:paraId="6204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397578A3">
            <w:pPr>
              <w:adjustRightInd w:val="0"/>
              <w:snapToGrid w:val="0"/>
              <w:spacing w:line="320" w:lineRule="exact"/>
              <w:rPr>
                <w:rFonts w:ascii="宋体" w:hAnsi="宋体" w:cs="宋体"/>
                <w:b/>
                <w:color w:val="auto"/>
                <w:szCs w:val="21"/>
              </w:rPr>
            </w:pPr>
            <w:r>
              <w:rPr>
                <w:rFonts w:hint="eastAsia" w:ascii="宋体" w:hAnsi="宋体" w:cs="宋体"/>
                <w:b/>
                <w:color w:val="auto"/>
                <w:szCs w:val="21"/>
              </w:rPr>
              <w:t>一、危险性较大的分部分项工程清单</w:t>
            </w:r>
          </w:p>
        </w:tc>
        <w:tc>
          <w:tcPr>
            <w:tcW w:w="1195" w:type="dxa"/>
            <w:noWrap/>
            <w:vAlign w:val="center"/>
          </w:tcPr>
          <w:p w14:paraId="7128992C">
            <w:pPr>
              <w:adjustRightInd w:val="0"/>
              <w:snapToGrid w:val="0"/>
              <w:spacing w:line="320" w:lineRule="exact"/>
              <w:jc w:val="center"/>
              <w:rPr>
                <w:rFonts w:ascii="宋体" w:hAnsi="宋体" w:cs="宋体"/>
                <w:b/>
                <w:color w:val="auto"/>
                <w:szCs w:val="21"/>
              </w:rPr>
            </w:pPr>
            <w:r>
              <w:rPr>
                <w:rFonts w:hint="eastAsia" w:ascii="宋体" w:hAnsi="宋体" w:cs="宋体"/>
                <w:b/>
                <w:color w:val="auto"/>
                <w:szCs w:val="21"/>
              </w:rPr>
              <w:t>建设单位</w:t>
            </w:r>
          </w:p>
        </w:tc>
        <w:tc>
          <w:tcPr>
            <w:tcW w:w="1204" w:type="dxa"/>
            <w:noWrap/>
            <w:vAlign w:val="center"/>
          </w:tcPr>
          <w:p w14:paraId="268A3549">
            <w:pPr>
              <w:adjustRightInd w:val="0"/>
              <w:snapToGrid w:val="0"/>
              <w:spacing w:line="320" w:lineRule="exact"/>
              <w:jc w:val="center"/>
              <w:rPr>
                <w:rFonts w:ascii="宋体" w:hAnsi="宋体" w:cs="宋体"/>
                <w:b/>
                <w:color w:val="auto"/>
                <w:szCs w:val="21"/>
              </w:rPr>
            </w:pPr>
            <w:r>
              <w:rPr>
                <w:rFonts w:hint="eastAsia" w:ascii="宋体" w:hAnsi="宋体" w:cs="宋体"/>
                <w:b/>
                <w:color w:val="auto"/>
                <w:szCs w:val="21"/>
              </w:rPr>
              <w:t>投标单位</w:t>
            </w:r>
          </w:p>
        </w:tc>
        <w:tc>
          <w:tcPr>
            <w:tcW w:w="760" w:type="dxa"/>
            <w:noWrap/>
            <w:vAlign w:val="center"/>
          </w:tcPr>
          <w:p w14:paraId="1C08A1AA">
            <w:pPr>
              <w:adjustRightInd w:val="0"/>
              <w:snapToGrid w:val="0"/>
              <w:spacing w:line="320" w:lineRule="exact"/>
              <w:jc w:val="center"/>
              <w:rPr>
                <w:rFonts w:ascii="宋体" w:hAnsi="宋体" w:cs="宋体"/>
                <w:b/>
                <w:color w:val="auto"/>
                <w:szCs w:val="21"/>
              </w:rPr>
            </w:pPr>
            <w:r>
              <w:rPr>
                <w:rFonts w:hint="eastAsia" w:ascii="宋体" w:hAnsi="宋体" w:cs="宋体"/>
                <w:b/>
                <w:color w:val="auto"/>
                <w:szCs w:val="21"/>
              </w:rPr>
              <w:t>备注</w:t>
            </w:r>
          </w:p>
        </w:tc>
      </w:tr>
      <w:tr w14:paraId="4923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154CCF84">
            <w:pPr>
              <w:adjustRightInd w:val="0"/>
              <w:snapToGrid w:val="0"/>
              <w:spacing w:line="320" w:lineRule="exact"/>
              <w:rPr>
                <w:rFonts w:ascii="宋体" w:hAnsi="宋体" w:cs="宋体"/>
                <w:color w:val="auto"/>
                <w:szCs w:val="21"/>
              </w:rPr>
            </w:pPr>
            <w:r>
              <w:rPr>
                <w:rFonts w:hint="eastAsia" w:ascii="宋体" w:hAnsi="宋体" w:cs="宋体"/>
                <w:color w:val="auto"/>
                <w:szCs w:val="21"/>
              </w:rPr>
              <w:t>一、基坑支护</w:t>
            </w:r>
          </w:p>
        </w:tc>
        <w:tc>
          <w:tcPr>
            <w:tcW w:w="1195" w:type="dxa"/>
            <w:noWrap/>
            <w:vAlign w:val="center"/>
          </w:tcPr>
          <w:p w14:paraId="0FC19520">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5F803E71">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3DE0A1B1">
            <w:pPr>
              <w:adjustRightInd w:val="0"/>
              <w:snapToGrid w:val="0"/>
              <w:spacing w:line="320" w:lineRule="exact"/>
              <w:rPr>
                <w:rFonts w:ascii="宋体" w:hAnsi="宋体" w:cs="宋体"/>
                <w:color w:val="auto"/>
                <w:szCs w:val="21"/>
              </w:rPr>
            </w:pPr>
          </w:p>
        </w:tc>
      </w:tr>
      <w:tr w14:paraId="3A94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32FF74EF">
            <w:pPr>
              <w:adjustRightInd w:val="0"/>
              <w:snapToGrid w:val="0"/>
              <w:spacing w:line="320" w:lineRule="exact"/>
              <w:rPr>
                <w:rFonts w:ascii="宋体" w:hAnsi="宋体" w:cs="宋体"/>
                <w:color w:val="auto"/>
                <w:szCs w:val="21"/>
              </w:rPr>
            </w:pPr>
            <w:r>
              <w:rPr>
                <w:rFonts w:hint="eastAsia" w:ascii="宋体" w:hAnsi="宋体" w:cs="宋体"/>
                <w:color w:val="auto"/>
                <w:szCs w:val="21"/>
              </w:rPr>
              <w:t>（一）开挖深度超过3m（含3m）的基坑（槽）的土方开挖、支护、降水工程。</w:t>
            </w:r>
          </w:p>
        </w:tc>
        <w:tc>
          <w:tcPr>
            <w:tcW w:w="1195" w:type="dxa"/>
            <w:noWrap/>
            <w:vAlign w:val="center"/>
          </w:tcPr>
          <w:p w14:paraId="279829EC">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7456AAEA">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085744FB">
            <w:pPr>
              <w:adjustRightInd w:val="0"/>
              <w:snapToGrid w:val="0"/>
              <w:spacing w:line="320" w:lineRule="exact"/>
              <w:rPr>
                <w:rFonts w:ascii="宋体" w:hAnsi="宋体" w:cs="宋体"/>
                <w:color w:val="auto"/>
                <w:szCs w:val="21"/>
              </w:rPr>
            </w:pPr>
          </w:p>
        </w:tc>
      </w:tr>
      <w:tr w14:paraId="70F2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4737BFF9">
            <w:pPr>
              <w:adjustRightInd w:val="0"/>
              <w:snapToGrid w:val="0"/>
              <w:spacing w:line="320" w:lineRule="exact"/>
              <w:rPr>
                <w:rFonts w:ascii="宋体" w:hAnsi="宋体" w:cs="宋体"/>
                <w:color w:val="auto"/>
                <w:szCs w:val="21"/>
              </w:rPr>
            </w:pPr>
            <w:r>
              <w:rPr>
                <w:rFonts w:hint="eastAsia" w:ascii="宋体" w:hAnsi="宋体" w:cs="宋体"/>
                <w:color w:val="auto"/>
                <w:szCs w:val="21"/>
              </w:rPr>
              <w:t>（二）开挖深度虽未超过3m，但地质条件、周围环境和地下管线复杂，或影响毗邻建、构筑物安全的基坑（槽）的土方开挖、支护、降水工程。</w:t>
            </w:r>
          </w:p>
        </w:tc>
        <w:tc>
          <w:tcPr>
            <w:tcW w:w="1195" w:type="dxa"/>
            <w:noWrap/>
            <w:vAlign w:val="center"/>
          </w:tcPr>
          <w:p w14:paraId="1BC777DA">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6CC38BED">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621297AC">
            <w:pPr>
              <w:adjustRightInd w:val="0"/>
              <w:snapToGrid w:val="0"/>
              <w:spacing w:line="320" w:lineRule="exact"/>
              <w:rPr>
                <w:rFonts w:ascii="宋体" w:hAnsi="宋体" w:cs="宋体"/>
                <w:color w:val="auto"/>
                <w:szCs w:val="21"/>
              </w:rPr>
            </w:pPr>
          </w:p>
        </w:tc>
      </w:tr>
      <w:tr w14:paraId="06C8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013FD17F">
            <w:pPr>
              <w:adjustRightInd w:val="0"/>
              <w:snapToGrid w:val="0"/>
              <w:spacing w:line="320" w:lineRule="exact"/>
              <w:rPr>
                <w:rFonts w:ascii="宋体" w:hAnsi="宋体" w:cs="宋体"/>
                <w:color w:val="auto"/>
                <w:szCs w:val="21"/>
              </w:rPr>
            </w:pPr>
            <w:r>
              <w:rPr>
                <w:rFonts w:hint="eastAsia" w:ascii="宋体" w:hAnsi="宋体" w:cs="宋体"/>
                <w:color w:val="auto"/>
                <w:szCs w:val="21"/>
              </w:rPr>
              <w:t>二、模板工程及支撑体系</w:t>
            </w:r>
          </w:p>
        </w:tc>
        <w:tc>
          <w:tcPr>
            <w:tcW w:w="1195" w:type="dxa"/>
            <w:noWrap/>
            <w:vAlign w:val="center"/>
          </w:tcPr>
          <w:p w14:paraId="5A4F4FDA">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62B39EA4">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306DB7FD">
            <w:pPr>
              <w:adjustRightInd w:val="0"/>
              <w:snapToGrid w:val="0"/>
              <w:spacing w:line="320" w:lineRule="exact"/>
              <w:rPr>
                <w:rFonts w:ascii="宋体" w:hAnsi="宋体" w:cs="宋体"/>
                <w:color w:val="auto"/>
                <w:szCs w:val="21"/>
              </w:rPr>
            </w:pPr>
          </w:p>
        </w:tc>
      </w:tr>
      <w:tr w14:paraId="7EDE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4832E8C8">
            <w:pPr>
              <w:adjustRightInd w:val="0"/>
              <w:snapToGrid w:val="0"/>
              <w:spacing w:line="320" w:lineRule="exact"/>
              <w:rPr>
                <w:rFonts w:ascii="宋体" w:hAnsi="宋体" w:cs="宋体"/>
                <w:color w:val="auto"/>
                <w:szCs w:val="21"/>
              </w:rPr>
            </w:pPr>
            <w:r>
              <w:rPr>
                <w:rFonts w:hint="eastAsia" w:ascii="宋体" w:hAnsi="宋体" w:cs="宋体"/>
                <w:color w:val="auto"/>
                <w:szCs w:val="21"/>
              </w:rPr>
              <w:t>（一）各类工具式模板工程：包括滑模、爬模、飞模、隧道模等工程。</w:t>
            </w:r>
          </w:p>
        </w:tc>
        <w:tc>
          <w:tcPr>
            <w:tcW w:w="1195" w:type="dxa"/>
            <w:noWrap/>
            <w:vAlign w:val="center"/>
          </w:tcPr>
          <w:p w14:paraId="0E007FA2">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635C8ED1">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7FB783EA">
            <w:pPr>
              <w:adjustRightInd w:val="0"/>
              <w:snapToGrid w:val="0"/>
              <w:spacing w:line="320" w:lineRule="exact"/>
              <w:rPr>
                <w:rFonts w:ascii="宋体" w:hAnsi="宋体" w:cs="宋体"/>
                <w:color w:val="auto"/>
                <w:szCs w:val="21"/>
              </w:rPr>
            </w:pPr>
          </w:p>
        </w:tc>
      </w:tr>
      <w:tr w14:paraId="0F40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5897F480">
            <w:pPr>
              <w:adjustRightInd w:val="0"/>
              <w:snapToGrid w:val="0"/>
              <w:spacing w:line="320" w:lineRule="exact"/>
              <w:rPr>
                <w:rFonts w:ascii="宋体" w:hAnsi="宋体" w:cs="宋体"/>
                <w:color w:val="auto"/>
                <w:szCs w:val="21"/>
              </w:rPr>
            </w:pPr>
            <w:r>
              <w:rPr>
                <w:rFonts w:hint="eastAsia" w:ascii="宋体" w:hAnsi="宋体" w:cs="宋体"/>
                <w:color w:val="auto"/>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95" w:type="dxa"/>
            <w:noWrap/>
            <w:vAlign w:val="center"/>
          </w:tcPr>
          <w:p w14:paraId="3963A041">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4E3267E8">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2913FEEE">
            <w:pPr>
              <w:adjustRightInd w:val="0"/>
              <w:snapToGrid w:val="0"/>
              <w:spacing w:line="320" w:lineRule="exact"/>
              <w:rPr>
                <w:rFonts w:ascii="宋体" w:hAnsi="宋体" w:cs="宋体"/>
                <w:color w:val="auto"/>
                <w:szCs w:val="21"/>
              </w:rPr>
            </w:pPr>
          </w:p>
        </w:tc>
      </w:tr>
      <w:tr w14:paraId="3441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664E2BDF">
            <w:pPr>
              <w:adjustRightInd w:val="0"/>
              <w:snapToGrid w:val="0"/>
              <w:spacing w:line="320" w:lineRule="exact"/>
              <w:rPr>
                <w:rFonts w:ascii="宋体" w:hAnsi="宋体" w:cs="宋体"/>
                <w:color w:val="auto"/>
                <w:szCs w:val="21"/>
              </w:rPr>
            </w:pPr>
            <w:r>
              <w:rPr>
                <w:rFonts w:hint="eastAsia" w:ascii="宋体" w:hAnsi="宋体" w:cs="宋体"/>
                <w:color w:val="auto"/>
                <w:szCs w:val="21"/>
              </w:rPr>
              <w:t>（三）承重支撑体系：用于钢结构安装等满堂支撑体系。</w:t>
            </w:r>
          </w:p>
        </w:tc>
        <w:tc>
          <w:tcPr>
            <w:tcW w:w="1195" w:type="dxa"/>
            <w:noWrap/>
            <w:vAlign w:val="center"/>
          </w:tcPr>
          <w:p w14:paraId="511A3168">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0CEAA8D1">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3FBDB4AD">
            <w:pPr>
              <w:adjustRightInd w:val="0"/>
              <w:snapToGrid w:val="0"/>
              <w:spacing w:line="320" w:lineRule="exact"/>
              <w:rPr>
                <w:rFonts w:ascii="宋体" w:hAnsi="宋体" w:cs="宋体"/>
                <w:color w:val="auto"/>
                <w:szCs w:val="21"/>
              </w:rPr>
            </w:pPr>
          </w:p>
        </w:tc>
      </w:tr>
      <w:tr w14:paraId="6E3A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7AF99EFD">
            <w:pPr>
              <w:adjustRightInd w:val="0"/>
              <w:snapToGrid w:val="0"/>
              <w:spacing w:line="320" w:lineRule="exact"/>
              <w:rPr>
                <w:rFonts w:ascii="宋体" w:hAnsi="宋体" w:cs="宋体"/>
                <w:color w:val="auto"/>
                <w:szCs w:val="21"/>
              </w:rPr>
            </w:pPr>
            <w:r>
              <w:rPr>
                <w:rFonts w:hint="eastAsia" w:ascii="宋体" w:hAnsi="宋体" w:cs="宋体"/>
                <w:color w:val="auto"/>
                <w:szCs w:val="21"/>
              </w:rPr>
              <w:t>三、起重吊装及起重机械安装拆卸工程</w:t>
            </w:r>
          </w:p>
        </w:tc>
        <w:tc>
          <w:tcPr>
            <w:tcW w:w="1195" w:type="dxa"/>
            <w:noWrap/>
            <w:vAlign w:val="center"/>
          </w:tcPr>
          <w:p w14:paraId="40898071">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14CF515B">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399A4C66">
            <w:pPr>
              <w:adjustRightInd w:val="0"/>
              <w:snapToGrid w:val="0"/>
              <w:spacing w:line="320" w:lineRule="exact"/>
              <w:rPr>
                <w:rFonts w:ascii="宋体" w:hAnsi="宋体" w:cs="宋体"/>
                <w:color w:val="auto"/>
                <w:szCs w:val="21"/>
              </w:rPr>
            </w:pPr>
          </w:p>
        </w:tc>
      </w:tr>
      <w:tr w14:paraId="4F51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0BC40AE6">
            <w:pPr>
              <w:adjustRightInd w:val="0"/>
              <w:snapToGrid w:val="0"/>
              <w:spacing w:line="320" w:lineRule="exact"/>
              <w:rPr>
                <w:rFonts w:ascii="宋体" w:hAnsi="宋体" w:cs="宋体"/>
                <w:color w:val="auto"/>
                <w:szCs w:val="21"/>
              </w:rPr>
            </w:pPr>
            <w:r>
              <w:rPr>
                <w:rFonts w:hint="eastAsia" w:ascii="宋体" w:hAnsi="宋体" w:cs="宋体"/>
                <w:color w:val="auto"/>
                <w:szCs w:val="21"/>
              </w:rPr>
              <w:t>（一）采用非常规起重设备、方法，且单件起吊重量在10kN及以上的起重吊装工程。</w:t>
            </w:r>
          </w:p>
        </w:tc>
        <w:tc>
          <w:tcPr>
            <w:tcW w:w="1195" w:type="dxa"/>
            <w:noWrap/>
            <w:vAlign w:val="center"/>
          </w:tcPr>
          <w:p w14:paraId="27495906">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35364366">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6920025C">
            <w:pPr>
              <w:adjustRightInd w:val="0"/>
              <w:snapToGrid w:val="0"/>
              <w:spacing w:line="320" w:lineRule="exact"/>
              <w:rPr>
                <w:rFonts w:ascii="宋体" w:hAnsi="宋体" w:cs="宋体"/>
                <w:color w:val="auto"/>
                <w:szCs w:val="21"/>
              </w:rPr>
            </w:pPr>
          </w:p>
        </w:tc>
      </w:tr>
      <w:tr w14:paraId="1163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387F2E71">
            <w:pPr>
              <w:adjustRightInd w:val="0"/>
              <w:snapToGrid w:val="0"/>
              <w:spacing w:line="320" w:lineRule="exact"/>
              <w:rPr>
                <w:rFonts w:ascii="宋体" w:hAnsi="宋体" w:cs="宋体"/>
                <w:color w:val="auto"/>
                <w:szCs w:val="21"/>
              </w:rPr>
            </w:pPr>
            <w:r>
              <w:rPr>
                <w:rFonts w:hint="eastAsia" w:ascii="宋体" w:hAnsi="宋体" w:cs="宋体"/>
                <w:color w:val="auto"/>
                <w:szCs w:val="21"/>
              </w:rPr>
              <w:t>（二）采用起重机械进行安装的工程。</w:t>
            </w:r>
          </w:p>
        </w:tc>
        <w:tc>
          <w:tcPr>
            <w:tcW w:w="1195" w:type="dxa"/>
            <w:noWrap/>
            <w:vAlign w:val="center"/>
          </w:tcPr>
          <w:p w14:paraId="1F750EF3">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40A2D36C">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4FD3BA19">
            <w:pPr>
              <w:adjustRightInd w:val="0"/>
              <w:snapToGrid w:val="0"/>
              <w:spacing w:line="320" w:lineRule="exact"/>
              <w:rPr>
                <w:rFonts w:ascii="宋体" w:hAnsi="宋体" w:cs="宋体"/>
                <w:color w:val="auto"/>
                <w:szCs w:val="21"/>
              </w:rPr>
            </w:pPr>
          </w:p>
        </w:tc>
      </w:tr>
      <w:tr w14:paraId="70C0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3AE3C452">
            <w:pPr>
              <w:adjustRightInd w:val="0"/>
              <w:snapToGrid w:val="0"/>
              <w:spacing w:line="320" w:lineRule="exact"/>
              <w:rPr>
                <w:rFonts w:ascii="宋体" w:hAnsi="宋体" w:cs="宋体"/>
                <w:color w:val="auto"/>
                <w:szCs w:val="21"/>
              </w:rPr>
            </w:pPr>
            <w:r>
              <w:rPr>
                <w:rFonts w:hint="eastAsia" w:ascii="宋体" w:hAnsi="宋体" w:cs="宋体"/>
                <w:color w:val="auto"/>
                <w:szCs w:val="21"/>
              </w:rPr>
              <w:t>（三）起重机械安装和拆卸工程。</w:t>
            </w:r>
          </w:p>
        </w:tc>
        <w:tc>
          <w:tcPr>
            <w:tcW w:w="1195" w:type="dxa"/>
            <w:noWrap/>
            <w:vAlign w:val="center"/>
          </w:tcPr>
          <w:p w14:paraId="526974CA">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46FC313E">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701BA4D7">
            <w:pPr>
              <w:adjustRightInd w:val="0"/>
              <w:snapToGrid w:val="0"/>
              <w:spacing w:line="320" w:lineRule="exact"/>
              <w:rPr>
                <w:rFonts w:ascii="宋体" w:hAnsi="宋体" w:cs="宋体"/>
                <w:color w:val="auto"/>
                <w:szCs w:val="21"/>
              </w:rPr>
            </w:pPr>
          </w:p>
        </w:tc>
      </w:tr>
      <w:tr w14:paraId="7F53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7A711ADD">
            <w:pPr>
              <w:adjustRightInd w:val="0"/>
              <w:snapToGrid w:val="0"/>
              <w:spacing w:line="320" w:lineRule="exact"/>
              <w:rPr>
                <w:rFonts w:ascii="宋体" w:hAnsi="宋体" w:cs="宋体"/>
                <w:color w:val="auto"/>
                <w:szCs w:val="21"/>
              </w:rPr>
            </w:pPr>
            <w:r>
              <w:rPr>
                <w:rFonts w:hint="eastAsia" w:ascii="宋体" w:hAnsi="宋体" w:cs="宋体"/>
                <w:color w:val="auto"/>
                <w:szCs w:val="21"/>
              </w:rPr>
              <w:t>四、脚手架工程</w:t>
            </w:r>
          </w:p>
        </w:tc>
        <w:tc>
          <w:tcPr>
            <w:tcW w:w="1195" w:type="dxa"/>
            <w:noWrap/>
            <w:vAlign w:val="center"/>
          </w:tcPr>
          <w:p w14:paraId="04CE9A32">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061A5173">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03621810">
            <w:pPr>
              <w:adjustRightInd w:val="0"/>
              <w:snapToGrid w:val="0"/>
              <w:spacing w:line="320" w:lineRule="exact"/>
              <w:rPr>
                <w:rFonts w:ascii="宋体" w:hAnsi="宋体" w:cs="宋体"/>
                <w:color w:val="auto"/>
                <w:szCs w:val="21"/>
              </w:rPr>
            </w:pPr>
          </w:p>
        </w:tc>
      </w:tr>
      <w:tr w14:paraId="0C49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36FE3920">
            <w:pPr>
              <w:adjustRightInd w:val="0"/>
              <w:snapToGrid w:val="0"/>
              <w:spacing w:line="320" w:lineRule="exact"/>
              <w:rPr>
                <w:rFonts w:ascii="宋体" w:hAnsi="宋体" w:cs="宋体"/>
                <w:color w:val="auto"/>
                <w:szCs w:val="21"/>
              </w:rPr>
            </w:pPr>
            <w:r>
              <w:rPr>
                <w:rFonts w:hint="eastAsia" w:ascii="宋体" w:hAnsi="宋体" w:cs="宋体"/>
                <w:color w:val="auto"/>
                <w:szCs w:val="21"/>
              </w:rPr>
              <w:t>（一）搭设高度24m及以上的落地式钢管脚手架工程（包括采光井、电梯井脚手架）。</w:t>
            </w:r>
          </w:p>
        </w:tc>
        <w:tc>
          <w:tcPr>
            <w:tcW w:w="1195" w:type="dxa"/>
            <w:noWrap/>
            <w:vAlign w:val="center"/>
          </w:tcPr>
          <w:p w14:paraId="10216E15">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2D08EC6E">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0E6EA04E">
            <w:pPr>
              <w:adjustRightInd w:val="0"/>
              <w:snapToGrid w:val="0"/>
              <w:spacing w:line="320" w:lineRule="exact"/>
              <w:rPr>
                <w:rFonts w:ascii="宋体" w:hAnsi="宋体" w:cs="宋体"/>
                <w:color w:val="auto"/>
                <w:szCs w:val="21"/>
              </w:rPr>
            </w:pPr>
          </w:p>
        </w:tc>
      </w:tr>
      <w:tr w14:paraId="6C45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66C0B26E">
            <w:pPr>
              <w:adjustRightInd w:val="0"/>
              <w:snapToGrid w:val="0"/>
              <w:spacing w:line="320" w:lineRule="exact"/>
              <w:rPr>
                <w:rFonts w:ascii="宋体" w:hAnsi="宋体" w:cs="宋体"/>
                <w:color w:val="auto"/>
                <w:szCs w:val="21"/>
              </w:rPr>
            </w:pPr>
            <w:r>
              <w:rPr>
                <w:rFonts w:hint="eastAsia" w:ascii="宋体" w:hAnsi="宋体" w:cs="宋体"/>
                <w:color w:val="auto"/>
                <w:szCs w:val="21"/>
              </w:rPr>
              <w:t>（二）附着式升降脚手架工程。</w:t>
            </w:r>
          </w:p>
        </w:tc>
        <w:tc>
          <w:tcPr>
            <w:tcW w:w="1195" w:type="dxa"/>
            <w:noWrap/>
            <w:vAlign w:val="center"/>
          </w:tcPr>
          <w:p w14:paraId="72B98E3B">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57951EAF">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59BD8DDF">
            <w:pPr>
              <w:adjustRightInd w:val="0"/>
              <w:snapToGrid w:val="0"/>
              <w:spacing w:line="320" w:lineRule="exact"/>
              <w:rPr>
                <w:rFonts w:ascii="宋体" w:hAnsi="宋体" w:cs="宋体"/>
                <w:color w:val="auto"/>
                <w:szCs w:val="21"/>
              </w:rPr>
            </w:pPr>
          </w:p>
        </w:tc>
      </w:tr>
      <w:tr w14:paraId="0DF4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28539813">
            <w:pPr>
              <w:adjustRightInd w:val="0"/>
              <w:snapToGrid w:val="0"/>
              <w:spacing w:line="320" w:lineRule="exact"/>
              <w:rPr>
                <w:rFonts w:ascii="宋体" w:hAnsi="宋体" w:cs="宋体"/>
                <w:color w:val="auto"/>
                <w:szCs w:val="21"/>
              </w:rPr>
            </w:pPr>
            <w:r>
              <w:rPr>
                <w:rFonts w:hint="eastAsia" w:ascii="宋体" w:hAnsi="宋体" w:cs="宋体"/>
                <w:color w:val="auto"/>
                <w:szCs w:val="21"/>
              </w:rPr>
              <w:t>（三）悬挑式脚手架工程。</w:t>
            </w:r>
          </w:p>
        </w:tc>
        <w:tc>
          <w:tcPr>
            <w:tcW w:w="1195" w:type="dxa"/>
            <w:noWrap/>
            <w:vAlign w:val="center"/>
          </w:tcPr>
          <w:p w14:paraId="5589F609">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45E74F9C">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0F0CE50B">
            <w:pPr>
              <w:adjustRightInd w:val="0"/>
              <w:snapToGrid w:val="0"/>
              <w:spacing w:line="320" w:lineRule="exact"/>
              <w:rPr>
                <w:rFonts w:ascii="宋体" w:hAnsi="宋体" w:cs="宋体"/>
                <w:color w:val="auto"/>
                <w:szCs w:val="21"/>
              </w:rPr>
            </w:pPr>
          </w:p>
        </w:tc>
      </w:tr>
      <w:tr w14:paraId="1E24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4B78EAE1">
            <w:pPr>
              <w:adjustRightInd w:val="0"/>
              <w:snapToGrid w:val="0"/>
              <w:spacing w:line="320" w:lineRule="exact"/>
              <w:rPr>
                <w:rFonts w:ascii="宋体" w:hAnsi="宋体" w:cs="宋体"/>
                <w:color w:val="auto"/>
                <w:szCs w:val="21"/>
              </w:rPr>
            </w:pPr>
            <w:r>
              <w:rPr>
                <w:rFonts w:hint="eastAsia" w:ascii="宋体" w:hAnsi="宋体" w:cs="宋体"/>
                <w:color w:val="auto"/>
                <w:szCs w:val="21"/>
              </w:rPr>
              <w:t>（四）高处作业吊篮。</w:t>
            </w:r>
          </w:p>
        </w:tc>
        <w:tc>
          <w:tcPr>
            <w:tcW w:w="1195" w:type="dxa"/>
            <w:noWrap/>
            <w:vAlign w:val="center"/>
          </w:tcPr>
          <w:p w14:paraId="23E0F39E">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2A13E82C">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29125289">
            <w:pPr>
              <w:adjustRightInd w:val="0"/>
              <w:snapToGrid w:val="0"/>
              <w:spacing w:line="320" w:lineRule="exact"/>
              <w:rPr>
                <w:rFonts w:ascii="宋体" w:hAnsi="宋体" w:cs="宋体"/>
                <w:color w:val="auto"/>
                <w:szCs w:val="21"/>
              </w:rPr>
            </w:pPr>
          </w:p>
        </w:tc>
      </w:tr>
      <w:tr w14:paraId="56CA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5ECB4815">
            <w:pPr>
              <w:adjustRightInd w:val="0"/>
              <w:snapToGrid w:val="0"/>
              <w:spacing w:line="320" w:lineRule="exact"/>
              <w:rPr>
                <w:rFonts w:ascii="宋体" w:hAnsi="宋体" w:cs="宋体"/>
                <w:color w:val="auto"/>
                <w:szCs w:val="21"/>
              </w:rPr>
            </w:pPr>
            <w:r>
              <w:rPr>
                <w:rFonts w:hint="eastAsia" w:ascii="宋体" w:hAnsi="宋体" w:cs="宋体"/>
                <w:color w:val="auto"/>
                <w:szCs w:val="21"/>
              </w:rPr>
              <w:t>（五）卸料平台、操作平台工程。</w:t>
            </w:r>
          </w:p>
        </w:tc>
        <w:tc>
          <w:tcPr>
            <w:tcW w:w="1195" w:type="dxa"/>
            <w:noWrap/>
            <w:vAlign w:val="center"/>
          </w:tcPr>
          <w:p w14:paraId="57546BAC">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7F7FC19C">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2E0E7CA3">
            <w:pPr>
              <w:adjustRightInd w:val="0"/>
              <w:snapToGrid w:val="0"/>
              <w:spacing w:line="320" w:lineRule="exact"/>
              <w:rPr>
                <w:rFonts w:ascii="宋体" w:hAnsi="宋体" w:cs="宋体"/>
                <w:color w:val="auto"/>
                <w:szCs w:val="21"/>
              </w:rPr>
            </w:pPr>
          </w:p>
        </w:tc>
      </w:tr>
      <w:tr w14:paraId="70EB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53A60456">
            <w:pPr>
              <w:adjustRightInd w:val="0"/>
              <w:snapToGrid w:val="0"/>
              <w:spacing w:line="320" w:lineRule="exact"/>
              <w:rPr>
                <w:rFonts w:ascii="宋体" w:hAnsi="宋体" w:cs="宋体"/>
                <w:color w:val="auto"/>
                <w:szCs w:val="21"/>
              </w:rPr>
            </w:pPr>
            <w:r>
              <w:rPr>
                <w:rFonts w:hint="eastAsia" w:ascii="宋体" w:hAnsi="宋体" w:cs="宋体"/>
                <w:color w:val="auto"/>
                <w:szCs w:val="21"/>
              </w:rPr>
              <w:t>（六）异型脚手架工程。</w:t>
            </w:r>
          </w:p>
        </w:tc>
        <w:tc>
          <w:tcPr>
            <w:tcW w:w="1195" w:type="dxa"/>
            <w:noWrap/>
            <w:vAlign w:val="center"/>
          </w:tcPr>
          <w:p w14:paraId="6D683183">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7C098D52">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3A289D83">
            <w:pPr>
              <w:adjustRightInd w:val="0"/>
              <w:snapToGrid w:val="0"/>
              <w:spacing w:line="320" w:lineRule="exact"/>
              <w:rPr>
                <w:rFonts w:ascii="宋体" w:hAnsi="宋体" w:cs="宋体"/>
                <w:color w:val="auto"/>
                <w:szCs w:val="21"/>
              </w:rPr>
            </w:pPr>
          </w:p>
        </w:tc>
      </w:tr>
      <w:tr w14:paraId="67E6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6B57FBED">
            <w:pPr>
              <w:adjustRightInd w:val="0"/>
              <w:snapToGrid w:val="0"/>
              <w:spacing w:line="320" w:lineRule="exact"/>
              <w:rPr>
                <w:rFonts w:ascii="宋体" w:hAnsi="宋体" w:cs="宋体"/>
                <w:color w:val="auto"/>
                <w:szCs w:val="21"/>
              </w:rPr>
            </w:pPr>
            <w:r>
              <w:rPr>
                <w:rFonts w:hint="eastAsia" w:ascii="宋体" w:hAnsi="宋体" w:cs="宋体"/>
                <w:color w:val="auto"/>
                <w:szCs w:val="21"/>
              </w:rPr>
              <w:t>五、拆除工程</w:t>
            </w:r>
          </w:p>
        </w:tc>
        <w:tc>
          <w:tcPr>
            <w:tcW w:w="1195" w:type="dxa"/>
            <w:noWrap/>
            <w:vAlign w:val="center"/>
          </w:tcPr>
          <w:p w14:paraId="2A770C26">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5B09F813">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33B91C50">
            <w:pPr>
              <w:adjustRightInd w:val="0"/>
              <w:snapToGrid w:val="0"/>
              <w:spacing w:line="320" w:lineRule="exact"/>
              <w:rPr>
                <w:rFonts w:ascii="宋体" w:hAnsi="宋体" w:cs="宋体"/>
                <w:color w:val="auto"/>
                <w:szCs w:val="21"/>
              </w:rPr>
            </w:pPr>
          </w:p>
        </w:tc>
      </w:tr>
      <w:tr w14:paraId="6654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53E2B96C">
            <w:pPr>
              <w:adjustRightInd w:val="0"/>
              <w:snapToGrid w:val="0"/>
              <w:spacing w:line="320" w:lineRule="exact"/>
              <w:rPr>
                <w:rFonts w:ascii="宋体" w:hAnsi="宋体" w:cs="宋体"/>
                <w:color w:val="auto"/>
                <w:szCs w:val="21"/>
              </w:rPr>
            </w:pPr>
            <w:r>
              <w:rPr>
                <w:rFonts w:hint="eastAsia" w:ascii="宋体" w:hAnsi="宋体" w:cs="宋体"/>
                <w:color w:val="auto"/>
                <w:szCs w:val="21"/>
              </w:rPr>
              <w:t>可能影响行人、交通、电力设施、通讯设施或其它建、构筑物安全的拆除工程。</w:t>
            </w:r>
          </w:p>
        </w:tc>
        <w:tc>
          <w:tcPr>
            <w:tcW w:w="1195" w:type="dxa"/>
            <w:noWrap/>
            <w:vAlign w:val="center"/>
          </w:tcPr>
          <w:p w14:paraId="5E3BAD2A">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43CFB8CC">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58AB6D0F">
            <w:pPr>
              <w:adjustRightInd w:val="0"/>
              <w:snapToGrid w:val="0"/>
              <w:spacing w:line="320" w:lineRule="exact"/>
              <w:rPr>
                <w:rFonts w:ascii="宋体" w:hAnsi="宋体" w:cs="宋体"/>
                <w:color w:val="auto"/>
                <w:szCs w:val="21"/>
              </w:rPr>
            </w:pPr>
          </w:p>
        </w:tc>
      </w:tr>
      <w:tr w14:paraId="0298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51ECD085">
            <w:pPr>
              <w:adjustRightInd w:val="0"/>
              <w:snapToGrid w:val="0"/>
              <w:spacing w:line="320" w:lineRule="exact"/>
              <w:rPr>
                <w:rFonts w:ascii="宋体" w:hAnsi="宋体" w:cs="宋体"/>
                <w:color w:val="auto"/>
                <w:szCs w:val="21"/>
              </w:rPr>
            </w:pPr>
            <w:r>
              <w:rPr>
                <w:rFonts w:hint="eastAsia" w:ascii="宋体" w:hAnsi="宋体" w:cs="宋体"/>
                <w:color w:val="auto"/>
                <w:szCs w:val="21"/>
              </w:rPr>
              <w:t>六、暗挖工程</w:t>
            </w:r>
          </w:p>
        </w:tc>
        <w:tc>
          <w:tcPr>
            <w:tcW w:w="1195" w:type="dxa"/>
            <w:noWrap/>
            <w:vAlign w:val="center"/>
          </w:tcPr>
          <w:p w14:paraId="3496798D">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38F906A8">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0E9D6066">
            <w:pPr>
              <w:adjustRightInd w:val="0"/>
              <w:snapToGrid w:val="0"/>
              <w:spacing w:line="320" w:lineRule="exact"/>
              <w:rPr>
                <w:rFonts w:ascii="宋体" w:hAnsi="宋体" w:cs="宋体"/>
                <w:color w:val="auto"/>
                <w:szCs w:val="21"/>
              </w:rPr>
            </w:pPr>
          </w:p>
        </w:tc>
      </w:tr>
      <w:tr w14:paraId="625E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785AA456">
            <w:pPr>
              <w:adjustRightInd w:val="0"/>
              <w:snapToGrid w:val="0"/>
              <w:spacing w:line="320" w:lineRule="exact"/>
              <w:rPr>
                <w:rFonts w:ascii="宋体" w:hAnsi="宋体" w:cs="宋体"/>
                <w:color w:val="auto"/>
                <w:szCs w:val="21"/>
              </w:rPr>
            </w:pPr>
            <w:r>
              <w:rPr>
                <w:rFonts w:hint="eastAsia" w:ascii="宋体" w:hAnsi="宋体" w:cs="宋体"/>
                <w:color w:val="auto"/>
                <w:szCs w:val="21"/>
              </w:rPr>
              <w:t>采用矿山法、盾构法、顶管法施工的隧道、洞室工程。</w:t>
            </w:r>
          </w:p>
        </w:tc>
        <w:tc>
          <w:tcPr>
            <w:tcW w:w="1195" w:type="dxa"/>
            <w:noWrap/>
            <w:vAlign w:val="center"/>
          </w:tcPr>
          <w:p w14:paraId="78D3E3E2">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3A4F8FED">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1B681167">
            <w:pPr>
              <w:adjustRightInd w:val="0"/>
              <w:snapToGrid w:val="0"/>
              <w:spacing w:line="320" w:lineRule="exact"/>
              <w:rPr>
                <w:rFonts w:ascii="宋体" w:hAnsi="宋体" w:cs="宋体"/>
                <w:color w:val="auto"/>
                <w:szCs w:val="21"/>
              </w:rPr>
            </w:pPr>
          </w:p>
        </w:tc>
      </w:tr>
      <w:tr w14:paraId="5827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17357DFC">
            <w:pPr>
              <w:adjustRightInd w:val="0"/>
              <w:snapToGrid w:val="0"/>
              <w:spacing w:line="320" w:lineRule="exact"/>
              <w:rPr>
                <w:rFonts w:ascii="宋体" w:hAnsi="宋体" w:cs="宋体"/>
                <w:color w:val="auto"/>
                <w:szCs w:val="21"/>
              </w:rPr>
            </w:pPr>
            <w:r>
              <w:rPr>
                <w:rFonts w:hint="eastAsia" w:ascii="宋体" w:hAnsi="宋体" w:cs="宋体"/>
                <w:color w:val="auto"/>
                <w:szCs w:val="21"/>
              </w:rPr>
              <w:t>七、其它</w:t>
            </w:r>
          </w:p>
        </w:tc>
        <w:tc>
          <w:tcPr>
            <w:tcW w:w="1195" w:type="dxa"/>
            <w:noWrap/>
            <w:vAlign w:val="center"/>
          </w:tcPr>
          <w:p w14:paraId="23D6F3F7">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0556E63B">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58B86416">
            <w:pPr>
              <w:adjustRightInd w:val="0"/>
              <w:snapToGrid w:val="0"/>
              <w:spacing w:line="320" w:lineRule="exact"/>
              <w:rPr>
                <w:rFonts w:ascii="宋体" w:hAnsi="宋体" w:cs="宋体"/>
                <w:color w:val="auto"/>
                <w:szCs w:val="21"/>
              </w:rPr>
            </w:pPr>
          </w:p>
        </w:tc>
      </w:tr>
      <w:tr w14:paraId="040A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28FDFFB5">
            <w:pPr>
              <w:adjustRightInd w:val="0"/>
              <w:snapToGrid w:val="0"/>
              <w:spacing w:line="320" w:lineRule="exact"/>
              <w:rPr>
                <w:rFonts w:ascii="宋体" w:hAnsi="宋体" w:cs="宋体"/>
                <w:color w:val="auto"/>
                <w:szCs w:val="21"/>
              </w:rPr>
            </w:pPr>
            <w:r>
              <w:rPr>
                <w:rFonts w:hint="eastAsia" w:ascii="宋体" w:hAnsi="宋体" w:cs="宋体"/>
                <w:color w:val="auto"/>
                <w:szCs w:val="21"/>
              </w:rPr>
              <w:t>（一）建筑幕墙安装工程。</w:t>
            </w:r>
          </w:p>
        </w:tc>
        <w:tc>
          <w:tcPr>
            <w:tcW w:w="1195" w:type="dxa"/>
            <w:noWrap/>
            <w:vAlign w:val="center"/>
          </w:tcPr>
          <w:p w14:paraId="437B056F">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68BD1D94">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063721CE">
            <w:pPr>
              <w:adjustRightInd w:val="0"/>
              <w:snapToGrid w:val="0"/>
              <w:spacing w:line="320" w:lineRule="exact"/>
              <w:rPr>
                <w:rFonts w:ascii="宋体" w:hAnsi="宋体" w:cs="宋体"/>
                <w:color w:val="auto"/>
                <w:szCs w:val="21"/>
              </w:rPr>
            </w:pPr>
          </w:p>
        </w:tc>
      </w:tr>
      <w:tr w14:paraId="5FDA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2E66AD7B">
            <w:pPr>
              <w:adjustRightInd w:val="0"/>
              <w:snapToGrid w:val="0"/>
              <w:spacing w:line="320" w:lineRule="exact"/>
              <w:rPr>
                <w:rFonts w:ascii="宋体" w:hAnsi="宋体" w:cs="宋体"/>
                <w:color w:val="auto"/>
                <w:szCs w:val="21"/>
              </w:rPr>
            </w:pPr>
            <w:r>
              <w:rPr>
                <w:rFonts w:hint="eastAsia" w:ascii="宋体" w:hAnsi="宋体" w:cs="宋体"/>
                <w:color w:val="auto"/>
                <w:szCs w:val="21"/>
              </w:rPr>
              <w:t>（二）钢结构、网架和索膜结构安装工程。</w:t>
            </w:r>
          </w:p>
        </w:tc>
        <w:tc>
          <w:tcPr>
            <w:tcW w:w="1195" w:type="dxa"/>
            <w:noWrap/>
            <w:vAlign w:val="center"/>
          </w:tcPr>
          <w:p w14:paraId="28BBAE31">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7AE4CCEE">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086E7E5E">
            <w:pPr>
              <w:adjustRightInd w:val="0"/>
              <w:snapToGrid w:val="0"/>
              <w:spacing w:line="320" w:lineRule="exact"/>
              <w:rPr>
                <w:rFonts w:ascii="宋体" w:hAnsi="宋体" w:cs="宋体"/>
                <w:color w:val="auto"/>
                <w:szCs w:val="21"/>
              </w:rPr>
            </w:pPr>
          </w:p>
        </w:tc>
      </w:tr>
      <w:tr w14:paraId="2829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771A25FE">
            <w:pPr>
              <w:adjustRightInd w:val="0"/>
              <w:snapToGrid w:val="0"/>
              <w:spacing w:line="320" w:lineRule="exact"/>
              <w:rPr>
                <w:rFonts w:ascii="宋体" w:hAnsi="宋体" w:cs="宋体"/>
                <w:color w:val="auto"/>
                <w:szCs w:val="21"/>
              </w:rPr>
            </w:pPr>
            <w:r>
              <w:rPr>
                <w:rFonts w:hint="eastAsia" w:ascii="宋体" w:hAnsi="宋体" w:cs="宋体"/>
                <w:color w:val="auto"/>
                <w:szCs w:val="21"/>
              </w:rPr>
              <w:t>（三）人工挖孔桩工程。</w:t>
            </w:r>
          </w:p>
        </w:tc>
        <w:tc>
          <w:tcPr>
            <w:tcW w:w="1195" w:type="dxa"/>
            <w:noWrap/>
            <w:vAlign w:val="center"/>
          </w:tcPr>
          <w:p w14:paraId="631D7A7F">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198EEF3A">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0ED48FA3">
            <w:pPr>
              <w:adjustRightInd w:val="0"/>
              <w:snapToGrid w:val="0"/>
              <w:spacing w:line="320" w:lineRule="exact"/>
              <w:rPr>
                <w:rFonts w:ascii="宋体" w:hAnsi="宋体" w:cs="宋体"/>
                <w:color w:val="auto"/>
                <w:szCs w:val="21"/>
              </w:rPr>
            </w:pPr>
          </w:p>
        </w:tc>
      </w:tr>
      <w:tr w14:paraId="51C6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77CC2773">
            <w:pPr>
              <w:adjustRightInd w:val="0"/>
              <w:snapToGrid w:val="0"/>
              <w:spacing w:line="320" w:lineRule="exact"/>
              <w:rPr>
                <w:rFonts w:ascii="宋体" w:hAnsi="宋体" w:cs="宋体"/>
                <w:color w:val="auto"/>
                <w:szCs w:val="21"/>
              </w:rPr>
            </w:pPr>
            <w:r>
              <w:rPr>
                <w:rFonts w:hint="eastAsia" w:ascii="宋体" w:hAnsi="宋体" w:cs="宋体"/>
                <w:color w:val="auto"/>
                <w:szCs w:val="21"/>
              </w:rPr>
              <w:t>（四）水下作业工程。</w:t>
            </w:r>
          </w:p>
        </w:tc>
        <w:tc>
          <w:tcPr>
            <w:tcW w:w="1195" w:type="dxa"/>
            <w:noWrap/>
            <w:vAlign w:val="center"/>
          </w:tcPr>
          <w:p w14:paraId="0E49F8EF">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69ACEA26">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16DACE95">
            <w:pPr>
              <w:adjustRightInd w:val="0"/>
              <w:snapToGrid w:val="0"/>
              <w:spacing w:line="320" w:lineRule="exact"/>
              <w:rPr>
                <w:rFonts w:ascii="宋体" w:hAnsi="宋体" w:cs="宋体"/>
                <w:color w:val="auto"/>
                <w:szCs w:val="21"/>
              </w:rPr>
            </w:pPr>
          </w:p>
        </w:tc>
      </w:tr>
      <w:tr w14:paraId="4AC1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25496BE5">
            <w:pPr>
              <w:adjustRightInd w:val="0"/>
              <w:snapToGrid w:val="0"/>
              <w:spacing w:line="320" w:lineRule="exact"/>
              <w:rPr>
                <w:rFonts w:ascii="宋体" w:hAnsi="宋体" w:cs="宋体"/>
                <w:color w:val="auto"/>
                <w:szCs w:val="21"/>
              </w:rPr>
            </w:pPr>
            <w:r>
              <w:rPr>
                <w:rFonts w:hint="eastAsia" w:ascii="宋体" w:hAnsi="宋体" w:cs="宋体"/>
                <w:color w:val="auto"/>
                <w:szCs w:val="21"/>
              </w:rPr>
              <w:t>（五）装配式建筑混凝土预制构件安装工程。</w:t>
            </w:r>
          </w:p>
        </w:tc>
        <w:tc>
          <w:tcPr>
            <w:tcW w:w="1195" w:type="dxa"/>
            <w:noWrap/>
            <w:vAlign w:val="center"/>
          </w:tcPr>
          <w:p w14:paraId="3A3A746E">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150AB204">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34373FD9">
            <w:pPr>
              <w:adjustRightInd w:val="0"/>
              <w:snapToGrid w:val="0"/>
              <w:spacing w:line="320" w:lineRule="exact"/>
              <w:rPr>
                <w:rFonts w:ascii="宋体" w:hAnsi="宋体" w:cs="宋体"/>
                <w:color w:val="auto"/>
                <w:szCs w:val="21"/>
              </w:rPr>
            </w:pPr>
          </w:p>
        </w:tc>
      </w:tr>
      <w:tr w14:paraId="0058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15C9B934">
            <w:pPr>
              <w:adjustRightInd w:val="0"/>
              <w:snapToGrid w:val="0"/>
              <w:spacing w:line="320" w:lineRule="exact"/>
              <w:rPr>
                <w:rFonts w:ascii="宋体" w:hAnsi="宋体" w:cs="宋体"/>
                <w:color w:val="auto"/>
                <w:szCs w:val="21"/>
              </w:rPr>
            </w:pPr>
            <w:r>
              <w:rPr>
                <w:rFonts w:hint="eastAsia" w:ascii="宋体" w:hAnsi="宋体" w:cs="宋体"/>
                <w:color w:val="auto"/>
                <w:szCs w:val="21"/>
              </w:rPr>
              <w:t>（六）采用新技术、新工艺、新材料、新设备可能影响工程施工安全，尚无国家、行业及地方技术标准的分部分项工程。</w:t>
            </w:r>
          </w:p>
        </w:tc>
        <w:tc>
          <w:tcPr>
            <w:tcW w:w="1195" w:type="dxa"/>
            <w:noWrap/>
            <w:vAlign w:val="center"/>
          </w:tcPr>
          <w:p w14:paraId="79F19D97">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176443C0">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586A27BB">
            <w:pPr>
              <w:adjustRightInd w:val="0"/>
              <w:snapToGrid w:val="0"/>
              <w:spacing w:line="320" w:lineRule="exact"/>
              <w:rPr>
                <w:rFonts w:ascii="宋体" w:hAnsi="宋体" w:cs="宋体"/>
                <w:color w:val="auto"/>
                <w:szCs w:val="21"/>
              </w:rPr>
            </w:pPr>
          </w:p>
        </w:tc>
      </w:tr>
      <w:tr w14:paraId="76EF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21E25A16">
            <w:pPr>
              <w:adjustRightInd w:val="0"/>
              <w:snapToGrid w:val="0"/>
              <w:spacing w:line="320" w:lineRule="exact"/>
              <w:rPr>
                <w:rFonts w:ascii="宋体" w:hAnsi="宋体" w:cs="宋体"/>
                <w:b/>
                <w:color w:val="auto"/>
                <w:szCs w:val="21"/>
              </w:rPr>
            </w:pPr>
            <w:r>
              <w:rPr>
                <w:rFonts w:hint="eastAsia" w:ascii="宋体" w:hAnsi="宋体" w:cs="宋体"/>
                <w:b/>
                <w:bCs/>
                <w:color w:val="auto"/>
                <w:szCs w:val="21"/>
              </w:rPr>
              <w:t>二、超过一定规模的危险性较大的分部分项工程清单</w:t>
            </w:r>
          </w:p>
        </w:tc>
        <w:tc>
          <w:tcPr>
            <w:tcW w:w="1195" w:type="dxa"/>
            <w:noWrap/>
            <w:vAlign w:val="center"/>
          </w:tcPr>
          <w:p w14:paraId="645868A5">
            <w:pPr>
              <w:adjustRightInd w:val="0"/>
              <w:snapToGrid w:val="0"/>
              <w:spacing w:line="320" w:lineRule="exact"/>
              <w:jc w:val="center"/>
              <w:rPr>
                <w:rFonts w:ascii="宋体" w:hAnsi="宋体" w:cs="宋体"/>
                <w:color w:val="auto"/>
                <w:szCs w:val="21"/>
              </w:rPr>
            </w:pPr>
          </w:p>
        </w:tc>
        <w:tc>
          <w:tcPr>
            <w:tcW w:w="1204" w:type="dxa"/>
            <w:noWrap/>
            <w:vAlign w:val="center"/>
          </w:tcPr>
          <w:p w14:paraId="589FCF8F">
            <w:pPr>
              <w:adjustRightInd w:val="0"/>
              <w:snapToGrid w:val="0"/>
              <w:spacing w:line="320" w:lineRule="exact"/>
              <w:jc w:val="center"/>
              <w:rPr>
                <w:rFonts w:ascii="宋体" w:hAnsi="宋体" w:cs="宋体"/>
                <w:color w:val="auto"/>
                <w:szCs w:val="21"/>
              </w:rPr>
            </w:pPr>
          </w:p>
        </w:tc>
        <w:tc>
          <w:tcPr>
            <w:tcW w:w="760" w:type="dxa"/>
            <w:noWrap/>
            <w:vAlign w:val="center"/>
          </w:tcPr>
          <w:p w14:paraId="39D82753">
            <w:pPr>
              <w:adjustRightInd w:val="0"/>
              <w:snapToGrid w:val="0"/>
              <w:spacing w:line="320" w:lineRule="exact"/>
              <w:rPr>
                <w:rFonts w:ascii="宋体" w:hAnsi="宋体" w:cs="宋体"/>
                <w:color w:val="auto"/>
                <w:szCs w:val="21"/>
              </w:rPr>
            </w:pPr>
          </w:p>
        </w:tc>
      </w:tr>
      <w:tr w14:paraId="2F84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355053E0">
            <w:pPr>
              <w:adjustRightInd w:val="0"/>
              <w:snapToGrid w:val="0"/>
              <w:spacing w:line="320" w:lineRule="exact"/>
              <w:rPr>
                <w:rFonts w:ascii="宋体" w:hAnsi="宋体" w:cs="宋体"/>
                <w:color w:val="auto"/>
                <w:szCs w:val="21"/>
              </w:rPr>
            </w:pPr>
            <w:r>
              <w:rPr>
                <w:rFonts w:hint="eastAsia" w:ascii="宋体" w:hAnsi="宋体" w:cs="宋体"/>
                <w:color w:val="auto"/>
                <w:szCs w:val="21"/>
              </w:rPr>
              <w:t>一、深基坑工程</w:t>
            </w:r>
          </w:p>
        </w:tc>
        <w:tc>
          <w:tcPr>
            <w:tcW w:w="1195" w:type="dxa"/>
            <w:noWrap/>
            <w:vAlign w:val="center"/>
          </w:tcPr>
          <w:p w14:paraId="1FA51E9B">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7C7A8557">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35D3F3C1">
            <w:pPr>
              <w:adjustRightInd w:val="0"/>
              <w:snapToGrid w:val="0"/>
              <w:spacing w:line="320" w:lineRule="exact"/>
              <w:rPr>
                <w:rFonts w:ascii="宋体" w:hAnsi="宋体" w:cs="宋体"/>
                <w:color w:val="auto"/>
                <w:szCs w:val="21"/>
              </w:rPr>
            </w:pPr>
          </w:p>
        </w:tc>
      </w:tr>
      <w:tr w14:paraId="73B1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4571415E">
            <w:pPr>
              <w:adjustRightInd w:val="0"/>
              <w:snapToGrid w:val="0"/>
              <w:spacing w:line="320" w:lineRule="exact"/>
              <w:rPr>
                <w:rFonts w:ascii="宋体" w:hAnsi="宋体" w:cs="宋体"/>
                <w:color w:val="auto"/>
                <w:szCs w:val="21"/>
              </w:rPr>
            </w:pPr>
            <w:r>
              <w:rPr>
                <w:rFonts w:hint="eastAsia" w:ascii="宋体" w:hAnsi="宋体" w:cs="宋体"/>
                <w:color w:val="auto"/>
                <w:szCs w:val="21"/>
              </w:rPr>
              <w:t>开挖深度超过5m（含5m）的基坑（槽）的土方开挖、支护、降水工程。</w:t>
            </w:r>
          </w:p>
        </w:tc>
        <w:tc>
          <w:tcPr>
            <w:tcW w:w="1195" w:type="dxa"/>
            <w:noWrap/>
            <w:vAlign w:val="center"/>
          </w:tcPr>
          <w:p w14:paraId="0A95E6E5">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1D4E3623">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75BFADE5">
            <w:pPr>
              <w:adjustRightInd w:val="0"/>
              <w:snapToGrid w:val="0"/>
              <w:spacing w:line="320" w:lineRule="exact"/>
              <w:ind w:firstLine="480"/>
              <w:rPr>
                <w:rFonts w:ascii="宋体" w:hAnsi="宋体" w:cs="宋体"/>
                <w:color w:val="auto"/>
                <w:szCs w:val="21"/>
              </w:rPr>
            </w:pPr>
          </w:p>
        </w:tc>
      </w:tr>
      <w:tr w14:paraId="241B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636DB9D3">
            <w:pPr>
              <w:adjustRightInd w:val="0"/>
              <w:snapToGrid w:val="0"/>
              <w:spacing w:line="320" w:lineRule="exact"/>
              <w:rPr>
                <w:rFonts w:ascii="宋体" w:hAnsi="宋体" w:cs="宋体"/>
                <w:color w:val="auto"/>
                <w:szCs w:val="21"/>
              </w:rPr>
            </w:pPr>
            <w:r>
              <w:rPr>
                <w:rFonts w:hint="eastAsia" w:ascii="宋体" w:hAnsi="宋体" w:cs="宋体"/>
                <w:color w:val="auto"/>
                <w:szCs w:val="21"/>
              </w:rPr>
              <w:t>二、模板工程及支撑体系</w:t>
            </w:r>
          </w:p>
        </w:tc>
        <w:tc>
          <w:tcPr>
            <w:tcW w:w="1195" w:type="dxa"/>
            <w:noWrap/>
            <w:vAlign w:val="center"/>
          </w:tcPr>
          <w:p w14:paraId="440EE3A8">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5FC4AA74">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418B9CB8">
            <w:pPr>
              <w:adjustRightInd w:val="0"/>
              <w:snapToGrid w:val="0"/>
              <w:spacing w:line="320" w:lineRule="exact"/>
              <w:ind w:firstLine="480"/>
              <w:rPr>
                <w:rFonts w:ascii="宋体" w:hAnsi="宋体" w:cs="宋体"/>
                <w:color w:val="auto"/>
                <w:szCs w:val="21"/>
              </w:rPr>
            </w:pPr>
          </w:p>
        </w:tc>
      </w:tr>
      <w:tr w14:paraId="3522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07F73267">
            <w:pPr>
              <w:adjustRightInd w:val="0"/>
              <w:snapToGrid w:val="0"/>
              <w:spacing w:line="320" w:lineRule="exact"/>
              <w:rPr>
                <w:rFonts w:ascii="宋体" w:hAnsi="宋体" w:cs="宋体"/>
                <w:color w:val="auto"/>
                <w:szCs w:val="21"/>
              </w:rPr>
            </w:pPr>
            <w:r>
              <w:rPr>
                <w:rFonts w:hint="eastAsia" w:ascii="宋体" w:hAnsi="宋体" w:cs="宋体"/>
                <w:color w:val="auto"/>
                <w:szCs w:val="21"/>
              </w:rPr>
              <w:t>（一）各类工具式模板工程：包括滑模、爬模、飞模、隧道模等工程。</w:t>
            </w:r>
          </w:p>
        </w:tc>
        <w:tc>
          <w:tcPr>
            <w:tcW w:w="1195" w:type="dxa"/>
            <w:noWrap/>
            <w:vAlign w:val="center"/>
          </w:tcPr>
          <w:p w14:paraId="658E67AD">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0283D84A">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52CEBC77">
            <w:pPr>
              <w:adjustRightInd w:val="0"/>
              <w:snapToGrid w:val="0"/>
              <w:spacing w:line="320" w:lineRule="exact"/>
              <w:ind w:firstLine="480"/>
              <w:rPr>
                <w:rFonts w:ascii="宋体" w:hAnsi="宋体" w:cs="宋体"/>
                <w:color w:val="auto"/>
                <w:szCs w:val="21"/>
              </w:rPr>
            </w:pPr>
          </w:p>
        </w:tc>
      </w:tr>
      <w:tr w14:paraId="7714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6FA194DC">
            <w:pPr>
              <w:adjustRightInd w:val="0"/>
              <w:snapToGrid w:val="0"/>
              <w:spacing w:line="320" w:lineRule="exact"/>
              <w:rPr>
                <w:rFonts w:ascii="宋体" w:hAnsi="宋体" w:cs="宋体"/>
                <w:color w:val="auto"/>
                <w:szCs w:val="21"/>
              </w:rPr>
            </w:pPr>
            <w:r>
              <w:rPr>
                <w:rFonts w:hint="eastAsia" w:ascii="宋体" w:hAnsi="宋体" w:cs="宋体"/>
                <w:color w:val="auto"/>
                <w:szCs w:val="21"/>
              </w:rPr>
              <w:t>（二）混凝土模板支撑工程：搭设高度8m及以上，或搭设跨度18m及以上，或施工总荷载（设计值）15kN/m2及以上，或集中线荷载（设计值）20kN/m及以上。</w:t>
            </w:r>
          </w:p>
        </w:tc>
        <w:tc>
          <w:tcPr>
            <w:tcW w:w="1195" w:type="dxa"/>
            <w:noWrap/>
            <w:vAlign w:val="center"/>
          </w:tcPr>
          <w:p w14:paraId="3BFC9D9B">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0F02C535">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4255D6D5">
            <w:pPr>
              <w:adjustRightInd w:val="0"/>
              <w:snapToGrid w:val="0"/>
              <w:spacing w:line="320" w:lineRule="exact"/>
              <w:rPr>
                <w:rFonts w:ascii="宋体" w:hAnsi="宋体" w:cs="宋体"/>
                <w:color w:val="auto"/>
                <w:szCs w:val="21"/>
              </w:rPr>
            </w:pPr>
          </w:p>
        </w:tc>
      </w:tr>
      <w:tr w14:paraId="5B6B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631C1D6E">
            <w:pPr>
              <w:adjustRightInd w:val="0"/>
              <w:snapToGrid w:val="0"/>
              <w:spacing w:line="320" w:lineRule="exact"/>
              <w:rPr>
                <w:rFonts w:ascii="宋体" w:hAnsi="宋体" w:cs="宋体"/>
                <w:color w:val="auto"/>
                <w:szCs w:val="21"/>
              </w:rPr>
            </w:pPr>
            <w:r>
              <w:rPr>
                <w:rFonts w:hint="eastAsia" w:ascii="宋体" w:hAnsi="宋体" w:cs="宋体"/>
                <w:color w:val="auto"/>
                <w:szCs w:val="21"/>
              </w:rPr>
              <w:t>（三）承重支撑体系：用于钢结构安装等满堂支撑体系，承受单点集中荷载7kN及以上。</w:t>
            </w:r>
          </w:p>
        </w:tc>
        <w:tc>
          <w:tcPr>
            <w:tcW w:w="1195" w:type="dxa"/>
            <w:noWrap/>
            <w:vAlign w:val="center"/>
          </w:tcPr>
          <w:p w14:paraId="3DF6B610">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2F52BED9">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168993F8">
            <w:pPr>
              <w:adjustRightInd w:val="0"/>
              <w:snapToGrid w:val="0"/>
              <w:spacing w:line="320" w:lineRule="exact"/>
              <w:rPr>
                <w:rFonts w:ascii="宋体" w:hAnsi="宋体" w:cs="宋体"/>
                <w:color w:val="auto"/>
                <w:szCs w:val="21"/>
              </w:rPr>
            </w:pPr>
          </w:p>
        </w:tc>
      </w:tr>
      <w:tr w14:paraId="5770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63278EF4">
            <w:pPr>
              <w:adjustRightInd w:val="0"/>
              <w:snapToGrid w:val="0"/>
              <w:spacing w:line="320" w:lineRule="exact"/>
              <w:rPr>
                <w:rFonts w:ascii="宋体" w:hAnsi="宋体" w:cs="宋体"/>
                <w:color w:val="auto"/>
                <w:szCs w:val="21"/>
              </w:rPr>
            </w:pPr>
            <w:r>
              <w:rPr>
                <w:rFonts w:hint="eastAsia" w:ascii="宋体" w:hAnsi="宋体" w:cs="宋体"/>
                <w:color w:val="auto"/>
                <w:szCs w:val="21"/>
              </w:rPr>
              <w:t>三、起重吊装及起重机械安装拆卸工程</w:t>
            </w:r>
          </w:p>
        </w:tc>
        <w:tc>
          <w:tcPr>
            <w:tcW w:w="1195" w:type="dxa"/>
            <w:noWrap/>
            <w:vAlign w:val="center"/>
          </w:tcPr>
          <w:p w14:paraId="2D859F27">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726CFAD8">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74887366">
            <w:pPr>
              <w:adjustRightInd w:val="0"/>
              <w:snapToGrid w:val="0"/>
              <w:spacing w:line="320" w:lineRule="exact"/>
              <w:rPr>
                <w:rFonts w:ascii="宋体" w:hAnsi="宋体" w:cs="宋体"/>
                <w:color w:val="auto"/>
                <w:szCs w:val="21"/>
              </w:rPr>
            </w:pPr>
          </w:p>
        </w:tc>
      </w:tr>
      <w:tr w14:paraId="4437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537F284D">
            <w:pPr>
              <w:adjustRightInd w:val="0"/>
              <w:snapToGrid w:val="0"/>
              <w:spacing w:line="320" w:lineRule="exact"/>
              <w:rPr>
                <w:rFonts w:ascii="宋体" w:hAnsi="宋体" w:cs="宋体"/>
                <w:color w:val="auto"/>
                <w:szCs w:val="21"/>
              </w:rPr>
            </w:pPr>
            <w:r>
              <w:rPr>
                <w:rFonts w:hint="eastAsia" w:ascii="宋体" w:hAnsi="宋体" w:cs="宋体"/>
                <w:color w:val="auto"/>
                <w:szCs w:val="21"/>
              </w:rPr>
              <w:t>（一）采用非常规起重设备、方法，且单件起吊重量在100kN及以上的起重吊装工程。</w:t>
            </w:r>
          </w:p>
        </w:tc>
        <w:tc>
          <w:tcPr>
            <w:tcW w:w="1195" w:type="dxa"/>
            <w:noWrap/>
            <w:vAlign w:val="center"/>
          </w:tcPr>
          <w:p w14:paraId="7A054B59">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0A5B5E4B">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6863FD68">
            <w:pPr>
              <w:adjustRightInd w:val="0"/>
              <w:snapToGrid w:val="0"/>
              <w:spacing w:line="320" w:lineRule="exact"/>
              <w:rPr>
                <w:rFonts w:ascii="宋体" w:hAnsi="宋体" w:cs="宋体"/>
                <w:color w:val="auto"/>
                <w:szCs w:val="21"/>
              </w:rPr>
            </w:pPr>
          </w:p>
        </w:tc>
      </w:tr>
      <w:tr w14:paraId="0942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26206A22">
            <w:pPr>
              <w:adjustRightInd w:val="0"/>
              <w:snapToGrid w:val="0"/>
              <w:spacing w:line="320" w:lineRule="exact"/>
              <w:rPr>
                <w:rFonts w:ascii="宋体" w:hAnsi="宋体" w:cs="宋体"/>
                <w:color w:val="auto"/>
                <w:szCs w:val="21"/>
              </w:rPr>
            </w:pPr>
            <w:r>
              <w:rPr>
                <w:rFonts w:hint="eastAsia" w:ascii="宋体" w:hAnsi="宋体" w:cs="宋体"/>
                <w:color w:val="auto"/>
                <w:szCs w:val="21"/>
              </w:rPr>
              <w:t>（二）起重量300kN及以上，或搭设总高度200m及以上，或搭设基础标高在200m及以上的起重机械安装和拆卸工程。</w:t>
            </w:r>
          </w:p>
        </w:tc>
        <w:tc>
          <w:tcPr>
            <w:tcW w:w="1195" w:type="dxa"/>
            <w:noWrap/>
            <w:vAlign w:val="center"/>
          </w:tcPr>
          <w:p w14:paraId="28F1BAA2">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6354DD39">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48E4EFA9">
            <w:pPr>
              <w:adjustRightInd w:val="0"/>
              <w:snapToGrid w:val="0"/>
              <w:spacing w:line="320" w:lineRule="exact"/>
              <w:rPr>
                <w:rFonts w:ascii="宋体" w:hAnsi="宋体" w:cs="宋体"/>
                <w:color w:val="auto"/>
                <w:szCs w:val="21"/>
              </w:rPr>
            </w:pPr>
          </w:p>
        </w:tc>
      </w:tr>
      <w:tr w14:paraId="07B4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5F2FADD5">
            <w:pPr>
              <w:adjustRightInd w:val="0"/>
              <w:snapToGrid w:val="0"/>
              <w:spacing w:line="320" w:lineRule="exact"/>
              <w:rPr>
                <w:rFonts w:ascii="宋体" w:hAnsi="宋体" w:cs="宋体"/>
                <w:color w:val="auto"/>
                <w:szCs w:val="21"/>
              </w:rPr>
            </w:pPr>
            <w:r>
              <w:rPr>
                <w:rFonts w:hint="eastAsia" w:ascii="宋体" w:hAnsi="宋体" w:cs="宋体"/>
                <w:color w:val="auto"/>
                <w:szCs w:val="21"/>
              </w:rPr>
              <w:t>四、脚手架工程</w:t>
            </w:r>
          </w:p>
        </w:tc>
        <w:tc>
          <w:tcPr>
            <w:tcW w:w="1195" w:type="dxa"/>
            <w:noWrap/>
            <w:vAlign w:val="center"/>
          </w:tcPr>
          <w:p w14:paraId="0101D684">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4CA9D011">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29432FD9">
            <w:pPr>
              <w:adjustRightInd w:val="0"/>
              <w:snapToGrid w:val="0"/>
              <w:spacing w:line="320" w:lineRule="exact"/>
              <w:rPr>
                <w:rFonts w:ascii="宋体" w:hAnsi="宋体" w:cs="宋体"/>
                <w:color w:val="auto"/>
                <w:szCs w:val="21"/>
              </w:rPr>
            </w:pPr>
          </w:p>
        </w:tc>
      </w:tr>
      <w:tr w14:paraId="4B7B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32D56B72">
            <w:pPr>
              <w:adjustRightInd w:val="0"/>
              <w:snapToGrid w:val="0"/>
              <w:spacing w:line="320" w:lineRule="exact"/>
              <w:rPr>
                <w:rFonts w:ascii="宋体" w:hAnsi="宋体" w:cs="宋体"/>
                <w:color w:val="auto"/>
                <w:szCs w:val="21"/>
              </w:rPr>
            </w:pPr>
            <w:r>
              <w:rPr>
                <w:rFonts w:hint="eastAsia" w:ascii="宋体" w:hAnsi="宋体" w:cs="宋体"/>
                <w:color w:val="auto"/>
                <w:szCs w:val="21"/>
              </w:rPr>
              <w:t>（一）搭设高度50m及以上的落地式钢管脚手架工程。</w:t>
            </w:r>
          </w:p>
        </w:tc>
        <w:tc>
          <w:tcPr>
            <w:tcW w:w="1195" w:type="dxa"/>
            <w:noWrap/>
            <w:vAlign w:val="center"/>
          </w:tcPr>
          <w:p w14:paraId="78C77213">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164F254A">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03B03BAD">
            <w:pPr>
              <w:adjustRightInd w:val="0"/>
              <w:snapToGrid w:val="0"/>
              <w:spacing w:line="320" w:lineRule="exact"/>
              <w:rPr>
                <w:rFonts w:ascii="宋体" w:hAnsi="宋体" w:cs="宋体"/>
                <w:color w:val="auto"/>
                <w:szCs w:val="21"/>
              </w:rPr>
            </w:pPr>
          </w:p>
        </w:tc>
      </w:tr>
      <w:tr w14:paraId="298E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753C05B7">
            <w:pPr>
              <w:adjustRightInd w:val="0"/>
              <w:snapToGrid w:val="0"/>
              <w:spacing w:line="320" w:lineRule="exact"/>
              <w:rPr>
                <w:rFonts w:ascii="宋体" w:hAnsi="宋体" w:cs="宋体"/>
                <w:color w:val="auto"/>
                <w:szCs w:val="21"/>
              </w:rPr>
            </w:pPr>
            <w:r>
              <w:rPr>
                <w:rFonts w:hint="eastAsia" w:ascii="宋体" w:hAnsi="宋体" w:cs="宋体"/>
                <w:color w:val="auto"/>
                <w:szCs w:val="21"/>
              </w:rPr>
              <w:t>（二）提升高度在150m及以上的附着式升降脚手架工程或附着式升降操作平台工程。</w:t>
            </w:r>
          </w:p>
        </w:tc>
        <w:tc>
          <w:tcPr>
            <w:tcW w:w="1195" w:type="dxa"/>
            <w:noWrap/>
            <w:vAlign w:val="center"/>
          </w:tcPr>
          <w:p w14:paraId="77161692">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1AC8BA6F">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612E3C25">
            <w:pPr>
              <w:adjustRightInd w:val="0"/>
              <w:snapToGrid w:val="0"/>
              <w:spacing w:line="320" w:lineRule="exact"/>
              <w:rPr>
                <w:rFonts w:ascii="宋体" w:hAnsi="宋体" w:cs="宋体"/>
                <w:color w:val="auto"/>
                <w:szCs w:val="21"/>
              </w:rPr>
            </w:pPr>
          </w:p>
        </w:tc>
      </w:tr>
      <w:tr w14:paraId="3C42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4EFC610F">
            <w:pPr>
              <w:adjustRightInd w:val="0"/>
              <w:snapToGrid w:val="0"/>
              <w:spacing w:line="320" w:lineRule="exact"/>
              <w:rPr>
                <w:rFonts w:ascii="宋体" w:hAnsi="宋体" w:cs="宋体"/>
                <w:color w:val="auto"/>
                <w:szCs w:val="21"/>
              </w:rPr>
            </w:pPr>
            <w:r>
              <w:rPr>
                <w:rFonts w:hint="eastAsia" w:ascii="宋体" w:hAnsi="宋体" w:cs="宋体"/>
                <w:color w:val="auto"/>
                <w:szCs w:val="21"/>
              </w:rPr>
              <w:t>（三）分段架体搭设高度20m及以上的悬挑式脚手架工程。</w:t>
            </w:r>
          </w:p>
        </w:tc>
        <w:tc>
          <w:tcPr>
            <w:tcW w:w="1195" w:type="dxa"/>
            <w:noWrap/>
            <w:vAlign w:val="center"/>
          </w:tcPr>
          <w:p w14:paraId="2F8A590F">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04DE2202">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67FBBB01">
            <w:pPr>
              <w:adjustRightInd w:val="0"/>
              <w:snapToGrid w:val="0"/>
              <w:spacing w:line="320" w:lineRule="exact"/>
              <w:rPr>
                <w:rFonts w:ascii="宋体" w:hAnsi="宋体" w:cs="宋体"/>
                <w:color w:val="auto"/>
                <w:szCs w:val="21"/>
              </w:rPr>
            </w:pPr>
          </w:p>
        </w:tc>
      </w:tr>
      <w:tr w14:paraId="22F1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282CDF03">
            <w:pPr>
              <w:adjustRightInd w:val="0"/>
              <w:snapToGrid w:val="0"/>
              <w:spacing w:line="320" w:lineRule="exact"/>
              <w:rPr>
                <w:rFonts w:ascii="宋体" w:hAnsi="宋体" w:cs="宋体"/>
                <w:color w:val="auto"/>
                <w:szCs w:val="21"/>
              </w:rPr>
            </w:pPr>
            <w:r>
              <w:rPr>
                <w:rFonts w:hint="eastAsia" w:ascii="宋体" w:hAnsi="宋体" w:cs="宋体"/>
                <w:color w:val="auto"/>
                <w:szCs w:val="21"/>
              </w:rPr>
              <w:t>五、拆除工程</w:t>
            </w:r>
          </w:p>
        </w:tc>
        <w:tc>
          <w:tcPr>
            <w:tcW w:w="1195" w:type="dxa"/>
            <w:noWrap/>
            <w:vAlign w:val="center"/>
          </w:tcPr>
          <w:p w14:paraId="3EBE7964">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18CDBB60">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1BA33396">
            <w:pPr>
              <w:adjustRightInd w:val="0"/>
              <w:snapToGrid w:val="0"/>
              <w:spacing w:line="320" w:lineRule="exact"/>
              <w:rPr>
                <w:rFonts w:ascii="宋体" w:hAnsi="宋体" w:cs="宋体"/>
                <w:color w:val="auto"/>
                <w:szCs w:val="21"/>
              </w:rPr>
            </w:pPr>
          </w:p>
        </w:tc>
      </w:tr>
      <w:tr w14:paraId="7A3B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170B0591">
            <w:pPr>
              <w:adjustRightInd w:val="0"/>
              <w:snapToGrid w:val="0"/>
              <w:spacing w:line="320" w:lineRule="exact"/>
              <w:rPr>
                <w:rFonts w:ascii="宋体" w:hAnsi="宋体" w:cs="宋体"/>
                <w:color w:val="auto"/>
                <w:szCs w:val="21"/>
              </w:rPr>
            </w:pPr>
            <w:r>
              <w:rPr>
                <w:rFonts w:hint="eastAsia" w:ascii="宋体" w:hAnsi="宋体" w:cs="宋体"/>
                <w:color w:val="auto"/>
                <w:szCs w:val="21"/>
              </w:rPr>
              <w:t>（一）码头、桥梁、高架、烟囱、水塔或拆除中容易引起有毒有害气（液）体或粉尘扩散、易燃易爆事故发生的特殊建、构筑物的拆除工程。</w:t>
            </w:r>
          </w:p>
        </w:tc>
        <w:tc>
          <w:tcPr>
            <w:tcW w:w="1195" w:type="dxa"/>
            <w:noWrap/>
            <w:vAlign w:val="center"/>
          </w:tcPr>
          <w:p w14:paraId="05024E9D">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554BE30A">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46A4564B">
            <w:pPr>
              <w:adjustRightInd w:val="0"/>
              <w:snapToGrid w:val="0"/>
              <w:spacing w:line="320" w:lineRule="exact"/>
              <w:rPr>
                <w:rFonts w:ascii="宋体" w:hAnsi="宋体" w:cs="宋体"/>
                <w:color w:val="auto"/>
                <w:szCs w:val="21"/>
              </w:rPr>
            </w:pPr>
          </w:p>
        </w:tc>
      </w:tr>
      <w:tr w14:paraId="0CB1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58D06D5D">
            <w:pPr>
              <w:adjustRightInd w:val="0"/>
              <w:snapToGrid w:val="0"/>
              <w:spacing w:line="320" w:lineRule="exact"/>
              <w:rPr>
                <w:rFonts w:ascii="宋体" w:hAnsi="宋体" w:cs="宋体"/>
                <w:color w:val="auto"/>
                <w:szCs w:val="21"/>
              </w:rPr>
            </w:pPr>
            <w:r>
              <w:rPr>
                <w:rFonts w:hint="eastAsia" w:ascii="宋体" w:hAnsi="宋体" w:cs="宋体"/>
                <w:color w:val="auto"/>
                <w:szCs w:val="21"/>
              </w:rPr>
              <w:t>（二）文物保护建筑、优秀历史建筑或历史文化风貌区影响范围内的拆除工程。</w:t>
            </w:r>
          </w:p>
        </w:tc>
        <w:tc>
          <w:tcPr>
            <w:tcW w:w="1195" w:type="dxa"/>
            <w:noWrap/>
            <w:vAlign w:val="center"/>
          </w:tcPr>
          <w:p w14:paraId="6F6A8713">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3E5766AD">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3D3F22F8">
            <w:pPr>
              <w:adjustRightInd w:val="0"/>
              <w:snapToGrid w:val="0"/>
              <w:spacing w:line="320" w:lineRule="exact"/>
              <w:rPr>
                <w:rFonts w:ascii="宋体" w:hAnsi="宋体" w:cs="宋体"/>
                <w:color w:val="auto"/>
                <w:szCs w:val="21"/>
              </w:rPr>
            </w:pPr>
          </w:p>
        </w:tc>
      </w:tr>
      <w:tr w14:paraId="04C4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1C11E43D">
            <w:pPr>
              <w:adjustRightInd w:val="0"/>
              <w:snapToGrid w:val="0"/>
              <w:spacing w:line="320" w:lineRule="exact"/>
              <w:rPr>
                <w:rFonts w:ascii="宋体" w:hAnsi="宋体" w:cs="宋体"/>
                <w:color w:val="auto"/>
                <w:szCs w:val="21"/>
              </w:rPr>
            </w:pPr>
            <w:r>
              <w:rPr>
                <w:rFonts w:hint="eastAsia" w:ascii="宋体" w:hAnsi="宋体" w:cs="宋体"/>
                <w:color w:val="auto"/>
                <w:szCs w:val="21"/>
              </w:rPr>
              <w:t>六、暗挖工程</w:t>
            </w:r>
          </w:p>
        </w:tc>
        <w:tc>
          <w:tcPr>
            <w:tcW w:w="1195" w:type="dxa"/>
            <w:noWrap/>
            <w:vAlign w:val="center"/>
          </w:tcPr>
          <w:p w14:paraId="27D8A468">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51D14AFA">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258CEF5E">
            <w:pPr>
              <w:adjustRightInd w:val="0"/>
              <w:snapToGrid w:val="0"/>
              <w:spacing w:line="320" w:lineRule="exact"/>
              <w:rPr>
                <w:rFonts w:ascii="宋体" w:hAnsi="宋体" w:cs="宋体"/>
                <w:color w:val="auto"/>
                <w:szCs w:val="21"/>
              </w:rPr>
            </w:pPr>
          </w:p>
        </w:tc>
      </w:tr>
      <w:tr w14:paraId="6AC1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545D5CB9">
            <w:pPr>
              <w:adjustRightInd w:val="0"/>
              <w:snapToGrid w:val="0"/>
              <w:spacing w:line="320" w:lineRule="exact"/>
              <w:rPr>
                <w:rFonts w:ascii="宋体" w:hAnsi="宋体" w:cs="宋体"/>
                <w:color w:val="auto"/>
                <w:szCs w:val="21"/>
              </w:rPr>
            </w:pPr>
            <w:r>
              <w:rPr>
                <w:rFonts w:hint="eastAsia" w:ascii="宋体" w:hAnsi="宋体" w:cs="宋体"/>
                <w:color w:val="auto"/>
                <w:szCs w:val="21"/>
              </w:rPr>
              <w:t>采用矿山法、盾构法、顶管法施工的隧道、洞室工程。</w:t>
            </w:r>
          </w:p>
        </w:tc>
        <w:tc>
          <w:tcPr>
            <w:tcW w:w="1195" w:type="dxa"/>
            <w:noWrap/>
            <w:vAlign w:val="center"/>
          </w:tcPr>
          <w:p w14:paraId="7ED71231">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0BECCCE8">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23FC1826">
            <w:pPr>
              <w:adjustRightInd w:val="0"/>
              <w:snapToGrid w:val="0"/>
              <w:spacing w:line="320" w:lineRule="exact"/>
              <w:rPr>
                <w:rFonts w:ascii="宋体" w:hAnsi="宋体" w:cs="宋体"/>
                <w:color w:val="auto"/>
                <w:szCs w:val="21"/>
              </w:rPr>
            </w:pPr>
          </w:p>
        </w:tc>
      </w:tr>
      <w:tr w14:paraId="070D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31DC7638">
            <w:pPr>
              <w:adjustRightInd w:val="0"/>
              <w:snapToGrid w:val="0"/>
              <w:spacing w:line="320" w:lineRule="exact"/>
              <w:rPr>
                <w:rFonts w:ascii="宋体" w:hAnsi="宋体" w:cs="宋体"/>
                <w:color w:val="auto"/>
                <w:szCs w:val="21"/>
              </w:rPr>
            </w:pPr>
            <w:r>
              <w:rPr>
                <w:rFonts w:hint="eastAsia" w:ascii="宋体" w:hAnsi="宋体" w:cs="宋体"/>
                <w:color w:val="auto"/>
                <w:szCs w:val="21"/>
              </w:rPr>
              <w:t>七、其它</w:t>
            </w:r>
          </w:p>
        </w:tc>
        <w:tc>
          <w:tcPr>
            <w:tcW w:w="1195" w:type="dxa"/>
            <w:noWrap/>
            <w:vAlign w:val="center"/>
          </w:tcPr>
          <w:p w14:paraId="20180604">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0659736A">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475F37B4">
            <w:pPr>
              <w:adjustRightInd w:val="0"/>
              <w:snapToGrid w:val="0"/>
              <w:spacing w:line="320" w:lineRule="exact"/>
              <w:rPr>
                <w:rFonts w:ascii="宋体" w:hAnsi="宋体" w:cs="宋体"/>
                <w:color w:val="auto"/>
                <w:szCs w:val="21"/>
              </w:rPr>
            </w:pPr>
          </w:p>
        </w:tc>
      </w:tr>
      <w:tr w14:paraId="313C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0ABCE7EB">
            <w:pPr>
              <w:adjustRightInd w:val="0"/>
              <w:snapToGrid w:val="0"/>
              <w:spacing w:line="320" w:lineRule="exact"/>
              <w:rPr>
                <w:rFonts w:ascii="宋体" w:hAnsi="宋体" w:cs="宋体"/>
                <w:color w:val="auto"/>
                <w:szCs w:val="21"/>
              </w:rPr>
            </w:pPr>
            <w:r>
              <w:rPr>
                <w:rFonts w:hint="eastAsia" w:ascii="宋体" w:hAnsi="宋体" w:cs="宋体"/>
                <w:color w:val="auto"/>
                <w:szCs w:val="21"/>
              </w:rPr>
              <w:t>（一）施工高度50m及以上的建筑幕墙安装工程。</w:t>
            </w:r>
          </w:p>
        </w:tc>
        <w:tc>
          <w:tcPr>
            <w:tcW w:w="1195" w:type="dxa"/>
            <w:noWrap/>
            <w:vAlign w:val="center"/>
          </w:tcPr>
          <w:p w14:paraId="4937D4FE">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6E563203">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681E73E1">
            <w:pPr>
              <w:adjustRightInd w:val="0"/>
              <w:snapToGrid w:val="0"/>
              <w:spacing w:line="320" w:lineRule="exact"/>
              <w:rPr>
                <w:rFonts w:ascii="宋体" w:hAnsi="宋体" w:cs="宋体"/>
                <w:color w:val="auto"/>
                <w:szCs w:val="21"/>
              </w:rPr>
            </w:pPr>
          </w:p>
        </w:tc>
      </w:tr>
      <w:tr w14:paraId="789C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04E329D3">
            <w:pPr>
              <w:adjustRightInd w:val="0"/>
              <w:snapToGrid w:val="0"/>
              <w:spacing w:line="320" w:lineRule="exact"/>
              <w:rPr>
                <w:rFonts w:ascii="宋体" w:hAnsi="宋体" w:cs="宋体"/>
                <w:color w:val="auto"/>
                <w:szCs w:val="21"/>
              </w:rPr>
            </w:pPr>
            <w:r>
              <w:rPr>
                <w:rFonts w:hint="eastAsia" w:ascii="宋体" w:hAnsi="宋体" w:cs="宋体"/>
                <w:color w:val="auto"/>
                <w:szCs w:val="21"/>
              </w:rPr>
              <w:t>（二）跨度36m及以上的钢结构安装工程，或跨度60m及以上的网架和索膜结构安装工程。</w:t>
            </w:r>
          </w:p>
        </w:tc>
        <w:tc>
          <w:tcPr>
            <w:tcW w:w="1195" w:type="dxa"/>
            <w:noWrap/>
            <w:vAlign w:val="center"/>
          </w:tcPr>
          <w:p w14:paraId="7DF0E6D9">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5A47E622">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3494EBF4">
            <w:pPr>
              <w:adjustRightInd w:val="0"/>
              <w:snapToGrid w:val="0"/>
              <w:spacing w:line="320" w:lineRule="exact"/>
              <w:rPr>
                <w:rFonts w:ascii="宋体" w:hAnsi="宋体" w:cs="宋体"/>
                <w:color w:val="auto"/>
                <w:szCs w:val="21"/>
              </w:rPr>
            </w:pPr>
          </w:p>
        </w:tc>
      </w:tr>
      <w:tr w14:paraId="1987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23708CC9">
            <w:pPr>
              <w:adjustRightInd w:val="0"/>
              <w:snapToGrid w:val="0"/>
              <w:spacing w:line="320" w:lineRule="exact"/>
              <w:rPr>
                <w:rFonts w:ascii="宋体" w:hAnsi="宋体" w:cs="宋体"/>
                <w:color w:val="auto"/>
                <w:szCs w:val="21"/>
              </w:rPr>
            </w:pPr>
            <w:r>
              <w:rPr>
                <w:rFonts w:hint="eastAsia" w:ascii="宋体" w:hAnsi="宋体" w:cs="宋体"/>
                <w:color w:val="auto"/>
                <w:szCs w:val="21"/>
              </w:rPr>
              <w:t>（三）开挖深度16m及以上的人工挖孔桩工程。</w:t>
            </w:r>
          </w:p>
        </w:tc>
        <w:tc>
          <w:tcPr>
            <w:tcW w:w="1195" w:type="dxa"/>
            <w:noWrap/>
            <w:vAlign w:val="center"/>
          </w:tcPr>
          <w:p w14:paraId="0A7214CC">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063D9F81">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0D99343C">
            <w:pPr>
              <w:adjustRightInd w:val="0"/>
              <w:snapToGrid w:val="0"/>
              <w:spacing w:line="320" w:lineRule="exact"/>
              <w:rPr>
                <w:rFonts w:ascii="宋体" w:hAnsi="宋体" w:cs="宋体"/>
                <w:color w:val="auto"/>
                <w:szCs w:val="21"/>
              </w:rPr>
            </w:pPr>
          </w:p>
        </w:tc>
      </w:tr>
      <w:tr w14:paraId="3A87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6F638387">
            <w:pPr>
              <w:adjustRightInd w:val="0"/>
              <w:snapToGrid w:val="0"/>
              <w:spacing w:line="320" w:lineRule="exact"/>
              <w:rPr>
                <w:rFonts w:ascii="宋体" w:hAnsi="宋体" w:cs="宋体"/>
                <w:color w:val="auto"/>
                <w:szCs w:val="21"/>
              </w:rPr>
            </w:pPr>
            <w:r>
              <w:rPr>
                <w:rFonts w:hint="eastAsia" w:ascii="宋体" w:hAnsi="宋体" w:cs="宋体"/>
                <w:color w:val="auto"/>
                <w:szCs w:val="21"/>
              </w:rPr>
              <w:t>（四）水下作业工程。</w:t>
            </w:r>
          </w:p>
        </w:tc>
        <w:tc>
          <w:tcPr>
            <w:tcW w:w="1195" w:type="dxa"/>
            <w:noWrap/>
            <w:vAlign w:val="center"/>
          </w:tcPr>
          <w:p w14:paraId="76BB5EAF">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0ABD1473">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75F88F43">
            <w:pPr>
              <w:adjustRightInd w:val="0"/>
              <w:snapToGrid w:val="0"/>
              <w:spacing w:line="320" w:lineRule="exact"/>
              <w:rPr>
                <w:rFonts w:ascii="宋体" w:hAnsi="宋体" w:cs="宋体"/>
                <w:color w:val="auto"/>
                <w:szCs w:val="21"/>
              </w:rPr>
            </w:pPr>
          </w:p>
        </w:tc>
      </w:tr>
      <w:tr w14:paraId="0A48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04A11A60">
            <w:pPr>
              <w:adjustRightInd w:val="0"/>
              <w:snapToGrid w:val="0"/>
              <w:spacing w:line="320" w:lineRule="exact"/>
              <w:rPr>
                <w:rFonts w:ascii="宋体" w:hAnsi="宋体" w:cs="宋体"/>
                <w:color w:val="auto"/>
                <w:szCs w:val="21"/>
              </w:rPr>
            </w:pPr>
            <w:r>
              <w:rPr>
                <w:rFonts w:hint="eastAsia" w:ascii="宋体" w:hAnsi="宋体" w:cs="宋体"/>
                <w:color w:val="auto"/>
                <w:szCs w:val="21"/>
              </w:rPr>
              <w:t>（五）重量1000kN及以上的大型结构整体顶升、平移、转体等施工工艺。</w:t>
            </w:r>
          </w:p>
        </w:tc>
        <w:tc>
          <w:tcPr>
            <w:tcW w:w="1195" w:type="dxa"/>
            <w:noWrap/>
            <w:vAlign w:val="center"/>
          </w:tcPr>
          <w:p w14:paraId="333D8EAC">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4278BFA5">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168A5EDF">
            <w:pPr>
              <w:adjustRightInd w:val="0"/>
              <w:snapToGrid w:val="0"/>
              <w:spacing w:line="320" w:lineRule="exact"/>
              <w:rPr>
                <w:rFonts w:ascii="宋体" w:hAnsi="宋体" w:cs="宋体"/>
                <w:color w:val="auto"/>
                <w:szCs w:val="21"/>
              </w:rPr>
            </w:pPr>
          </w:p>
        </w:tc>
      </w:tr>
      <w:tr w14:paraId="615F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5" w:type="dxa"/>
            <w:noWrap/>
            <w:vAlign w:val="center"/>
          </w:tcPr>
          <w:p w14:paraId="752126AB">
            <w:pPr>
              <w:adjustRightInd w:val="0"/>
              <w:snapToGrid w:val="0"/>
              <w:spacing w:line="320" w:lineRule="exact"/>
              <w:rPr>
                <w:rFonts w:ascii="宋体" w:hAnsi="宋体" w:cs="宋体"/>
                <w:color w:val="auto"/>
                <w:szCs w:val="21"/>
              </w:rPr>
            </w:pPr>
            <w:r>
              <w:rPr>
                <w:rFonts w:hint="eastAsia" w:ascii="宋体" w:hAnsi="宋体" w:cs="宋体"/>
                <w:color w:val="auto"/>
                <w:szCs w:val="21"/>
              </w:rPr>
              <w:t>（六）采用新技术、新工艺、新材料、新设备可能影响工程施工安全，尚无国家、行业及地方技术标准的分部分项工程。</w:t>
            </w:r>
          </w:p>
        </w:tc>
        <w:tc>
          <w:tcPr>
            <w:tcW w:w="1195" w:type="dxa"/>
            <w:noWrap/>
            <w:vAlign w:val="center"/>
          </w:tcPr>
          <w:p w14:paraId="592AED0D">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1204" w:type="dxa"/>
            <w:noWrap/>
            <w:vAlign w:val="center"/>
          </w:tcPr>
          <w:p w14:paraId="70AE9CE0">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    )</w:t>
            </w:r>
          </w:p>
        </w:tc>
        <w:tc>
          <w:tcPr>
            <w:tcW w:w="760" w:type="dxa"/>
            <w:noWrap/>
            <w:vAlign w:val="center"/>
          </w:tcPr>
          <w:p w14:paraId="7F389937">
            <w:pPr>
              <w:adjustRightInd w:val="0"/>
              <w:snapToGrid w:val="0"/>
              <w:spacing w:line="320" w:lineRule="exact"/>
              <w:rPr>
                <w:rFonts w:ascii="宋体" w:hAnsi="宋体" w:cs="宋体"/>
                <w:color w:val="auto"/>
                <w:szCs w:val="21"/>
              </w:rPr>
            </w:pPr>
          </w:p>
        </w:tc>
      </w:tr>
    </w:tbl>
    <w:p w14:paraId="7655E022">
      <w:pPr>
        <w:adjustRightInd w:val="0"/>
        <w:snapToGrid w:val="0"/>
        <w:spacing w:line="276" w:lineRule="auto"/>
        <w:ind w:firstLine="3000" w:firstLineChars="1250"/>
        <w:rPr>
          <w:rFonts w:ascii="宋体" w:hAnsi="宋体" w:cs="宋体"/>
          <w:color w:val="auto"/>
          <w:sz w:val="24"/>
          <w:szCs w:val="20"/>
        </w:rPr>
      </w:pPr>
    </w:p>
    <w:p w14:paraId="5F9D0B17">
      <w:pPr>
        <w:spacing w:line="276" w:lineRule="auto"/>
        <w:jc w:val="center"/>
        <w:rPr>
          <w:rFonts w:ascii="宋体" w:hAnsi="宋体" w:cs="宋体"/>
          <w:color w:val="auto"/>
          <w:sz w:val="24"/>
          <w:szCs w:val="20"/>
          <w:u w:val="single"/>
        </w:rPr>
      </w:pPr>
      <w:r>
        <w:rPr>
          <w:rFonts w:hint="eastAsia" w:ascii="宋体" w:hAnsi="宋体" w:cs="宋体"/>
          <w:color w:val="auto"/>
          <w:sz w:val="24"/>
          <w:szCs w:val="20"/>
        </w:rPr>
        <w:t xml:space="preserve">                       投标人名称：</w:t>
      </w:r>
      <w:r>
        <w:rPr>
          <w:rFonts w:hint="eastAsia" w:ascii="宋体" w:hAnsi="宋体" w:cs="宋体"/>
          <w:color w:val="auto"/>
          <w:sz w:val="24"/>
          <w:szCs w:val="20"/>
          <w:u w:val="single"/>
        </w:rPr>
        <w:t xml:space="preserve">              </w:t>
      </w:r>
    </w:p>
    <w:p w14:paraId="5FC6D8C9">
      <w:pPr>
        <w:spacing w:line="276" w:lineRule="auto"/>
        <w:jc w:val="center"/>
        <w:rPr>
          <w:rFonts w:ascii="宋体" w:hAnsi="宋体" w:cs="宋体"/>
          <w:color w:val="auto"/>
          <w:sz w:val="24"/>
          <w:szCs w:val="20"/>
        </w:rPr>
      </w:pPr>
      <w:r>
        <w:rPr>
          <w:rFonts w:hint="eastAsia" w:ascii="宋体" w:hAnsi="宋体" w:cs="宋体"/>
          <w:color w:val="auto"/>
          <w:sz w:val="24"/>
          <w:szCs w:val="20"/>
        </w:rPr>
        <w:t xml:space="preserve">                                </w:t>
      </w:r>
    </w:p>
    <w:p w14:paraId="31CC21DA">
      <w:pPr>
        <w:pStyle w:val="19"/>
        <w:shd w:val="clear" w:color="auto" w:fill="FFFFFF"/>
        <w:spacing w:line="276" w:lineRule="auto"/>
        <w:jc w:val="center"/>
        <w:rPr>
          <w:rFonts w:ascii="宋体" w:hAnsi="宋体" w:eastAsia="宋体"/>
          <w:color w:val="auto"/>
          <w:szCs w:val="20"/>
        </w:rPr>
      </w:pPr>
      <w:r>
        <w:rPr>
          <w:rFonts w:hint="eastAsia" w:ascii="宋体" w:hAnsi="宋体" w:eastAsia="宋体"/>
          <w:color w:val="auto"/>
          <w:szCs w:val="20"/>
        </w:rPr>
        <w:t xml:space="preserve">                  日期：   年   月   日</w:t>
      </w:r>
    </w:p>
    <w:p w14:paraId="3D7FB2A3">
      <w:pPr>
        <w:rPr>
          <w:color w:val="auto"/>
        </w:rPr>
      </w:pPr>
    </w:p>
    <w:p w14:paraId="4D01BA69">
      <w:pPr>
        <w:rPr>
          <w:color w:val="auto"/>
        </w:rPr>
      </w:pPr>
      <w:r>
        <w:rPr>
          <w:color w:val="auto"/>
        </w:rPr>
        <w:br w:type="column"/>
      </w:r>
    </w:p>
    <w:p w14:paraId="2ED4436C">
      <w:pPr>
        <w:spacing w:line="360" w:lineRule="auto"/>
        <w:jc w:val="center"/>
        <w:rPr>
          <w:rStyle w:val="122"/>
          <w:rFonts w:ascii="宋体" w:hAnsi="宋体"/>
          <w:b/>
          <w:color w:val="auto"/>
          <w:spacing w:val="4"/>
          <w:kern w:val="0"/>
          <w:sz w:val="30"/>
          <w:szCs w:val="30"/>
        </w:rPr>
      </w:pPr>
      <w:r>
        <w:rPr>
          <w:rStyle w:val="122"/>
          <w:rFonts w:ascii="宋体" w:hAnsi="宋体"/>
          <w:b/>
          <w:color w:val="auto"/>
          <w:spacing w:val="4"/>
          <w:kern w:val="0"/>
          <w:sz w:val="30"/>
          <w:szCs w:val="30"/>
        </w:rPr>
        <w:t>二、经济标投标文件格式</w:t>
      </w:r>
    </w:p>
    <w:p w14:paraId="7167EFAC">
      <w:pPr>
        <w:topLinePunct/>
        <w:snapToGrid w:val="0"/>
        <w:spacing w:before="156" w:after="156" w:line="360" w:lineRule="auto"/>
        <w:jc w:val="left"/>
        <w:rPr>
          <w:rStyle w:val="122"/>
          <w:rFonts w:ascii="宋体" w:hAnsi="宋体"/>
          <w:b/>
          <w:color w:val="auto"/>
          <w:spacing w:val="4"/>
          <w:kern w:val="0"/>
          <w:sz w:val="24"/>
          <w:szCs w:val="24"/>
        </w:rPr>
      </w:pPr>
    </w:p>
    <w:p w14:paraId="7CC474BD">
      <w:pPr>
        <w:topLinePunct/>
        <w:snapToGrid w:val="0"/>
        <w:spacing w:before="156" w:after="156" w:line="360" w:lineRule="auto"/>
        <w:jc w:val="left"/>
        <w:rPr>
          <w:rStyle w:val="122"/>
          <w:rFonts w:ascii="宋体" w:cs="宋体"/>
          <w:b/>
          <w:bCs/>
          <w:color w:val="auto"/>
        </w:rPr>
      </w:pPr>
      <w:r>
        <w:rPr>
          <w:rStyle w:val="122"/>
          <w:rFonts w:ascii="宋体" w:cs="宋体"/>
          <w:b/>
          <w:bCs/>
          <w:color w:val="auto"/>
        </w:rPr>
        <w:t>格式</w:t>
      </w:r>
      <w:r>
        <w:rPr>
          <w:rStyle w:val="122"/>
          <w:rFonts w:hint="eastAsia" w:ascii="宋体" w:cs="宋体"/>
          <w:b/>
          <w:bCs/>
          <w:color w:val="auto"/>
        </w:rPr>
        <w:t>一：</w:t>
      </w:r>
    </w:p>
    <w:p w14:paraId="02E86EF4">
      <w:pPr>
        <w:topLinePunct/>
        <w:snapToGrid w:val="0"/>
        <w:spacing w:after="200" w:line="360" w:lineRule="auto"/>
        <w:jc w:val="center"/>
        <w:rPr>
          <w:rStyle w:val="122"/>
          <w:rFonts w:ascii="宋体" w:hAnsi="宋体"/>
          <w:b/>
          <w:bCs/>
          <w:color w:val="auto"/>
          <w:spacing w:val="4"/>
          <w:kern w:val="0"/>
          <w:sz w:val="30"/>
          <w:szCs w:val="30"/>
        </w:rPr>
      </w:pPr>
      <w:r>
        <w:rPr>
          <w:rStyle w:val="122"/>
          <w:rFonts w:ascii="宋体" w:hAnsi="宋体"/>
          <w:b/>
          <w:bCs/>
          <w:color w:val="auto"/>
          <w:spacing w:val="4"/>
          <w:kern w:val="0"/>
          <w:sz w:val="30"/>
          <w:szCs w:val="30"/>
        </w:rPr>
        <w:t>参与编制经济标投标文件人员名单</w:t>
      </w:r>
    </w:p>
    <w:tbl>
      <w:tblPr>
        <w:tblStyle w:val="2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376"/>
        <w:gridCol w:w="2350"/>
        <w:gridCol w:w="2251"/>
        <w:gridCol w:w="1354"/>
      </w:tblGrid>
      <w:tr w14:paraId="41B8C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14:paraId="4B1BFBF9">
            <w:pPr>
              <w:tabs>
                <w:tab w:val="left" w:pos="720"/>
              </w:tabs>
              <w:snapToGrid w:val="0"/>
              <w:spacing w:line="360" w:lineRule="auto"/>
              <w:jc w:val="center"/>
              <w:rPr>
                <w:rStyle w:val="122"/>
                <w:rFonts w:ascii="宋体" w:hAnsi="宋体"/>
                <w:color w:val="auto"/>
                <w:sz w:val="24"/>
                <w:szCs w:val="24"/>
              </w:rPr>
            </w:pPr>
            <w:r>
              <w:rPr>
                <w:rStyle w:val="122"/>
                <w:rFonts w:ascii="宋体" w:hAnsi="宋体"/>
                <w:color w:val="auto"/>
                <w:sz w:val="24"/>
                <w:szCs w:val="24"/>
              </w:rPr>
              <w:t>投标单位名称</w:t>
            </w:r>
          </w:p>
        </w:tc>
      </w:tr>
      <w:tr w14:paraId="6C8C5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7F84E9A7">
            <w:pPr>
              <w:tabs>
                <w:tab w:val="left" w:pos="720"/>
              </w:tabs>
              <w:snapToGrid w:val="0"/>
              <w:spacing w:line="360" w:lineRule="auto"/>
              <w:jc w:val="center"/>
              <w:rPr>
                <w:rStyle w:val="122"/>
                <w:rFonts w:ascii="宋体" w:hAnsi="宋体"/>
                <w:color w:val="auto"/>
                <w:sz w:val="24"/>
                <w:szCs w:val="24"/>
              </w:rPr>
            </w:pPr>
            <w:r>
              <w:rPr>
                <w:rStyle w:val="122"/>
                <w:rFonts w:ascii="宋体" w:hAnsi="宋体"/>
                <w:color w:val="auto"/>
                <w:sz w:val="24"/>
                <w:szCs w:val="24"/>
              </w:rPr>
              <w:t>姓名</w:t>
            </w:r>
          </w:p>
        </w:tc>
        <w:tc>
          <w:tcPr>
            <w:tcW w:w="1376" w:type="dxa"/>
            <w:tcBorders>
              <w:top w:val="single" w:color="000000" w:sz="4" w:space="0"/>
              <w:left w:val="single" w:color="000000" w:sz="4" w:space="0"/>
              <w:bottom w:val="single" w:color="000000" w:sz="4" w:space="0"/>
              <w:right w:val="single" w:color="000000" w:sz="4" w:space="0"/>
            </w:tcBorders>
            <w:vAlign w:val="center"/>
          </w:tcPr>
          <w:p w14:paraId="0F1D4DB8">
            <w:pPr>
              <w:tabs>
                <w:tab w:val="left" w:pos="720"/>
              </w:tabs>
              <w:snapToGrid w:val="0"/>
              <w:spacing w:line="360" w:lineRule="auto"/>
              <w:jc w:val="center"/>
              <w:rPr>
                <w:rStyle w:val="122"/>
                <w:rFonts w:ascii="宋体" w:hAnsi="宋体"/>
                <w:color w:val="auto"/>
                <w:sz w:val="24"/>
                <w:szCs w:val="24"/>
              </w:rPr>
            </w:pPr>
            <w:r>
              <w:rPr>
                <w:rStyle w:val="122"/>
                <w:rFonts w:ascii="宋体" w:hAnsi="宋体"/>
                <w:color w:val="auto"/>
                <w:sz w:val="24"/>
                <w:szCs w:val="24"/>
              </w:rPr>
              <w:t>职务</w:t>
            </w:r>
          </w:p>
        </w:tc>
        <w:tc>
          <w:tcPr>
            <w:tcW w:w="2350" w:type="dxa"/>
            <w:tcBorders>
              <w:top w:val="single" w:color="000000" w:sz="4" w:space="0"/>
              <w:left w:val="single" w:color="000000" w:sz="4" w:space="0"/>
              <w:bottom w:val="single" w:color="000000" w:sz="4" w:space="0"/>
              <w:right w:val="single" w:color="000000" w:sz="4" w:space="0"/>
            </w:tcBorders>
            <w:vAlign w:val="center"/>
          </w:tcPr>
          <w:p w14:paraId="42DC9E62">
            <w:pPr>
              <w:tabs>
                <w:tab w:val="left" w:pos="720"/>
              </w:tabs>
              <w:snapToGrid w:val="0"/>
              <w:spacing w:line="360" w:lineRule="auto"/>
              <w:jc w:val="center"/>
              <w:rPr>
                <w:rStyle w:val="122"/>
                <w:rFonts w:ascii="宋体" w:hAnsi="宋体"/>
                <w:color w:val="auto"/>
                <w:sz w:val="24"/>
                <w:szCs w:val="24"/>
              </w:rPr>
            </w:pPr>
            <w:r>
              <w:rPr>
                <w:rStyle w:val="122"/>
                <w:rFonts w:ascii="宋体" w:hAnsi="宋体"/>
                <w:color w:val="auto"/>
                <w:sz w:val="24"/>
                <w:szCs w:val="24"/>
              </w:rPr>
              <w:t>所承担工作</w:t>
            </w:r>
          </w:p>
        </w:tc>
        <w:tc>
          <w:tcPr>
            <w:tcW w:w="2251" w:type="dxa"/>
            <w:tcBorders>
              <w:top w:val="single" w:color="000000" w:sz="4" w:space="0"/>
              <w:left w:val="single" w:color="000000" w:sz="4" w:space="0"/>
              <w:bottom w:val="single" w:color="000000" w:sz="4" w:space="0"/>
              <w:right w:val="single" w:color="000000" w:sz="4" w:space="0"/>
            </w:tcBorders>
            <w:vAlign w:val="center"/>
          </w:tcPr>
          <w:p w14:paraId="26A38DE3">
            <w:pPr>
              <w:tabs>
                <w:tab w:val="left" w:pos="720"/>
              </w:tabs>
              <w:snapToGrid w:val="0"/>
              <w:spacing w:line="360" w:lineRule="auto"/>
              <w:jc w:val="center"/>
              <w:rPr>
                <w:rStyle w:val="122"/>
                <w:rFonts w:ascii="宋体" w:hAnsi="宋体"/>
                <w:color w:val="auto"/>
                <w:sz w:val="24"/>
                <w:szCs w:val="24"/>
              </w:rPr>
            </w:pPr>
            <w:r>
              <w:rPr>
                <w:rStyle w:val="122"/>
                <w:rFonts w:ascii="宋体" w:hAnsi="宋体"/>
                <w:color w:val="auto"/>
                <w:sz w:val="24"/>
                <w:szCs w:val="24"/>
              </w:rPr>
              <w:t>身份证号码</w:t>
            </w:r>
          </w:p>
        </w:tc>
        <w:tc>
          <w:tcPr>
            <w:tcW w:w="1354" w:type="dxa"/>
            <w:tcBorders>
              <w:top w:val="single" w:color="000000" w:sz="4" w:space="0"/>
              <w:left w:val="single" w:color="000000" w:sz="4" w:space="0"/>
              <w:bottom w:val="single" w:color="000000" w:sz="4" w:space="0"/>
              <w:right w:val="single" w:color="000000" w:sz="4" w:space="0"/>
            </w:tcBorders>
            <w:vAlign w:val="center"/>
          </w:tcPr>
          <w:p w14:paraId="3BF50FD6">
            <w:pPr>
              <w:tabs>
                <w:tab w:val="left" w:pos="720"/>
              </w:tabs>
              <w:snapToGrid w:val="0"/>
              <w:spacing w:line="360" w:lineRule="auto"/>
              <w:jc w:val="center"/>
              <w:rPr>
                <w:rStyle w:val="122"/>
                <w:rFonts w:ascii="宋体" w:hAnsi="宋体"/>
                <w:color w:val="auto"/>
                <w:sz w:val="24"/>
                <w:szCs w:val="24"/>
              </w:rPr>
            </w:pPr>
            <w:r>
              <w:rPr>
                <w:rStyle w:val="122"/>
                <w:rFonts w:ascii="宋体" w:hAnsi="宋体"/>
                <w:color w:val="auto"/>
                <w:sz w:val="24"/>
                <w:szCs w:val="24"/>
              </w:rPr>
              <w:t>本人签名栏</w:t>
            </w:r>
          </w:p>
        </w:tc>
      </w:tr>
      <w:tr w14:paraId="1769F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266159C2">
            <w:pPr>
              <w:tabs>
                <w:tab w:val="left" w:pos="720"/>
              </w:tabs>
              <w:snapToGrid w:val="0"/>
              <w:spacing w:line="360" w:lineRule="auto"/>
              <w:jc w:val="center"/>
              <w:rPr>
                <w:rStyle w:val="122"/>
                <w:rFonts w:ascii="宋体" w:hAnsi="宋体"/>
                <w:color w:val="auto"/>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0795207F">
            <w:pPr>
              <w:tabs>
                <w:tab w:val="left" w:pos="720"/>
              </w:tabs>
              <w:snapToGrid w:val="0"/>
              <w:spacing w:line="360" w:lineRule="auto"/>
              <w:jc w:val="center"/>
              <w:rPr>
                <w:rStyle w:val="122"/>
                <w:rFonts w:ascii="宋体" w:hAnsi="宋体"/>
                <w:color w:val="auto"/>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76C93059">
            <w:pPr>
              <w:tabs>
                <w:tab w:val="left" w:pos="720"/>
              </w:tabs>
              <w:snapToGrid w:val="0"/>
              <w:spacing w:line="360" w:lineRule="auto"/>
              <w:jc w:val="center"/>
              <w:rPr>
                <w:rStyle w:val="122"/>
                <w:rFonts w:ascii="宋体" w:hAnsi="宋体"/>
                <w:color w:val="auto"/>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568400AD">
            <w:pPr>
              <w:tabs>
                <w:tab w:val="left" w:pos="720"/>
              </w:tabs>
              <w:snapToGrid w:val="0"/>
              <w:spacing w:line="360" w:lineRule="auto"/>
              <w:jc w:val="center"/>
              <w:rPr>
                <w:rStyle w:val="122"/>
                <w:rFonts w:ascii="宋体" w:hAnsi="宋体"/>
                <w:color w:val="auto"/>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29A66C1B">
            <w:pPr>
              <w:tabs>
                <w:tab w:val="left" w:pos="720"/>
              </w:tabs>
              <w:snapToGrid w:val="0"/>
              <w:spacing w:line="360" w:lineRule="auto"/>
              <w:jc w:val="center"/>
              <w:rPr>
                <w:rStyle w:val="122"/>
                <w:rFonts w:ascii="宋体" w:hAnsi="宋体"/>
                <w:color w:val="auto"/>
                <w:sz w:val="24"/>
                <w:szCs w:val="24"/>
              </w:rPr>
            </w:pPr>
          </w:p>
        </w:tc>
      </w:tr>
      <w:tr w14:paraId="301DD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47EF4EDA">
            <w:pPr>
              <w:tabs>
                <w:tab w:val="left" w:pos="720"/>
              </w:tabs>
              <w:snapToGrid w:val="0"/>
              <w:spacing w:line="360" w:lineRule="auto"/>
              <w:jc w:val="center"/>
              <w:rPr>
                <w:rStyle w:val="122"/>
                <w:rFonts w:ascii="宋体" w:hAnsi="宋体"/>
                <w:color w:val="auto"/>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37D9B22B">
            <w:pPr>
              <w:tabs>
                <w:tab w:val="left" w:pos="720"/>
              </w:tabs>
              <w:snapToGrid w:val="0"/>
              <w:spacing w:line="360" w:lineRule="auto"/>
              <w:jc w:val="center"/>
              <w:rPr>
                <w:rStyle w:val="122"/>
                <w:rFonts w:ascii="宋体" w:hAnsi="宋体"/>
                <w:color w:val="auto"/>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3C2AF2D7">
            <w:pPr>
              <w:tabs>
                <w:tab w:val="left" w:pos="720"/>
              </w:tabs>
              <w:snapToGrid w:val="0"/>
              <w:spacing w:line="360" w:lineRule="auto"/>
              <w:jc w:val="center"/>
              <w:rPr>
                <w:rStyle w:val="122"/>
                <w:rFonts w:ascii="宋体" w:hAnsi="宋体"/>
                <w:color w:val="auto"/>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0FB65167">
            <w:pPr>
              <w:tabs>
                <w:tab w:val="left" w:pos="720"/>
              </w:tabs>
              <w:snapToGrid w:val="0"/>
              <w:spacing w:line="360" w:lineRule="auto"/>
              <w:jc w:val="center"/>
              <w:rPr>
                <w:rStyle w:val="122"/>
                <w:rFonts w:ascii="宋体" w:hAnsi="宋体"/>
                <w:color w:val="auto"/>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7F90050B">
            <w:pPr>
              <w:tabs>
                <w:tab w:val="left" w:pos="720"/>
              </w:tabs>
              <w:snapToGrid w:val="0"/>
              <w:spacing w:line="360" w:lineRule="auto"/>
              <w:jc w:val="center"/>
              <w:rPr>
                <w:rStyle w:val="122"/>
                <w:rFonts w:ascii="宋体" w:hAnsi="宋体"/>
                <w:color w:val="auto"/>
                <w:sz w:val="24"/>
                <w:szCs w:val="24"/>
              </w:rPr>
            </w:pPr>
          </w:p>
        </w:tc>
      </w:tr>
      <w:tr w14:paraId="20C68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16B2D839">
            <w:pPr>
              <w:tabs>
                <w:tab w:val="left" w:pos="720"/>
              </w:tabs>
              <w:snapToGrid w:val="0"/>
              <w:spacing w:line="360" w:lineRule="auto"/>
              <w:jc w:val="center"/>
              <w:rPr>
                <w:rStyle w:val="122"/>
                <w:rFonts w:ascii="宋体" w:hAnsi="宋体"/>
                <w:color w:val="auto"/>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03CA698C">
            <w:pPr>
              <w:tabs>
                <w:tab w:val="left" w:pos="720"/>
              </w:tabs>
              <w:snapToGrid w:val="0"/>
              <w:spacing w:line="360" w:lineRule="auto"/>
              <w:jc w:val="center"/>
              <w:rPr>
                <w:rStyle w:val="122"/>
                <w:rFonts w:ascii="宋体" w:hAnsi="宋体"/>
                <w:color w:val="auto"/>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49713AC1">
            <w:pPr>
              <w:tabs>
                <w:tab w:val="left" w:pos="720"/>
              </w:tabs>
              <w:snapToGrid w:val="0"/>
              <w:spacing w:line="360" w:lineRule="auto"/>
              <w:jc w:val="center"/>
              <w:rPr>
                <w:rStyle w:val="122"/>
                <w:rFonts w:ascii="宋体" w:hAnsi="宋体"/>
                <w:color w:val="auto"/>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36C4E2BF">
            <w:pPr>
              <w:tabs>
                <w:tab w:val="left" w:pos="720"/>
              </w:tabs>
              <w:snapToGrid w:val="0"/>
              <w:spacing w:line="360" w:lineRule="auto"/>
              <w:jc w:val="center"/>
              <w:rPr>
                <w:rStyle w:val="122"/>
                <w:rFonts w:ascii="宋体" w:hAnsi="宋体"/>
                <w:color w:val="auto"/>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59E11676">
            <w:pPr>
              <w:tabs>
                <w:tab w:val="left" w:pos="720"/>
              </w:tabs>
              <w:snapToGrid w:val="0"/>
              <w:spacing w:line="360" w:lineRule="auto"/>
              <w:jc w:val="center"/>
              <w:rPr>
                <w:rStyle w:val="122"/>
                <w:rFonts w:ascii="宋体" w:hAnsi="宋体"/>
                <w:color w:val="auto"/>
                <w:sz w:val="24"/>
                <w:szCs w:val="24"/>
              </w:rPr>
            </w:pPr>
          </w:p>
        </w:tc>
      </w:tr>
      <w:tr w14:paraId="09A33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748DAE97">
            <w:pPr>
              <w:tabs>
                <w:tab w:val="left" w:pos="720"/>
              </w:tabs>
              <w:snapToGrid w:val="0"/>
              <w:spacing w:line="360" w:lineRule="auto"/>
              <w:jc w:val="center"/>
              <w:rPr>
                <w:rStyle w:val="122"/>
                <w:rFonts w:ascii="宋体" w:hAnsi="宋体"/>
                <w:color w:val="auto"/>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5DD7BC45">
            <w:pPr>
              <w:tabs>
                <w:tab w:val="left" w:pos="720"/>
              </w:tabs>
              <w:snapToGrid w:val="0"/>
              <w:spacing w:line="360" w:lineRule="auto"/>
              <w:jc w:val="center"/>
              <w:rPr>
                <w:rStyle w:val="122"/>
                <w:rFonts w:ascii="宋体" w:hAnsi="宋体"/>
                <w:color w:val="auto"/>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199240F4">
            <w:pPr>
              <w:tabs>
                <w:tab w:val="left" w:pos="720"/>
              </w:tabs>
              <w:snapToGrid w:val="0"/>
              <w:spacing w:line="360" w:lineRule="auto"/>
              <w:jc w:val="center"/>
              <w:rPr>
                <w:rStyle w:val="122"/>
                <w:rFonts w:ascii="宋体" w:hAnsi="宋体"/>
                <w:color w:val="auto"/>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6E235058">
            <w:pPr>
              <w:tabs>
                <w:tab w:val="left" w:pos="720"/>
              </w:tabs>
              <w:snapToGrid w:val="0"/>
              <w:spacing w:line="360" w:lineRule="auto"/>
              <w:jc w:val="center"/>
              <w:rPr>
                <w:rStyle w:val="122"/>
                <w:rFonts w:ascii="宋体" w:hAnsi="宋体"/>
                <w:color w:val="auto"/>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41404EAF">
            <w:pPr>
              <w:tabs>
                <w:tab w:val="left" w:pos="720"/>
              </w:tabs>
              <w:snapToGrid w:val="0"/>
              <w:spacing w:line="360" w:lineRule="auto"/>
              <w:jc w:val="center"/>
              <w:rPr>
                <w:rStyle w:val="122"/>
                <w:rFonts w:ascii="宋体" w:hAnsi="宋体"/>
                <w:color w:val="auto"/>
                <w:sz w:val="24"/>
                <w:szCs w:val="24"/>
              </w:rPr>
            </w:pPr>
          </w:p>
        </w:tc>
      </w:tr>
      <w:tr w14:paraId="25305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022CF58D">
            <w:pPr>
              <w:tabs>
                <w:tab w:val="left" w:pos="720"/>
              </w:tabs>
              <w:snapToGrid w:val="0"/>
              <w:spacing w:line="360" w:lineRule="auto"/>
              <w:jc w:val="center"/>
              <w:rPr>
                <w:rStyle w:val="122"/>
                <w:rFonts w:ascii="宋体" w:hAnsi="宋体"/>
                <w:color w:val="auto"/>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03C9858A">
            <w:pPr>
              <w:tabs>
                <w:tab w:val="left" w:pos="720"/>
              </w:tabs>
              <w:snapToGrid w:val="0"/>
              <w:spacing w:line="360" w:lineRule="auto"/>
              <w:jc w:val="center"/>
              <w:rPr>
                <w:rStyle w:val="122"/>
                <w:rFonts w:ascii="宋体" w:hAnsi="宋体"/>
                <w:color w:val="auto"/>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39E0CC66">
            <w:pPr>
              <w:tabs>
                <w:tab w:val="left" w:pos="720"/>
              </w:tabs>
              <w:snapToGrid w:val="0"/>
              <w:spacing w:line="360" w:lineRule="auto"/>
              <w:jc w:val="center"/>
              <w:rPr>
                <w:rStyle w:val="122"/>
                <w:rFonts w:ascii="宋体" w:hAnsi="宋体"/>
                <w:color w:val="auto"/>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1AE3F4E3">
            <w:pPr>
              <w:tabs>
                <w:tab w:val="left" w:pos="720"/>
              </w:tabs>
              <w:snapToGrid w:val="0"/>
              <w:spacing w:line="360" w:lineRule="auto"/>
              <w:jc w:val="center"/>
              <w:rPr>
                <w:rStyle w:val="122"/>
                <w:rFonts w:ascii="宋体" w:hAnsi="宋体"/>
                <w:color w:val="auto"/>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66D51693">
            <w:pPr>
              <w:tabs>
                <w:tab w:val="left" w:pos="720"/>
              </w:tabs>
              <w:snapToGrid w:val="0"/>
              <w:spacing w:line="360" w:lineRule="auto"/>
              <w:jc w:val="center"/>
              <w:rPr>
                <w:rStyle w:val="122"/>
                <w:rFonts w:ascii="宋体" w:hAnsi="宋体"/>
                <w:color w:val="auto"/>
                <w:sz w:val="24"/>
                <w:szCs w:val="24"/>
              </w:rPr>
            </w:pPr>
          </w:p>
        </w:tc>
      </w:tr>
      <w:tr w14:paraId="23D0E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45B704D9">
            <w:pPr>
              <w:tabs>
                <w:tab w:val="left" w:pos="720"/>
              </w:tabs>
              <w:snapToGrid w:val="0"/>
              <w:spacing w:line="360" w:lineRule="auto"/>
              <w:jc w:val="center"/>
              <w:rPr>
                <w:rStyle w:val="122"/>
                <w:rFonts w:ascii="宋体" w:hAnsi="宋体"/>
                <w:color w:val="auto"/>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10CEE3B4">
            <w:pPr>
              <w:tabs>
                <w:tab w:val="left" w:pos="720"/>
              </w:tabs>
              <w:snapToGrid w:val="0"/>
              <w:spacing w:line="360" w:lineRule="auto"/>
              <w:jc w:val="center"/>
              <w:rPr>
                <w:rStyle w:val="122"/>
                <w:rFonts w:ascii="宋体" w:hAnsi="宋体"/>
                <w:color w:val="auto"/>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2B15D3B0">
            <w:pPr>
              <w:tabs>
                <w:tab w:val="left" w:pos="720"/>
              </w:tabs>
              <w:snapToGrid w:val="0"/>
              <w:spacing w:line="360" w:lineRule="auto"/>
              <w:jc w:val="center"/>
              <w:rPr>
                <w:rStyle w:val="122"/>
                <w:rFonts w:ascii="宋体" w:hAnsi="宋体"/>
                <w:color w:val="auto"/>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168FDFDF">
            <w:pPr>
              <w:tabs>
                <w:tab w:val="left" w:pos="720"/>
              </w:tabs>
              <w:snapToGrid w:val="0"/>
              <w:spacing w:line="360" w:lineRule="auto"/>
              <w:jc w:val="center"/>
              <w:rPr>
                <w:rStyle w:val="122"/>
                <w:rFonts w:ascii="宋体" w:hAnsi="宋体"/>
                <w:color w:val="auto"/>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10935A51">
            <w:pPr>
              <w:tabs>
                <w:tab w:val="left" w:pos="720"/>
              </w:tabs>
              <w:snapToGrid w:val="0"/>
              <w:spacing w:line="360" w:lineRule="auto"/>
              <w:jc w:val="center"/>
              <w:rPr>
                <w:rStyle w:val="122"/>
                <w:rFonts w:ascii="宋体" w:hAnsi="宋体"/>
                <w:color w:val="auto"/>
                <w:sz w:val="24"/>
                <w:szCs w:val="24"/>
              </w:rPr>
            </w:pPr>
          </w:p>
        </w:tc>
      </w:tr>
      <w:tr w14:paraId="1357E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6441EA02">
            <w:pPr>
              <w:tabs>
                <w:tab w:val="left" w:pos="720"/>
              </w:tabs>
              <w:snapToGrid w:val="0"/>
              <w:spacing w:line="360" w:lineRule="auto"/>
              <w:jc w:val="center"/>
              <w:rPr>
                <w:rStyle w:val="122"/>
                <w:rFonts w:ascii="宋体" w:hAnsi="宋体"/>
                <w:color w:val="auto"/>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649C824A">
            <w:pPr>
              <w:tabs>
                <w:tab w:val="left" w:pos="720"/>
              </w:tabs>
              <w:snapToGrid w:val="0"/>
              <w:spacing w:line="360" w:lineRule="auto"/>
              <w:jc w:val="center"/>
              <w:rPr>
                <w:rStyle w:val="122"/>
                <w:rFonts w:ascii="宋体" w:hAnsi="宋体"/>
                <w:color w:val="auto"/>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079A0E8D">
            <w:pPr>
              <w:tabs>
                <w:tab w:val="left" w:pos="720"/>
              </w:tabs>
              <w:snapToGrid w:val="0"/>
              <w:spacing w:line="360" w:lineRule="auto"/>
              <w:jc w:val="center"/>
              <w:rPr>
                <w:rStyle w:val="122"/>
                <w:rFonts w:ascii="宋体" w:hAnsi="宋体"/>
                <w:color w:val="auto"/>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5F04DAB0">
            <w:pPr>
              <w:tabs>
                <w:tab w:val="left" w:pos="720"/>
              </w:tabs>
              <w:snapToGrid w:val="0"/>
              <w:spacing w:line="360" w:lineRule="auto"/>
              <w:jc w:val="center"/>
              <w:rPr>
                <w:rStyle w:val="122"/>
                <w:rFonts w:ascii="宋体" w:hAnsi="宋体"/>
                <w:color w:val="auto"/>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533AE291">
            <w:pPr>
              <w:tabs>
                <w:tab w:val="left" w:pos="720"/>
              </w:tabs>
              <w:snapToGrid w:val="0"/>
              <w:spacing w:line="360" w:lineRule="auto"/>
              <w:jc w:val="center"/>
              <w:rPr>
                <w:rStyle w:val="122"/>
                <w:rFonts w:ascii="宋体" w:hAnsi="宋体"/>
                <w:color w:val="auto"/>
                <w:sz w:val="24"/>
                <w:szCs w:val="24"/>
              </w:rPr>
            </w:pPr>
          </w:p>
        </w:tc>
      </w:tr>
      <w:tr w14:paraId="753FC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14:paraId="258281D0">
            <w:pPr>
              <w:tabs>
                <w:tab w:val="left" w:pos="720"/>
              </w:tabs>
              <w:snapToGrid w:val="0"/>
              <w:spacing w:line="360" w:lineRule="auto"/>
              <w:jc w:val="center"/>
              <w:rPr>
                <w:rStyle w:val="122"/>
                <w:rFonts w:ascii="宋体" w:hAnsi="宋体"/>
                <w:color w:val="auto"/>
                <w:sz w:val="24"/>
                <w:szCs w:val="24"/>
              </w:rPr>
            </w:pPr>
          </w:p>
        </w:tc>
        <w:tc>
          <w:tcPr>
            <w:tcW w:w="1376" w:type="dxa"/>
            <w:tcBorders>
              <w:top w:val="single" w:color="000000" w:sz="4" w:space="0"/>
              <w:left w:val="single" w:color="000000" w:sz="4" w:space="0"/>
              <w:bottom w:val="single" w:color="000000" w:sz="4" w:space="0"/>
              <w:right w:val="single" w:color="000000" w:sz="4" w:space="0"/>
            </w:tcBorders>
            <w:vAlign w:val="center"/>
          </w:tcPr>
          <w:p w14:paraId="0C830EC5">
            <w:pPr>
              <w:tabs>
                <w:tab w:val="left" w:pos="720"/>
              </w:tabs>
              <w:snapToGrid w:val="0"/>
              <w:spacing w:line="360" w:lineRule="auto"/>
              <w:jc w:val="center"/>
              <w:rPr>
                <w:rStyle w:val="122"/>
                <w:rFonts w:ascii="宋体" w:hAnsi="宋体"/>
                <w:color w:val="auto"/>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6797F9D2">
            <w:pPr>
              <w:tabs>
                <w:tab w:val="left" w:pos="720"/>
              </w:tabs>
              <w:snapToGrid w:val="0"/>
              <w:spacing w:line="360" w:lineRule="auto"/>
              <w:jc w:val="center"/>
              <w:rPr>
                <w:rStyle w:val="122"/>
                <w:rFonts w:ascii="宋体" w:hAnsi="宋体"/>
                <w:color w:val="auto"/>
                <w:sz w:val="24"/>
                <w:szCs w:val="24"/>
              </w:rPr>
            </w:pPr>
          </w:p>
        </w:tc>
        <w:tc>
          <w:tcPr>
            <w:tcW w:w="2251" w:type="dxa"/>
            <w:tcBorders>
              <w:top w:val="single" w:color="000000" w:sz="4" w:space="0"/>
              <w:left w:val="single" w:color="000000" w:sz="4" w:space="0"/>
              <w:bottom w:val="single" w:color="000000" w:sz="4" w:space="0"/>
              <w:right w:val="single" w:color="000000" w:sz="4" w:space="0"/>
            </w:tcBorders>
            <w:vAlign w:val="center"/>
          </w:tcPr>
          <w:p w14:paraId="72F067C6">
            <w:pPr>
              <w:tabs>
                <w:tab w:val="left" w:pos="720"/>
              </w:tabs>
              <w:snapToGrid w:val="0"/>
              <w:spacing w:line="360" w:lineRule="auto"/>
              <w:jc w:val="center"/>
              <w:rPr>
                <w:rStyle w:val="122"/>
                <w:rFonts w:ascii="宋体" w:hAnsi="宋体"/>
                <w:color w:val="auto"/>
                <w:sz w:val="24"/>
                <w:szCs w:val="24"/>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56722E2D">
            <w:pPr>
              <w:tabs>
                <w:tab w:val="left" w:pos="720"/>
              </w:tabs>
              <w:snapToGrid w:val="0"/>
              <w:spacing w:line="360" w:lineRule="auto"/>
              <w:jc w:val="center"/>
              <w:rPr>
                <w:rStyle w:val="122"/>
                <w:rFonts w:ascii="宋体" w:hAnsi="宋体"/>
                <w:color w:val="auto"/>
                <w:sz w:val="24"/>
                <w:szCs w:val="24"/>
              </w:rPr>
            </w:pPr>
          </w:p>
        </w:tc>
      </w:tr>
    </w:tbl>
    <w:p w14:paraId="4574702E">
      <w:pPr>
        <w:spacing w:line="360" w:lineRule="auto"/>
        <w:rPr>
          <w:rStyle w:val="122"/>
          <w:rFonts w:ascii="宋体" w:hAnsi="宋体"/>
          <w:color w:val="auto"/>
        </w:rPr>
      </w:pPr>
      <w:r>
        <w:rPr>
          <w:rStyle w:val="122"/>
          <w:rFonts w:ascii="宋体" w:hAnsi="宋体"/>
          <w:color w:val="auto"/>
        </w:rPr>
        <w:t>注：参与编制经济标书所有人员名单应包括如编制各种专业工程量清单投标报价、负责清样校对、负责打印及复印等所有人员在内的人员名单。</w:t>
      </w:r>
    </w:p>
    <w:p w14:paraId="4E340C54">
      <w:pPr>
        <w:spacing w:line="360" w:lineRule="auto"/>
        <w:rPr>
          <w:rStyle w:val="122"/>
          <w:rFonts w:ascii="宋体" w:hAnsi="宋体"/>
          <w:color w:val="auto"/>
        </w:rPr>
      </w:pPr>
    </w:p>
    <w:p w14:paraId="51704657">
      <w:pPr>
        <w:spacing w:line="360" w:lineRule="auto"/>
        <w:rPr>
          <w:rStyle w:val="122"/>
          <w:rFonts w:ascii="宋体" w:hAnsi="宋体" w:cs="宋体"/>
          <w:b/>
          <w:bCs/>
          <w:color w:val="auto"/>
          <w:sz w:val="24"/>
          <w:szCs w:val="24"/>
        </w:rPr>
      </w:pPr>
    </w:p>
    <w:p w14:paraId="5C894789">
      <w:pPr>
        <w:pStyle w:val="168"/>
        <w:spacing w:line="360" w:lineRule="auto"/>
        <w:rPr>
          <w:rStyle w:val="122"/>
          <w:rFonts w:ascii="宋体" w:eastAsia="宋体"/>
          <w:color w:val="auto"/>
        </w:rPr>
      </w:pPr>
      <w:r>
        <w:rPr>
          <w:rStyle w:val="122"/>
          <w:rFonts w:ascii="宋体" w:cs="宋体"/>
          <w:b/>
          <w:bCs/>
          <w:color w:val="auto"/>
        </w:rPr>
        <w:br w:type="page"/>
      </w:r>
      <w:r>
        <w:rPr>
          <w:rStyle w:val="122"/>
          <w:rFonts w:ascii="宋体" w:eastAsia="宋体" w:cs="宋体"/>
          <w:b/>
          <w:bCs/>
          <w:color w:val="auto"/>
        </w:rPr>
        <w:t>格式</w:t>
      </w:r>
      <w:r>
        <w:rPr>
          <w:rStyle w:val="122"/>
          <w:rFonts w:hint="eastAsia" w:ascii="宋体" w:eastAsia="宋体" w:cs="宋体"/>
          <w:b/>
          <w:bCs/>
          <w:color w:val="auto"/>
        </w:rPr>
        <w:t>二</w:t>
      </w:r>
    </w:p>
    <w:p w14:paraId="38BC3FB9">
      <w:pPr>
        <w:spacing w:line="360" w:lineRule="auto"/>
        <w:jc w:val="center"/>
        <w:rPr>
          <w:rStyle w:val="122"/>
          <w:rFonts w:ascii="宋体" w:hAnsi="宋体"/>
          <w:color w:val="auto"/>
          <w:kern w:val="0"/>
          <w:sz w:val="32"/>
          <w:szCs w:val="32"/>
        </w:rPr>
      </w:pPr>
      <w:r>
        <w:rPr>
          <w:rStyle w:val="122"/>
          <w:rFonts w:ascii="宋体" w:hAnsi="宋体"/>
          <w:b/>
          <w:color w:val="auto"/>
          <w:kern w:val="0"/>
          <w:sz w:val="32"/>
          <w:szCs w:val="32"/>
        </w:rPr>
        <w:t>对投标文件编制的承诺</w:t>
      </w:r>
    </w:p>
    <w:p w14:paraId="0B04B5A8">
      <w:pPr>
        <w:spacing w:line="360" w:lineRule="auto"/>
        <w:ind w:left="-2" w:leftChars="-1" w:firstLine="540" w:firstLineChars="225"/>
        <w:rPr>
          <w:rStyle w:val="122"/>
          <w:rFonts w:ascii="宋体" w:hAnsi="宋体"/>
          <w:color w:val="auto"/>
          <w:kern w:val="0"/>
          <w:sz w:val="24"/>
          <w:szCs w:val="24"/>
        </w:rPr>
      </w:pPr>
      <w:r>
        <w:rPr>
          <w:rStyle w:val="122"/>
          <w:rFonts w:ascii="宋体" w:hAnsi="宋体"/>
          <w:color w:val="auto"/>
          <w:kern w:val="0"/>
          <w:sz w:val="24"/>
          <w:szCs w:val="24"/>
        </w:rPr>
        <w:t>本公司授权</w:t>
      </w:r>
      <w:r>
        <w:rPr>
          <w:rStyle w:val="122"/>
          <w:rFonts w:ascii="宋体" w:hAnsi="宋体"/>
          <w:color w:val="auto"/>
          <w:kern w:val="0"/>
          <w:sz w:val="24"/>
          <w:szCs w:val="24"/>
          <w:u w:val="single"/>
        </w:rPr>
        <w:t xml:space="preserve">         （身份证号：               ）</w:t>
      </w:r>
      <w:r>
        <w:rPr>
          <w:rStyle w:val="122"/>
          <w:rFonts w:ascii="宋体" w:hAnsi="宋体"/>
          <w:color w:val="auto"/>
          <w:kern w:val="0"/>
          <w:sz w:val="24"/>
          <w:szCs w:val="24"/>
        </w:rPr>
        <w:t>负责对投标文件的编制及内容进行解释、说明，并承诺以下事项：</w:t>
      </w:r>
    </w:p>
    <w:p w14:paraId="59FFCC22">
      <w:pPr>
        <w:spacing w:line="360" w:lineRule="auto"/>
        <w:ind w:left="-2" w:leftChars="-1" w:firstLine="540" w:firstLineChars="225"/>
        <w:rPr>
          <w:rStyle w:val="122"/>
          <w:rFonts w:ascii="宋体" w:hAnsi="宋体"/>
          <w:color w:val="auto"/>
          <w:kern w:val="0"/>
          <w:sz w:val="24"/>
          <w:szCs w:val="24"/>
        </w:rPr>
      </w:pPr>
      <w:r>
        <w:rPr>
          <w:rStyle w:val="122"/>
          <w:rFonts w:ascii="宋体" w:hAnsi="宋体"/>
          <w:color w:val="auto"/>
          <w:kern w:val="0"/>
          <w:sz w:val="24"/>
          <w:szCs w:val="24"/>
        </w:rPr>
        <w:t>1.被授权人清楚投标文件编制的具体情况，包括技术方案文件、工程量清单、以及投标文件的加密打包的理解；</w:t>
      </w:r>
    </w:p>
    <w:p w14:paraId="42E8D889">
      <w:pPr>
        <w:spacing w:line="360" w:lineRule="auto"/>
        <w:ind w:left="-2" w:leftChars="-1" w:firstLine="540" w:firstLineChars="225"/>
        <w:rPr>
          <w:rStyle w:val="122"/>
          <w:rFonts w:ascii="宋体" w:hAnsi="宋体"/>
          <w:color w:val="auto"/>
          <w:kern w:val="0"/>
          <w:sz w:val="24"/>
          <w:szCs w:val="24"/>
        </w:rPr>
      </w:pPr>
      <w:r>
        <w:rPr>
          <w:rStyle w:val="122"/>
          <w:rFonts w:ascii="宋体" w:hAnsi="宋体"/>
          <w:color w:val="auto"/>
          <w:kern w:val="0"/>
          <w:sz w:val="24"/>
          <w:szCs w:val="24"/>
        </w:rPr>
        <w:t>2.在本项目开标至评标结束前，努力确保被授权人在项目评标所在地附近；</w:t>
      </w:r>
    </w:p>
    <w:p w14:paraId="1358F352">
      <w:pPr>
        <w:spacing w:line="360" w:lineRule="auto"/>
        <w:ind w:left="-2" w:leftChars="-1" w:firstLine="540" w:firstLineChars="225"/>
        <w:rPr>
          <w:rStyle w:val="122"/>
          <w:rFonts w:ascii="宋体" w:hAnsi="宋体"/>
          <w:color w:val="auto"/>
          <w:kern w:val="0"/>
          <w:sz w:val="24"/>
          <w:szCs w:val="24"/>
        </w:rPr>
      </w:pPr>
      <w:r>
        <w:rPr>
          <w:rStyle w:val="122"/>
          <w:rFonts w:ascii="宋体" w:hAnsi="宋体"/>
          <w:color w:val="auto"/>
          <w:kern w:val="0"/>
          <w:sz w:val="24"/>
          <w:szCs w:val="24"/>
        </w:rPr>
        <w:t>3.从评标委员会要求澄清起二小时内，被授权人应如实地书面澄清。</w:t>
      </w:r>
    </w:p>
    <w:p w14:paraId="06FCD803">
      <w:pPr>
        <w:spacing w:line="360" w:lineRule="auto"/>
        <w:ind w:left="-2" w:leftChars="-1" w:firstLine="540" w:firstLineChars="225"/>
        <w:rPr>
          <w:rStyle w:val="122"/>
          <w:rFonts w:ascii="宋体" w:hAnsi="宋体"/>
          <w:color w:val="auto"/>
          <w:kern w:val="0"/>
          <w:sz w:val="24"/>
          <w:szCs w:val="24"/>
        </w:rPr>
      </w:pPr>
      <w:r>
        <w:rPr>
          <w:rStyle w:val="122"/>
          <w:rFonts w:ascii="宋体" w:hAnsi="宋体"/>
          <w:color w:val="auto"/>
          <w:kern w:val="0"/>
          <w:sz w:val="24"/>
          <w:szCs w:val="24"/>
        </w:rPr>
        <w:t xml:space="preserve">如由于未遵守上述承诺内容之一导致无法进行澄清的，我公司认可和接受评标委员会作出的评审结论。 </w:t>
      </w:r>
    </w:p>
    <w:p w14:paraId="2449BD0C">
      <w:pPr>
        <w:spacing w:line="360" w:lineRule="auto"/>
        <w:ind w:left="-2" w:leftChars="-1" w:firstLine="540" w:firstLineChars="225"/>
        <w:rPr>
          <w:rStyle w:val="122"/>
          <w:rFonts w:ascii="宋体" w:hAnsi="宋体"/>
          <w:color w:val="auto"/>
          <w:kern w:val="0"/>
          <w:sz w:val="24"/>
          <w:szCs w:val="24"/>
        </w:rPr>
      </w:pPr>
      <w:r>
        <w:rPr>
          <w:rStyle w:val="122"/>
          <w:rFonts w:ascii="宋体" w:hAnsi="宋体"/>
          <w:color w:val="auto"/>
          <w:kern w:val="0"/>
          <w:sz w:val="24"/>
          <w:szCs w:val="24"/>
        </w:rPr>
        <w:t>附件：《投标文件编制情况》</w:t>
      </w:r>
    </w:p>
    <w:p w14:paraId="0A894E9C">
      <w:pPr>
        <w:pStyle w:val="147"/>
        <w:rPr>
          <w:color w:val="auto"/>
        </w:rPr>
      </w:pPr>
    </w:p>
    <w:p w14:paraId="62CDE7E0">
      <w:pPr>
        <w:spacing w:line="360" w:lineRule="auto"/>
        <w:ind w:right="90" w:firstLine="3360" w:firstLineChars="1400"/>
        <w:rPr>
          <w:rStyle w:val="122"/>
          <w:rFonts w:ascii="宋体" w:hAnsi="宋体"/>
          <w:color w:val="auto"/>
          <w:sz w:val="24"/>
          <w:szCs w:val="24"/>
        </w:rPr>
      </w:pPr>
      <w:r>
        <w:rPr>
          <w:rStyle w:val="122"/>
          <w:rFonts w:ascii="宋体" w:hAnsi="宋体"/>
          <w:color w:val="auto"/>
          <w:sz w:val="24"/>
          <w:szCs w:val="24"/>
        </w:rPr>
        <w:t xml:space="preserve"> </w:t>
      </w:r>
      <w:r>
        <w:rPr>
          <w:rStyle w:val="122"/>
          <w:rFonts w:hint="eastAsia" w:ascii="宋体" w:hAnsi="宋体"/>
          <w:color w:val="auto"/>
          <w:sz w:val="24"/>
          <w:szCs w:val="24"/>
        </w:rPr>
        <w:t xml:space="preserve">         投标人名称：            </w:t>
      </w:r>
    </w:p>
    <w:p w14:paraId="024B80B6">
      <w:pPr>
        <w:spacing w:line="360" w:lineRule="auto"/>
        <w:ind w:right="90" w:firstLine="3360" w:firstLineChars="1400"/>
        <w:rPr>
          <w:rStyle w:val="122"/>
          <w:rFonts w:ascii="宋体" w:hAnsi="宋体"/>
          <w:color w:val="auto"/>
        </w:rPr>
      </w:pPr>
      <w:r>
        <w:rPr>
          <w:rStyle w:val="122"/>
          <w:rFonts w:hint="eastAsia" w:ascii="宋体" w:hAnsi="宋体"/>
          <w:color w:val="auto"/>
          <w:sz w:val="24"/>
          <w:szCs w:val="24"/>
        </w:rPr>
        <w:t xml:space="preserve">                日期：      年   月   日   </w:t>
      </w:r>
      <w:r>
        <w:rPr>
          <w:rStyle w:val="122"/>
          <w:rFonts w:ascii="宋体" w:hAnsi="宋体"/>
          <w:color w:val="auto"/>
        </w:rPr>
        <w:t xml:space="preserve"> </w:t>
      </w:r>
    </w:p>
    <w:p w14:paraId="7107C800">
      <w:pPr>
        <w:pStyle w:val="147"/>
        <w:rPr>
          <w:color w:val="auto"/>
        </w:rPr>
      </w:pPr>
    </w:p>
    <w:p w14:paraId="016A600E">
      <w:pPr>
        <w:spacing w:line="360" w:lineRule="auto"/>
        <w:jc w:val="center"/>
        <w:rPr>
          <w:rStyle w:val="122"/>
          <w:rFonts w:ascii="宋体" w:hAnsi="宋体"/>
          <w:color w:val="auto"/>
          <w:kern w:val="0"/>
          <w:sz w:val="18"/>
          <w:szCs w:val="18"/>
        </w:rPr>
      </w:pPr>
      <w:r>
        <w:rPr>
          <w:rStyle w:val="122"/>
          <w:rFonts w:ascii="宋体" w:hAnsi="宋体"/>
          <w:b/>
          <w:color w:val="auto"/>
          <w:kern w:val="0"/>
          <w:sz w:val="32"/>
          <w:szCs w:val="32"/>
        </w:rPr>
        <w:t>投标文件编制情况</w:t>
      </w:r>
    </w:p>
    <w:p w14:paraId="0E30C79B">
      <w:pPr>
        <w:spacing w:line="360" w:lineRule="auto"/>
        <w:ind w:firstLine="480" w:firstLineChars="200"/>
        <w:rPr>
          <w:rStyle w:val="122"/>
          <w:rFonts w:ascii="宋体" w:hAnsi="宋体"/>
          <w:color w:val="auto"/>
          <w:kern w:val="0"/>
          <w:sz w:val="24"/>
          <w:szCs w:val="24"/>
          <w:u w:val="single"/>
        </w:rPr>
      </w:pPr>
      <w:r>
        <w:rPr>
          <w:rStyle w:val="122"/>
          <w:rFonts w:ascii="宋体" w:hAnsi="宋体"/>
          <w:color w:val="auto"/>
          <w:kern w:val="0"/>
          <w:sz w:val="24"/>
          <w:szCs w:val="24"/>
        </w:rPr>
        <w:t>1.投标文件报价编制方式: □自行编制的，编制的负责人：</w:t>
      </w:r>
      <w:r>
        <w:rPr>
          <w:rStyle w:val="122"/>
          <w:rFonts w:ascii="宋体" w:hAnsi="宋体"/>
          <w:color w:val="auto"/>
          <w:kern w:val="0"/>
          <w:sz w:val="24"/>
          <w:szCs w:val="24"/>
          <w:u w:val="single"/>
        </w:rPr>
        <w:t xml:space="preserve"> （盖造价工程师执业专用章或全国建设工程造价员章，执业单位应与投标人一致） </w:t>
      </w:r>
      <w:r>
        <w:rPr>
          <w:rStyle w:val="122"/>
          <w:rFonts w:ascii="宋体" w:hAnsi="宋体"/>
          <w:color w:val="auto"/>
          <w:kern w:val="0"/>
          <w:sz w:val="24"/>
          <w:szCs w:val="24"/>
        </w:rPr>
        <w:t>。□委托编制的，受委托单位</w:t>
      </w:r>
      <w:r>
        <w:rPr>
          <w:rStyle w:val="122"/>
          <w:rFonts w:ascii="宋体" w:hAnsi="宋体"/>
          <w:color w:val="auto"/>
          <w:kern w:val="0"/>
          <w:sz w:val="24"/>
          <w:szCs w:val="24"/>
          <w:u w:val="single"/>
        </w:rPr>
        <w:t xml:space="preserve">                    </w:t>
      </w:r>
      <w:r>
        <w:rPr>
          <w:rStyle w:val="122"/>
          <w:rFonts w:ascii="宋体" w:hAnsi="宋体"/>
          <w:color w:val="auto"/>
          <w:kern w:val="0"/>
          <w:sz w:val="24"/>
          <w:szCs w:val="24"/>
        </w:rPr>
        <w:t>，编制的负责人：</w:t>
      </w:r>
      <w:r>
        <w:rPr>
          <w:rStyle w:val="122"/>
          <w:rFonts w:ascii="宋体" w:hAnsi="宋体"/>
          <w:color w:val="auto"/>
          <w:kern w:val="0"/>
          <w:sz w:val="24"/>
          <w:szCs w:val="24"/>
          <w:u w:val="single"/>
        </w:rPr>
        <w:t xml:space="preserve"> （盖造价工程师执业专用章或全国建设工程造价员章，执业单位应与受委托单位一致） </w:t>
      </w:r>
      <w:r>
        <w:rPr>
          <w:rStyle w:val="122"/>
          <w:rFonts w:ascii="宋体" w:hAnsi="宋体"/>
          <w:color w:val="auto"/>
          <w:kern w:val="0"/>
          <w:sz w:val="24"/>
          <w:szCs w:val="24"/>
        </w:rPr>
        <w:t>。</w:t>
      </w:r>
    </w:p>
    <w:p w14:paraId="458D7DF3">
      <w:pPr>
        <w:spacing w:line="360" w:lineRule="auto"/>
        <w:ind w:firstLine="480" w:firstLineChars="200"/>
        <w:rPr>
          <w:rStyle w:val="122"/>
          <w:rFonts w:ascii="宋体" w:hAnsi="宋体"/>
          <w:color w:val="auto"/>
          <w:kern w:val="0"/>
          <w:sz w:val="24"/>
          <w:szCs w:val="24"/>
        </w:rPr>
      </w:pPr>
      <w:r>
        <w:rPr>
          <w:rStyle w:val="122"/>
          <w:rFonts w:ascii="宋体" w:hAnsi="宋体"/>
          <w:color w:val="auto"/>
          <w:kern w:val="0"/>
          <w:sz w:val="24"/>
          <w:szCs w:val="24"/>
        </w:rPr>
        <w:t>2.投标文件加密打包的电脑情况：</w:t>
      </w:r>
    </w:p>
    <w:tbl>
      <w:tblPr>
        <w:tblStyle w:val="24"/>
        <w:tblW w:w="0" w:type="auto"/>
        <w:tblInd w:w="-108" w:type="dxa"/>
        <w:tblLayout w:type="fixed"/>
        <w:tblCellMar>
          <w:top w:w="0" w:type="dxa"/>
          <w:left w:w="0" w:type="dxa"/>
          <w:bottom w:w="0" w:type="dxa"/>
          <w:right w:w="0" w:type="dxa"/>
        </w:tblCellMar>
      </w:tblPr>
      <w:tblGrid>
        <w:gridCol w:w="9332"/>
      </w:tblGrid>
      <w:tr w14:paraId="54134AE3">
        <w:tblPrEx>
          <w:tblCellMar>
            <w:top w:w="0" w:type="dxa"/>
            <w:left w:w="0" w:type="dxa"/>
            <w:bottom w:w="0" w:type="dxa"/>
            <w:right w:w="0" w:type="dxa"/>
          </w:tblCellMar>
        </w:tblPrEx>
        <w:trPr>
          <w:trHeight w:val="2088" w:hRule="atLeast"/>
        </w:trPr>
        <w:tc>
          <w:tcPr>
            <w:tcW w:w="9332" w:type="dxa"/>
          </w:tcPr>
          <w:p w14:paraId="65BF0FB3">
            <w:pPr>
              <w:spacing w:line="360" w:lineRule="auto"/>
              <w:rPr>
                <w:rStyle w:val="122"/>
                <w:rFonts w:ascii="宋体" w:hAnsi="宋体"/>
                <w:color w:val="auto"/>
                <w:kern w:val="0"/>
                <w:sz w:val="24"/>
                <w:szCs w:val="24"/>
              </w:rPr>
            </w:pPr>
            <w:r>
              <w:rPr>
                <w:rStyle w:val="122"/>
                <w:rFonts w:ascii="宋体" w:hAnsi="宋体"/>
                <w:color w:val="auto"/>
                <w:kern w:val="0"/>
                <w:sz w:val="24"/>
                <w:szCs w:val="24"/>
              </w:rPr>
              <w:t>投标文件加密打包的电脑    自有□      外包□       其他□</w:t>
            </w:r>
          </w:p>
          <w:p w14:paraId="4AAD3FF9">
            <w:pPr>
              <w:spacing w:line="360" w:lineRule="auto"/>
              <w:rPr>
                <w:rStyle w:val="122"/>
                <w:rFonts w:ascii="宋体" w:hAnsi="宋体"/>
                <w:color w:val="auto"/>
                <w:kern w:val="0"/>
                <w:sz w:val="24"/>
                <w:szCs w:val="24"/>
              </w:rPr>
            </w:pPr>
            <w:r>
              <w:rPr>
                <w:rStyle w:val="122"/>
                <w:rFonts w:ascii="宋体" w:hAnsi="宋体"/>
                <w:color w:val="auto"/>
                <w:kern w:val="0"/>
                <w:sz w:val="24"/>
                <w:szCs w:val="24"/>
              </w:rPr>
              <w:t>电脑类型</w:t>
            </w:r>
          </w:p>
          <w:p w14:paraId="6AFFF040">
            <w:pPr>
              <w:spacing w:line="360" w:lineRule="auto"/>
              <w:rPr>
                <w:rStyle w:val="122"/>
                <w:rFonts w:ascii="宋体" w:hAnsi="宋体"/>
                <w:color w:val="auto"/>
                <w:kern w:val="0"/>
                <w:sz w:val="24"/>
                <w:szCs w:val="24"/>
              </w:rPr>
            </w:pPr>
            <w:r>
              <w:rPr>
                <w:rStyle w:val="122"/>
                <w:rFonts w:ascii="宋体" w:hAnsi="宋体"/>
                <w:color w:val="auto"/>
                <w:kern w:val="0"/>
                <w:sz w:val="24"/>
                <w:szCs w:val="24"/>
              </w:rPr>
              <w:t>电脑所属单位</w:t>
            </w:r>
          </w:p>
          <w:p w14:paraId="3E439C6A">
            <w:pPr>
              <w:spacing w:line="360" w:lineRule="auto"/>
              <w:rPr>
                <w:rStyle w:val="122"/>
                <w:rFonts w:ascii="宋体" w:hAnsi="宋体"/>
                <w:color w:val="auto"/>
                <w:kern w:val="0"/>
                <w:sz w:val="24"/>
                <w:szCs w:val="24"/>
              </w:rPr>
            </w:pPr>
            <w:r>
              <w:rPr>
                <w:rStyle w:val="122"/>
                <w:rFonts w:ascii="宋体" w:hAnsi="宋体"/>
                <w:color w:val="auto"/>
                <w:kern w:val="0"/>
                <w:sz w:val="24"/>
                <w:szCs w:val="24"/>
              </w:rPr>
              <w:t>电脑所在地址       （如××市××区(县) ××街（路）××号××大厦××房）</w:t>
            </w:r>
          </w:p>
        </w:tc>
      </w:tr>
    </w:tbl>
    <w:p w14:paraId="7BA863D7">
      <w:pPr>
        <w:spacing w:line="360" w:lineRule="auto"/>
        <w:rPr>
          <w:rStyle w:val="122"/>
          <w:rFonts w:ascii="宋体" w:hAnsi="宋体"/>
          <w:color w:val="auto"/>
          <w:szCs w:val="21"/>
        </w:rPr>
      </w:pPr>
    </w:p>
    <w:p w14:paraId="4FD81961">
      <w:pPr>
        <w:tabs>
          <w:tab w:val="left" w:pos="720"/>
        </w:tabs>
        <w:snapToGrid w:val="0"/>
        <w:spacing w:line="360" w:lineRule="auto"/>
        <w:rPr>
          <w:rStyle w:val="122"/>
          <w:rFonts w:ascii="宋体" w:hAnsi="宋体"/>
          <w:color w:val="auto"/>
          <w:sz w:val="24"/>
          <w:szCs w:val="24"/>
        </w:rPr>
      </w:pPr>
    </w:p>
    <w:p w14:paraId="16AC3A96">
      <w:pPr>
        <w:pStyle w:val="132"/>
        <w:outlineLvl w:val="0"/>
        <w:rPr>
          <w:rStyle w:val="64"/>
          <w:rFonts w:ascii="宋体" w:hAnsi="宋体"/>
          <w:b/>
          <w:bCs/>
          <w:color w:val="auto"/>
        </w:rPr>
      </w:pPr>
      <w:bookmarkStart w:id="41" w:name="_Toc13462"/>
      <w:r>
        <w:rPr>
          <w:rStyle w:val="122"/>
          <w:bCs/>
          <w:color w:val="auto"/>
        </w:rPr>
        <w:t>第五章  技术条件（工程建设标准）</w:t>
      </w:r>
      <w:bookmarkEnd w:id="41"/>
    </w:p>
    <w:p w14:paraId="338287F3">
      <w:pPr>
        <w:widowControl w:val="0"/>
        <w:jc w:val="center"/>
        <w:textAlignment w:val="auto"/>
        <w:rPr>
          <w:rFonts w:ascii="宋体" w:hAnsi="宋体" w:cs="宋体"/>
          <w:b/>
          <w:bCs/>
          <w:color w:val="auto"/>
          <w:spacing w:val="20"/>
          <w:sz w:val="28"/>
          <w:szCs w:val="28"/>
        </w:rPr>
      </w:pPr>
      <w:r>
        <w:rPr>
          <w:rFonts w:hint="eastAsia" w:ascii="宋体" w:hAnsi="宋体" w:cs="宋体"/>
          <w:b/>
          <w:bCs/>
          <w:color w:val="auto"/>
          <w:spacing w:val="20"/>
          <w:sz w:val="28"/>
          <w:szCs w:val="28"/>
        </w:rPr>
        <w:t>施工组织设计要点</w:t>
      </w:r>
    </w:p>
    <w:p w14:paraId="0FBE981A">
      <w:pPr>
        <w:widowControl w:val="0"/>
        <w:jc w:val="center"/>
        <w:textAlignment w:val="auto"/>
        <w:rPr>
          <w:rFonts w:ascii="宋体" w:hAnsi="宋体" w:cs="宋体"/>
          <w:b/>
          <w:bCs/>
          <w:color w:val="auto"/>
          <w:spacing w:val="20"/>
          <w:sz w:val="30"/>
          <w:szCs w:val="30"/>
        </w:rPr>
      </w:pPr>
      <w:r>
        <w:rPr>
          <w:rFonts w:hint="eastAsia" w:ascii="宋体" w:hAnsi="宋体" w:cs="宋体"/>
          <w:b/>
          <w:bCs/>
          <w:color w:val="auto"/>
          <w:spacing w:val="20"/>
          <w:sz w:val="28"/>
          <w:szCs w:val="28"/>
        </w:rPr>
        <w:t>第一节  编制要求</w:t>
      </w:r>
    </w:p>
    <w:p w14:paraId="155E2E10">
      <w:pPr>
        <w:widowControl w:val="0"/>
        <w:spacing w:line="360" w:lineRule="auto"/>
        <w:textAlignment w:val="auto"/>
        <w:rPr>
          <w:rFonts w:ascii="宋体" w:hAnsi="宋体" w:cs="宋体"/>
          <w:color w:val="auto"/>
          <w:spacing w:val="20"/>
          <w:szCs w:val="21"/>
        </w:rPr>
      </w:pPr>
      <w:r>
        <w:rPr>
          <w:rFonts w:hint="eastAsia" w:ascii="宋体" w:hAnsi="宋体" w:cs="宋体"/>
          <w:color w:val="auto"/>
          <w:spacing w:val="20"/>
          <w:szCs w:val="21"/>
        </w:rPr>
        <w:t>一、编制依据</w:t>
      </w:r>
    </w:p>
    <w:p w14:paraId="7717FF4F">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1、本工程招标文件的有关要求。</w:t>
      </w:r>
    </w:p>
    <w:p w14:paraId="65C1AB65">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2、国家、广东省、广州市有关施工验收规范、质量标准和操作规程等要求。</w:t>
      </w:r>
    </w:p>
    <w:p w14:paraId="39810CB1">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3、施工图纸及有关资料。</w:t>
      </w:r>
    </w:p>
    <w:p w14:paraId="673235E9">
      <w:pPr>
        <w:widowControl w:val="0"/>
        <w:spacing w:line="360" w:lineRule="auto"/>
        <w:textAlignment w:val="auto"/>
        <w:rPr>
          <w:rFonts w:ascii="宋体" w:hAnsi="宋体" w:cs="宋体"/>
          <w:color w:val="auto"/>
          <w:spacing w:val="20"/>
          <w:szCs w:val="21"/>
        </w:rPr>
      </w:pPr>
      <w:r>
        <w:rPr>
          <w:rFonts w:hint="eastAsia" w:ascii="宋体" w:hAnsi="宋体" w:cs="宋体"/>
          <w:color w:val="auto"/>
          <w:spacing w:val="20"/>
          <w:szCs w:val="21"/>
        </w:rPr>
        <w:t>二、具体要求</w:t>
      </w:r>
    </w:p>
    <w:p w14:paraId="1C5134E2">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1、按本工程规定的总工期，编制出完善的施工进度控制计划，在投标承诺工期内完成工程任务。</w:t>
      </w:r>
    </w:p>
    <w:p w14:paraId="21CACA70">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2、发挥技术优势，优化管理水平。安排经验丰富的优秀管理人员和高素质的工人参加本项目施工，采用先进的技术设备，优化施工管理，充分发挥施工单位在管理和技术方面的优势。</w:t>
      </w:r>
    </w:p>
    <w:p w14:paraId="1B0B54BA">
      <w:pPr>
        <w:widowControl w:val="0"/>
        <w:spacing w:line="360" w:lineRule="auto"/>
        <w:textAlignment w:val="auto"/>
        <w:rPr>
          <w:rFonts w:ascii="宋体" w:hAnsi="宋体" w:cs="宋体"/>
          <w:color w:val="auto"/>
          <w:spacing w:val="20"/>
          <w:szCs w:val="21"/>
        </w:rPr>
      </w:pPr>
    </w:p>
    <w:p w14:paraId="2E7B60A2">
      <w:pPr>
        <w:widowControl w:val="0"/>
        <w:jc w:val="center"/>
        <w:textAlignment w:val="auto"/>
        <w:rPr>
          <w:rFonts w:ascii="宋体" w:hAnsi="宋体" w:cs="宋体"/>
          <w:b/>
          <w:bCs/>
          <w:color w:val="auto"/>
          <w:spacing w:val="20"/>
          <w:sz w:val="28"/>
          <w:szCs w:val="28"/>
        </w:rPr>
      </w:pPr>
      <w:r>
        <w:rPr>
          <w:rFonts w:hint="eastAsia" w:ascii="宋体" w:hAnsi="宋体" w:cs="宋体"/>
          <w:b/>
          <w:bCs/>
          <w:color w:val="auto"/>
          <w:spacing w:val="20"/>
          <w:sz w:val="28"/>
          <w:szCs w:val="28"/>
        </w:rPr>
        <w:t>第二节  施工要求</w:t>
      </w:r>
    </w:p>
    <w:p w14:paraId="7BAAFA7F">
      <w:pPr>
        <w:widowControl w:val="0"/>
        <w:spacing w:line="360" w:lineRule="auto"/>
        <w:textAlignment w:val="auto"/>
        <w:rPr>
          <w:rFonts w:ascii="宋体" w:hAnsi="宋体" w:cs="宋体"/>
          <w:color w:val="auto"/>
          <w:spacing w:val="20"/>
          <w:szCs w:val="21"/>
        </w:rPr>
      </w:pPr>
      <w:r>
        <w:rPr>
          <w:rFonts w:hint="eastAsia" w:ascii="宋体" w:hAnsi="宋体" w:cs="宋体"/>
          <w:color w:val="auto"/>
          <w:spacing w:val="20"/>
          <w:szCs w:val="21"/>
        </w:rPr>
        <w:t>一、施工机构及现场管理要求</w:t>
      </w:r>
    </w:p>
    <w:p w14:paraId="56C61430">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为把好工程质量、安全、进度关，确保工程质量等级达到合格，要求委派一名项目负责人，一名技术负责人，对工程的质量、安全、进度和成本，实行高效益、有计划的组织、协调和管理。建立健全的施工组织管理机构。</w:t>
      </w:r>
    </w:p>
    <w:p w14:paraId="0D06E263">
      <w:pPr>
        <w:widowControl w:val="0"/>
        <w:spacing w:line="360" w:lineRule="auto"/>
        <w:textAlignment w:val="auto"/>
        <w:rPr>
          <w:rFonts w:ascii="宋体" w:hAnsi="宋体" w:cs="宋体"/>
          <w:color w:val="auto"/>
          <w:spacing w:val="20"/>
          <w:szCs w:val="21"/>
        </w:rPr>
      </w:pPr>
      <w:r>
        <w:rPr>
          <w:rFonts w:hint="eastAsia" w:ascii="宋体" w:hAnsi="宋体" w:cs="宋体"/>
          <w:color w:val="auto"/>
          <w:spacing w:val="20"/>
          <w:szCs w:val="21"/>
        </w:rPr>
        <w:t>二、施工要求</w:t>
      </w:r>
    </w:p>
    <w:p w14:paraId="13101373">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本工程施工要点如下：</w:t>
      </w:r>
    </w:p>
    <w:p w14:paraId="4B740920">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1、采用先进的施工技术。</w:t>
      </w:r>
    </w:p>
    <w:p w14:paraId="15CA8CBB">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2、投入现代化的施工机械设备。</w:t>
      </w:r>
    </w:p>
    <w:p w14:paraId="787D36A4">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3、合理的施工方案和先进的施工组织。</w:t>
      </w:r>
    </w:p>
    <w:p w14:paraId="4070475C">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4、施工过程要求：</w:t>
      </w:r>
    </w:p>
    <w:p w14:paraId="6F2ABE55">
      <w:pPr>
        <w:widowControl w:val="0"/>
        <w:spacing w:line="360" w:lineRule="auto"/>
        <w:ind w:left="781" w:leftChars="372"/>
        <w:textAlignment w:val="auto"/>
        <w:rPr>
          <w:rFonts w:ascii="宋体" w:hAnsi="宋体" w:cs="宋体"/>
          <w:color w:val="auto"/>
          <w:spacing w:val="20"/>
          <w:szCs w:val="21"/>
        </w:rPr>
      </w:pPr>
      <w:r>
        <w:rPr>
          <w:rFonts w:hint="eastAsia" w:ascii="宋体" w:hAnsi="宋体" w:cs="宋体"/>
          <w:color w:val="auto"/>
          <w:spacing w:val="20"/>
          <w:szCs w:val="21"/>
        </w:rPr>
        <w:t>A、严格按照国家、省市、地方施工规范要求进行施工。</w:t>
      </w:r>
    </w:p>
    <w:p w14:paraId="1650571F">
      <w:pPr>
        <w:widowControl w:val="0"/>
        <w:spacing w:line="360" w:lineRule="auto"/>
        <w:ind w:left="781" w:leftChars="372"/>
        <w:textAlignment w:val="auto"/>
        <w:rPr>
          <w:rFonts w:ascii="宋体" w:hAnsi="宋体" w:cs="宋体"/>
          <w:color w:val="auto"/>
          <w:spacing w:val="20"/>
          <w:szCs w:val="21"/>
        </w:rPr>
      </w:pPr>
      <w:r>
        <w:rPr>
          <w:rFonts w:hint="eastAsia" w:ascii="宋体" w:hAnsi="宋体" w:cs="宋体"/>
          <w:color w:val="auto"/>
          <w:spacing w:val="20"/>
          <w:szCs w:val="21"/>
        </w:rPr>
        <w:t>B、根据工程进度计划，编制材料订购、质量检测、配方测试，确保材料质量和供应的计划。</w:t>
      </w:r>
    </w:p>
    <w:p w14:paraId="747EDACF">
      <w:pPr>
        <w:widowControl w:val="0"/>
        <w:spacing w:line="360" w:lineRule="auto"/>
        <w:textAlignment w:val="auto"/>
        <w:rPr>
          <w:rFonts w:ascii="宋体" w:hAnsi="宋体" w:cs="宋体"/>
          <w:color w:val="auto"/>
          <w:spacing w:val="20"/>
          <w:szCs w:val="21"/>
        </w:rPr>
      </w:pPr>
      <w:r>
        <w:rPr>
          <w:rFonts w:hint="eastAsia" w:ascii="宋体" w:hAnsi="宋体" w:cs="宋体"/>
          <w:color w:val="auto"/>
          <w:spacing w:val="20"/>
          <w:szCs w:val="21"/>
        </w:rPr>
        <w:t>三、项目施工目标</w:t>
      </w:r>
    </w:p>
    <w:p w14:paraId="7071969D">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1、质量目标：工程质量标准按照国家质量验收标准执行，未有国家质量标准的按照行业和广东省的质量验收标准执行，确保符合国家、省、市《建设工程质量管理条例》质量验收标准，确保工程质量一次验收，并达到合格（或以上标准）。</w:t>
      </w:r>
    </w:p>
    <w:p w14:paraId="3AE88403">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2、安全目标：执行《建筑施工安全检查标准》（JGJ59-2011）、《广州市建设现场文明施工管理办法》（穗建筑[1999]175号）的规定、《关于规范建筑施工安全管理标准的通知》穗建筑[2005]652号及现行的省、市关于安全文明施工的相关规定。杜绝重大安全事故的发生，控制工伤、轻伤事故在千分之一内。</w:t>
      </w:r>
    </w:p>
    <w:p w14:paraId="77EBF0A8">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 xml:space="preserve">3、工期目标：按招标文件目标工期，包括项目实体及相关资料，并经发包方验收合格。 </w:t>
      </w:r>
    </w:p>
    <w:p w14:paraId="4EE42559">
      <w:pPr>
        <w:widowControl w:val="0"/>
        <w:spacing w:line="360" w:lineRule="auto"/>
        <w:textAlignment w:val="auto"/>
        <w:rPr>
          <w:rFonts w:ascii="宋体" w:hAnsi="宋体" w:cs="宋体"/>
          <w:color w:val="auto"/>
          <w:spacing w:val="20"/>
          <w:szCs w:val="21"/>
        </w:rPr>
      </w:pPr>
      <w:r>
        <w:rPr>
          <w:rFonts w:hint="eastAsia" w:ascii="宋体" w:hAnsi="宋体" w:cs="宋体"/>
          <w:color w:val="auto"/>
          <w:spacing w:val="20"/>
          <w:szCs w:val="21"/>
        </w:rPr>
        <w:t xml:space="preserve"> </w:t>
      </w:r>
    </w:p>
    <w:p w14:paraId="2C9A6E9D">
      <w:pPr>
        <w:widowControl w:val="0"/>
        <w:jc w:val="center"/>
        <w:textAlignment w:val="auto"/>
        <w:rPr>
          <w:rFonts w:ascii="宋体" w:hAnsi="宋体" w:cs="宋体"/>
          <w:b/>
          <w:bCs/>
          <w:color w:val="auto"/>
          <w:spacing w:val="20"/>
          <w:sz w:val="28"/>
          <w:szCs w:val="28"/>
        </w:rPr>
      </w:pPr>
      <w:r>
        <w:rPr>
          <w:rFonts w:hint="eastAsia" w:ascii="宋体" w:hAnsi="宋体" w:cs="宋体"/>
          <w:b/>
          <w:bCs/>
          <w:color w:val="auto"/>
          <w:spacing w:val="20"/>
          <w:sz w:val="28"/>
          <w:szCs w:val="28"/>
        </w:rPr>
        <w:t>第三节  主要施工方案与施工方法的要求</w:t>
      </w:r>
    </w:p>
    <w:p w14:paraId="6527C321">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1、各分项工程在施工前，均应编制相应的施工技术措施，内容包括施工准备、操作工艺、质量标准、成品保护等。</w:t>
      </w:r>
    </w:p>
    <w:p w14:paraId="06B09478">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2、所有施工项目均应按照国家、省市、地方有关法律法规及规范要求制定施工技术方案后方可施工。</w:t>
      </w:r>
    </w:p>
    <w:p w14:paraId="4D09401C">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3、施工现场建筑垃圾源头减量和建筑垃圾综合利用均应按照国家、省市、地方有关法律法规及相关文件要求制定相应措施后方可施工。</w:t>
      </w:r>
    </w:p>
    <w:p w14:paraId="54D03B4D">
      <w:pPr>
        <w:widowControl w:val="0"/>
        <w:spacing w:line="360" w:lineRule="auto"/>
        <w:textAlignment w:val="auto"/>
        <w:rPr>
          <w:rFonts w:ascii="宋体" w:hAnsi="宋体" w:cs="宋体"/>
          <w:color w:val="auto"/>
          <w:spacing w:val="20"/>
          <w:szCs w:val="21"/>
        </w:rPr>
      </w:pPr>
    </w:p>
    <w:p w14:paraId="6D129E72">
      <w:pPr>
        <w:widowControl w:val="0"/>
        <w:jc w:val="center"/>
        <w:textAlignment w:val="auto"/>
        <w:rPr>
          <w:rFonts w:ascii="宋体" w:hAnsi="宋体" w:cs="宋体"/>
          <w:b/>
          <w:bCs/>
          <w:color w:val="auto"/>
          <w:spacing w:val="20"/>
          <w:sz w:val="28"/>
          <w:szCs w:val="28"/>
        </w:rPr>
      </w:pPr>
      <w:r>
        <w:rPr>
          <w:rFonts w:hint="eastAsia" w:ascii="宋体" w:hAnsi="宋体" w:cs="宋体"/>
          <w:b/>
          <w:bCs/>
          <w:color w:val="auto"/>
          <w:spacing w:val="20"/>
          <w:sz w:val="28"/>
          <w:szCs w:val="28"/>
        </w:rPr>
        <w:t>第四节  主要技术组织要求</w:t>
      </w:r>
    </w:p>
    <w:p w14:paraId="676D122E">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工程施工中，要严格执行有关技术操作的各项规程，要注意落实下列各点中的技术措施。实行目标管理，明确总目标为合格。</w:t>
      </w:r>
    </w:p>
    <w:p w14:paraId="75C93588">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1、成立以总工程师为首的全面质量和管理小组。</w:t>
      </w:r>
    </w:p>
    <w:p w14:paraId="6CA16EAD">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2、明确并认真落实技术岗位责任制和技术交底制度。</w:t>
      </w:r>
    </w:p>
    <w:p w14:paraId="5F1949E1">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3、落实图纸会审、定位放线、预检复核、材质验收、成品保护等有关规定。</w:t>
      </w:r>
    </w:p>
    <w:p w14:paraId="103F4817">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4、制定自检，互检（交接检）末检制度。</w:t>
      </w:r>
    </w:p>
    <w:p w14:paraId="17762B47">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5、对工程实行质量预控，施工程序及工艺标准施工。</w:t>
      </w:r>
    </w:p>
    <w:p w14:paraId="4F856A7E">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6、特殊工种必须持证上岗。</w:t>
      </w:r>
    </w:p>
    <w:p w14:paraId="75C07470">
      <w:pPr>
        <w:widowControl w:val="0"/>
        <w:spacing w:line="360" w:lineRule="auto"/>
        <w:jc w:val="left"/>
        <w:textAlignment w:val="auto"/>
        <w:rPr>
          <w:rFonts w:ascii="宋体" w:hAnsi="宋体" w:cs="宋体"/>
          <w:color w:val="auto"/>
          <w:spacing w:val="20"/>
          <w:szCs w:val="21"/>
        </w:rPr>
      </w:pPr>
    </w:p>
    <w:p w14:paraId="6FE641B5">
      <w:pPr>
        <w:widowControl w:val="0"/>
        <w:jc w:val="center"/>
        <w:textAlignment w:val="auto"/>
        <w:rPr>
          <w:rFonts w:ascii="宋体" w:hAnsi="宋体" w:cs="宋体"/>
          <w:b/>
          <w:bCs/>
          <w:color w:val="auto"/>
          <w:spacing w:val="20"/>
          <w:sz w:val="28"/>
          <w:szCs w:val="28"/>
        </w:rPr>
      </w:pPr>
      <w:r>
        <w:rPr>
          <w:rFonts w:hint="eastAsia" w:ascii="宋体" w:hAnsi="宋体" w:cs="宋体"/>
          <w:b/>
          <w:bCs/>
          <w:color w:val="auto"/>
          <w:spacing w:val="20"/>
          <w:sz w:val="28"/>
          <w:szCs w:val="28"/>
        </w:rPr>
        <w:t>第五节  质量、工期保证措施</w:t>
      </w:r>
    </w:p>
    <w:p w14:paraId="13B185A3">
      <w:pPr>
        <w:widowControl w:val="0"/>
        <w:spacing w:line="360" w:lineRule="auto"/>
        <w:textAlignment w:val="auto"/>
        <w:rPr>
          <w:rFonts w:ascii="宋体" w:hAnsi="宋体" w:cs="宋体"/>
          <w:color w:val="auto"/>
          <w:spacing w:val="20"/>
          <w:kern w:val="0"/>
          <w:szCs w:val="21"/>
        </w:rPr>
      </w:pPr>
      <w:r>
        <w:rPr>
          <w:rFonts w:hint="eastAsia" w:ascii="宋体" w:hAnsi="宋体" w:cs="宋体"/>
          <w:color w:val="auto"/>
          <w:spacing w:val="20"/>
          <w:kern w:val="0"/>
          <w:szCs w:val="21"/>
        </w:rPr>
        <w:t>一、质量保证措施</w:t>
      </w:r>
    </w:p>
    <w:p w14:paraId="725CC14A">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1、建立健全结构，施工从设备、材料、半成品、成品进场，施工安装直至交付验收的质量保证体系，并落实到人。</w:t>
      </w:r>
    </w:p>
    <w:p w14:paraId="7A9A1E88">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2、严格贯彻“把关”和“积极预防”相结合的质量管理方法。</w:t>
      </w:r>
    </w:p>
    <w:p w14:paraId="218512BF">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3、本工程实行全面质量管理、文明施工，整个工程实行专业性管理，提前组织培训，统一思想，熟悉操作。</w:t>
      </w:r>
    </w:p>
    <w:p w14:paraId="06C12D6D">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4、按进度计划施工，严格技术管理，当进度与质量发生矛盾时，要服从质量，承包任务者首先要承包质量。</w:t>
      </w:r>
    </w:p>
    <w:p w14:paraId="743D0D8A">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5、加强质量监督检查，采取专业检查与自检相结合的检查方法，并以自检为主，坚持贯彻执行自检、互检、交接检的三检制度与挂牌制度，对工程质量要求一丝不苟。</w:t>
      </w:r>
    </w:p>
    <w:p w14:paraId="6D9FAB4E">
      <w:pPr>
        <w:widowControl w:val="0"/>
        <w:spacing w:line="360" w:lineRule="auto"/>
        <w:textAlignment w:val="auto"/>
        <w:rPr>
          <w:rFonts w:ascii="宋体" w:hAnsi="宋体" w:cs="宋体"/>
          <w:color w:val="auto"/>
          <w:spacing w:val="20"/>
          <w:szCs w:val="21"/>
        </w:rPr>
      </w:pPr>
      <w:r>
        <w:rPr>
          <w:rFonts w:hint="eastAsia" w:ascii="宋体" w:hAnsi="宋体" w:cs="宋体"/>
          <w:color w:val="auto"/>
          <w:spacing w:val="20"/>
          <w:szCs w:val="21"/>
        </w:rPr>
        <w:t>二、工期保证措施</w:t>
      </w:r>
    </w:p>
    <w:p w14:paraId="44333B6F">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1、运用现代化管理方法指导生产、加强动态管理。充分利用已有资源组织材料、人力资源的合理配置。保障各阶段施工的连续性，消除窝工、停工现象。</w:t>
      </w:r>
    </w:p>
    <w:p w14:paraId="1764C514">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2、各工序严格按进度计划施工，项目经理有效协调人力资源，确保施工顺利；</w:t>
      </w:r>
    </w:p>
    <w:p w14:paraId="200F46BF">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3、保证倒排工期，充分做好施工前的准备工作；</w:t>
      </w:r>
    </w:p>
    <w:p w14:paraId="3669FAA3">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4、优化网络计划管理，综合考虑机械、设备、材料的相应关系，使各工种、各工序实施紧密的交叉搭接，对每道工序制定相应的调整措施。</w:t>
      </w:r>
    </w:p>
    <w:p w14:paraId="22277CC8">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5、合理配置施工机械设施，提高使用效率，保证各项作业、各工种之间的高度协调，发挥最大的生产潜力，实现工期目标值。</w:t>
      </w:r>
    </w:p>
    <w:p w14:paraId="123E9B83">
      <w:pPr>
        <w:widowControl w:val="0"/>
        <w:spacing w:line="360" w:lineRule="auto"/>
        <w:textAlignment w:val="auto"/>
        <w:rPr>
          <w:rFonts w:ascii="宋体" w:hAnsi="宋体" w:cs="宋体"/>
          <w:b/>
          <w:bCs/>
          <w:color w:val="auto"/>
          <w:spacing w:val="20"/>
          <w:szCs w:val="21"/>
        </w:rPr>
      </w:pPr>
    </w:p>
    <w:p w14:paraId="34EFA26F">
      <w:pPr>
        <w:widowControl w:val="0"/>
        <w:jc w:val="center"/>
        <w:textAlignment w:val="auto"/>
        <w:rPr>
          <w:rFonts w:ascii="宋体" w:hAnsi="宋体" w:cs="宋体"/>
          <w:b/>
          <w:bCs/>
          <w:color w:val="auto"/>
          <w:spacing w:val="20"/>
          <w:sz w:val="28"/>
          <w:szCs w:val="28"/>
        </w:rPr>
      </w:pPr>
      <w:r>
        <w:rPr>
          <w:rFonts w:hint="eastAsia" w:ascii="宋体" w:hAnsi="宋体" w:cs="宋体"/>
          <w:b/>
          <w:bCs/>
          <w:color w:val="auto"/>
          <w:spacing w:val="20"/>
          <w:sz w:val="28"/>
          <w:szCs w:val="28"/>
        </w:rPr>
        <w:t>第六节  投入的主要机械设备及劳动力计划</w:t>
      </w:r>
    </w:p>
    <w:p w14:paraId="0CFB38B5">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1、根据经建设单位及监理批准的施工进度计划及现场施工情况，投入相应数量的机械设备及劳动力，满足工程进度要求，确保按期完工。</w:t>
      </w:r>
    </w:p>
    <w:p w14:paraId="71E719E8">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2、在确保工程质量、安全生产的前提下，优化施工进度计划，动态管理，合理组织，严格控制关键线路节点，确保工期目标。</w:t>
      </w:r>
    </w:p>
    <w:p w14:paraId="707DDECF">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3、采用性能完好的机械设备并配齐数量，设现场专业机修班组，定期检查、调试。</w:t>
      </w:r>
    </w:p>
    <w:p w14:paraId="5CE4BD55">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4、现场职工及劳务认真挑选，竞争上岗，确保现场施工人员的岗位技能水平及劳动数量满足工期要求。</w:t>
      </w:r>
    </w:p>
    <w:p w14:paraId="59FB5BB6">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5、根据施工进度控制统筹计划及时合理编制工程施工进度每周计划，直至落实到小时工作安排。</w:t>
      </w:r>
    </w:p>
    <w:p w14:paraId="2EFCD02D">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6、平面按划定的施工区段组织流水施工，将分为多个工作班组，分段流水协调施工。</w:t>
      </w:r>
    </w:p>
    <w:p w14:paraId="19A86234">
      <w:pPr>
        <w:widowControl w:val="0"/>
        <w:spacing w:line="360" w:lineRule="auto"/>
        <w:textAlignment w:val="auto"/>
        <w:rPr>
          <w:rFonts w:ascii="宋体" w:hAnsi="宋体" w:cs="宋体"/>
          <w:color w:val="auto"/>
          <w:spacing w:val="20"/>
          <w:kern w:val="0"/>
          <w:szCs w:val="21"/>
        </w:rPr>
      </w:pPr>
    </w:p>
    <w:p w14:paraId="0CB8CBF6">
      <w:pPr>
        <w:widowControl w:val="0"/>
        <w:jc w:val="center"/>
        <w:textAlignment w:val="auto"/>
        <w:rPr>
          <w:rFonts w:ascii="宋体" w:hAnsi="宋体" w:cs="宋体"/>
          <w:b/>
          <w:bCs/>
          <w:color w:val="auto"/>
          <w:spacing w:val="20"/>
          <w:sz w:val="28"/>
          <w:szCs w:val="28"/>
        </w:rPr>
      </w:pPr>
      <w:r>
        <w:rPr>
          <w:rFonts w:hint="eastAsia" w:ascii="宋体" w:hAnsi="宋体" w:cs="宋体"/>
          <w:b/>
          <w:bCs/>
          <w:color w:val="auto"/>
          <w:spacing w:val="20"/>
          <w:sz w:val="28"/>
          <w:szCs w:val="28"/>
        </w:rPr>
        <w:t>第七节  安全文明施工措施</w:t>
      </w:r>
    </w:p>
    <w:p w14:paraId="1A645F70">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szCs w:val="21"/>
        </w:rPr>
        <w:t>采取严格的施工管理措施，严格按照《广州市安全文明施工管理标准》、《建筑施工安全检查标准》等管理规定的要求，做好本工程安全文明施工工作。</w:t>
      </w:r>
    </w:p>
    <w:p w14:paraId="0110F0D0">
      <w:pPr>
        <w:widowControl w:val="0"/>
        <w:numPr>
          <w:ilvl w:val="0"/>
          <w:numId w:val="3"/>
        </w:numPr>
        <w:tabs>
          <w:tab w:val="left" w:pos="0"/>
          <w:tab w:val="left" w:pos="567"/>
        </w:tabs>
        <w:spacing w:line="360" w:lineRule="auto"/>
        <w:ind w:left="0" w:firstLine="0"/>
        <w:textAlignment w:val="auto"/>
        <w:rPr>
          <w:rFonts w:ascii="宋体" w:hAnsi="宋体" w:cs="宋体"/>
          <w:color w:val="auto"/>
          <w:spacing w:val="20"/>
          <w:kern w:val="0"/>
          <w:szCs w:val="21"/>
        </w:rPr>
      </w:pPr>
      <w:r>
        <w:rPr>
          <w:rFonts w:hint="eastAsia" w:ascii="宋体" w:hAnsi="宋体" w:cs="宋体"/>
          <w:color w:val="auto"/>
          <w:spacing w:val="20"/>
          <w:kern w:val="0"/>
          <w:szCs w:val="21"/>
        </w:rPr>
        <w:t>安全生产管理</w:t>
      </w:r>
    </w:p>
    <w:p w14:paraId="53FFE0A0">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安全生产目标：达到五无目标，即“无死亡事故，无重大伤人事故，无重大机械事故，无火灾，无中毒事故”。并将一般减微事故发生频率控制在3‰以下。</w:t>
      </w:r>
    </w:p>
    <w:p w14:paraId="6DB7ED64">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kern w:val="0"/>
          <w:szCs w:val="21"/>
        </w:rPr>
        <w:t>安全方针：安全第一，预防为主</w:t>
      </w:r>
    </w:p>
    <w:p w14:paraId="3A16670D">
      <w:pPr>
        <w:widowControl w:val="0"/>
        <w:spacing w:line="360" w:lineRule="auto"/>
        <w:ind w:firstLine="500" w:firstLineChars="200"/>
        <w:textAlignment w:val="auto"/>
        <w:rPr>
          <w:rFonts w:ascii="宋体" w:hAnsi="宋体" w:cs="宋体"/>
          <w:color w:val="auto"/>
          <w:spacing w:val="20"/>
          <w:szCs w:val="21"/>
        </w:rPr>
      </w:pPr>
      <w:r>
        <w:rPr>
          <w:rFonts w:hint="eastAsia" w:ascii="宋体" w:hAnsi="宋体" w:cs="宋体"/>
          <w:color w:val="auto"/>
          <w:spacing w:val="20"/>
          <w:kern w:val="0"/>
          <w:szCs w:val="21"/>
        </w:rPr>
        <w:t>安全和文明施工目标：力争达到安全生产，文明施工优良工地。</w:t>
      </w:r>
    </w:p>
    <w:p w14:paraId="02D738A2">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14:paraId="2D232B80">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14:paraId="298ADF11">
      <w:pPr>
        <w:widowControl w:val="0"/>
        <w:spacing w:line="360" w:lineRule="auto"/>
        <w:textAlignment w:val="auto"/>
        <w:rPr>
          <w:rFonts w:ascii="宋体" w:hAnsi="宋体" w:cs="宋体"/>
          <w:b/>
          <w:color w:val="auto"/>
          <w:spacing w:val="20"/>
          <w:kern w:val="0"/>
          <w:szCs w:val="21"/>
        </w:rPr>
      </w:pPr>
      <w:r>
        <w:rPr>
          <w:rFonts w:hint="eastAsia" w:ascii="宋体" w:hAnsi="宋体" w:cs="宋体"/>
          <w:color w:val="auto"/>
          <w:spacing w:val="20"/>
          <w:kern w:val="0"/>
          <w:szCs w:val="21"/>
        </w:rPr>
        <w:t>二、文明施工管理</w:t>
      </w:r>
    </w:p>
    <w:p w14:paraId="7E3A6256">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w:t>
      </w:r>
    </w:p>
    <w:p w14:paraId="39B709BD">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文明施工注意事项：</w:t>
      </w:r>
    </w:p>
    <w:p w14:paraId="62B7392A">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1、清运渣土的车辆应在施工封闭范围内停放；清运渣土的车辆应封闭或采用苫布覆盖，出入现场时应有专人指挥。清运渣土的作业时间应遵守有关规定，做到夜间不施工，减少对周围环境的噪音影响。</w:t>
      </w:r>
    </w:p>
    <w:p w14:paraId="76B37FBE">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2、对地下的各类管线，施工前在地面上设置明显标志，并标明管线用途，行进方向。对检查井、污水井也采取相应的保护措施。</w:t>
      </w:r>
    </w:p>
    <w:p w14:paraId="7FCD0BA2">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3、工程完工后，我方将及时将施工渣土清运出场，做到不积压。</w:t>
      </w:r>
    </w:p>
    <w:p w14:paraId="331294AA">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4、执行广东省、广州市有关加强施工现场文明施工管理的规定。</w:t>
      </w:r>
    </w:p>
    <w:p w14:paraId="7C4D4168">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14:paraId="1E929867">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14:paraId="4D065BF7">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7、施工现场设置消防车道，并应保持畅通。施工现场道路保持两方向畅通，保证消防车辆能够及时进入事发现场进行救援工作。</w:t>
      </w:r>
    </w:p>
    <w:p w14:paraId="0B4FAC70">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8、对工人进行岗前教育，施工作业应当在批准的施工场地内进行，不得在施工场地范围外堆放物料、机具等。</w:t>
      </w:r>
    </w:p>
    <w:p w14:paraId="4BB2231F">
      <w:pPr>
        <w:widowControl w:val="0"/>
        <w:spacing w:line="360" w:lineRule="auto"/>
        <w:ind w:firstLine="500" w:firstLineChars="200"/>
        <w:jc w:val="left"/>
        <w:textAlignment w:val="auto"/>
        <w:rPr>
          <w:rFonts w:ascii="宋体" w:hAnsi="宋体" w:cs="宋体"/>
          <w:color w:val="auto"/>
          <w:spacing w:val="20"/>
          <w:kern w:val="0"/>
          <w:szCs w:val="21"/>
        </w:rPr>
      </w:pPr>
      <w:r>
        <w:rPr>
          <w:rFonts w:hint="eastAsia" w:ascii="宋体" w:hAnsi="宋体" w:cs="宋体"/>
          <w:color w:val="auto"/>
          <w:spacing w:val="20"/>
          <w:kern w:val="0"/>
          <w:szCs w:val="21"/>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14:paraId="603D8B54">
      <w:pPr>
        <w:widowControl w:val="0"/>
        <w:spacing w:line="360" w:lineRule="auto"/>
        <w:ind w:firstLine="500" w:firstLineChars="200"/>
        <w:jc w:val="left"/>
        <w:textAlignment w:val="auto"/>
        <w:rPr>
          <w:rFonts w:ascii="宋体" w:hAnsi="宋体" w:cs="宋体"/>
          <w:color w:val="auto"/>
          <w:spacing w:val="20"/>
          <w:kern w:val="0"/>
          <w:szCs w:val="21"/>
        </w:rPr>
      </w:pPr>
      <w:r>
        <w:rPr>
          <w:rFonts w:hint="eastAsia" w:ascii="宋体" w:hAnsi="宋体" w:cs="宋体"/>
          <w:color w:val="auto"/>
          <w:spacing w:val="20"/>
          <w:kern w:val="0"/>
          <w:szCs w:val="21"/>
        </w:rPr>
        <w:t>10、不得在施工现场焚烧油毡、橡胶、油漆、垃圾以及其他产生有毒、有害烟尘和恶臭气体的物质。</w:t>
      </w:r>
    </w:p>
    <w:p w14:paraId="5A5CA1D4">
      <w:pPr>
        <w:widowControl w:val="0"/>
        <w:spacing w:line="360" w:lineRule="auto"/>
        <w:jc w:val="center"/>
        <w:textAlignment w:val="auto"/>
        <w:rPr>
          <w:rFonts w:ascii="宋体" w:hAnsi="宋体" w:cs="宋体"/>
          <w:b/>
          <w:bCs/>
          <w:color w:val="auto"/>
          <w:spacing w:val="20"/>
          <w:szCs w:val="21"/>
        </w:rPr>
      </w:pPr>
    </w:p>
    <w:p w14:paraId="7C1B7875">
      <w:pPr>
        <w:widowControl w:val="0"/>
        <w:jc w:val="center"/>
        <w:textAlignment w:val="auto"/>
        <w:rPr>
          <w:rFonts w:ascii="宋体" w:hAnsi="宋体" w:cs="宋体"/>
          <w:b/>
          <w:bCs/>
          <w:color w:val="auto"/>
          <w:spacing w:val="20"/>
          <w:sz w:val="28"/>
          <w:szCs w:val="28"/>
        </w:rPr>
      </w:pPr>
      <w:bookmarkStart w:id="42" w:name="_Hlk188628893"/>
      <w:r>
        <w:rPr>
          <w:rFonts w:hint="eastAsia" w:ascii="宋体" w:hAnsi="宋体" w:cs="宋体"/>
          <w:b/>
          <w:bCs/>
          <w:color w:val="auto"/>
          <w:spacing w:val="20"/>
          <w:sz w:val="28"/>
          <w:szCs w:val="28"/>
        </w:rPr>
        <w:t>第八节  绿色施工措施</w:t>
      </w:r>
    </w:p>
    <w:p w14:paraId="25AD902F">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工程施工单位应当在保证质量、安全等基本要求的前提下，以人为本，因地制宜，通过科学管理和技术进步，最大限度地节约资源，减少对环境负面影响的施工活动，实现绿色施工。</w:t>
      </w:r>
    </w:p>
    <w:p w14:paraId="70DD0029">
      <w:pPr>
        <w:widowControl w:val="0"/>
        <w:spacing w:line="360" w:lineRule="auto"/>
        <w:ind w:firstLine="500" w:firstLineChars="200"/>
        <w:textAlignment w:val="auto"/>
        <w:rPr>
          <w:rFonts w:ascii="宋体" w:hAnsi="宋体" w:cs="宋体"/>
          <w:color w:val="auto"/>
          <w:spacing w:val="20"/>
          <w:kern w:val="0"/>
          <w:szCs w:val="21"/>
        </w:rPr>
      </w:pPr>
      <w:r>
        <w:rPr>
          <w:rFonts w:ascii="宋体" w:hAnsi="宋体" w:cs="宋体"/>
          <w:color w:val="auto"/>
          <w:spacing w:val="20"/>
          <w:kern w:val="0"/>
          <w:szCs w:val="21"/>
        </w:rPr>
        <w:t>一、</w:t>
      </w:r>
      <w:r>
        <w:rPr>
          <w:rFonts w:hint="eastAsia" w:ascii="宋体" w:hAnsi="宋体" w:cs="宋体"/>
          <w:color w:val="auto"/>
          <w:spacing w:val="20"/>
          <w:kern w:val="0"/>
          <w:szCs w:val="21"/>
        </w:rPr>
        <w:t>绿色施工管理要求</w:t>
      </w:r>
    </w:p>
    <w:p w14:paraId="76153DD3">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工程项目开工前，施工单位应进行绿色施上影响因素分析，明确绿色施工目标。</w:t>
      </w:r>
    </w:p>
    <w:p w14:paraId="189EBB33">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施工单位应当建立健全的绿色施工管理体系和制度，具有齐全的绿色施工策划文件，设立清晰醒目的绿色施工宣传标志，推广应用“四新”技术，建立专业培训和岗位培训相结合的绿色施工培训制度。</w:t>
      </w:r>
    </w:p>
    <w:p w14:paraId="4D420718">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二、环境保护</w:t>
      </w:r>
      <w:r>
        <w:rPr>
          <w:rFonts w:ascii="宋体" w:hAnsi="宋体" w:cs="宋体"/>
          <w:color w:val="auto"/>
          <w:spacing w:val="20"/>
          <w:kern w:val="0"/>
          <w:szCs w:val="21"/>
        </w:rPr>
        <w:t>控制措施</w:t>
      </w:r>
    </w:p>
    <w:p w14:paraId="7287E0FA">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1</w:t>
      </w:r>
      <w:r>
        <w:rPr>
          <w:rFonts w:ascii="宋体" w:hAnsi="宋体" w:cs="宋体"/>
          <w:color w:val="auto"/>
          <w:spacing w:val="20"/>
          <w:kern w:val="0"/>
          <w:szCs w:val="21"/>
        </w:rPr>
        <w:t>、</w:t>
      </w:r>
      <w:r>
        <w:rPr>
          <w:rFonts w:hint="eastAsia" w:ascii="宋体" w:hAnsi="宋体" w:cs="宋体"/>
          <w:color w:val="auto"/>
          <w:spacing w:val="20"/>
          <w:kern w:val="0"/>
          <w:szCs w:val="21"/>
        </w:rPr>
        <w:t>扬尘控制：</w:t>
      </w:r>
    </w:p>
    <w:p w14:paraId="679E2D83">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（1）现场配备洒水设备，对裸露地面、集中堆放的土方采取抑尘措施；</w:t>
      </w:r>
    </w:p>
    <w:p w14:paraId="59C8D9F7">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（2）现场进出口设车胎冲洗设施和吸湿垫，保持进出现场车辆清洁；</w:t>
      </w:r>
    </w:p>
    <w:p w14:paraId="4A039840">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（3）易飞扬和细颗粒建筑材料封闭存放，余料回收；</w:t>
      </w:r>
    </w:p>
    <w:p w14:paraId="3D320C1D">
      <w:pPr>
        <w:widowControl w:val="0"/>
        <w:spacing w:line="360" w:lineRule="auto"/>
        <w:ind w:firstLine="500" w:firstLineChars="200"/>
        <w:textAlignment w:val="auto"/>
        <w:rPr>
          <w:rFonts w:ascii="宋体" w:hAnsi="宋体" w:cs="宋体"/>
          <w:color w:val="auto"/>
          <w:spacing w:val="20"/>
          <w:kern w:val="0"/>
          <w:szCs w:val="21"/>
        </w:rPr>
      </w:pPr>
      <w:r>
        <w:rPr>
          <w:rFonts w:ascii="宋体" w:hAnsi="宋体" w:cs="宋体"/>
          <w:color w:val="auto"/>
          <w:spacing w:val="20"/>
          <w:kern w:val="0"/>
          <w:szCs w:val="21"/>
        </w:rPr>
        <w:t>（</w:t>
      </w:r>
      <w:r>
        <w:rPr>
          <w:rFonts w:hint="eastAsia" w:ascii="宋体" w:hAnsi="宋体" w:cs="宋体"/>
          <w:color w:val="auto"/>
          <w:spacing w:val="20"/>
          <w:kern w:val="0"/>
          <w:szCs w:val="21"/>
        </w:rPr>
        <w:t>4</w:t>
      </w:r>
      <w:r>
        <w:rPr>
          <w:rFonts w:ascii="宋体" w:hAnsi="宋体" w:cs="宋体"/>
          <w:color w:val="auto"/>
          <w:spacing w:val="20"/>
          <w:kern w:val="0"/>
          <w:szCs w:val="21"/>
        </w:rPr>
        <w:t>）</w:t>
      </w:r>
      <w:r>
        <w:rPr>
          <w:rFonts w:hint="eastAsia" w:ascii="宋体" w:hAnsi="宋体" w:cs="宋体"/>
          <w:color w:val="auto"/>
          <w:spacing w:val="20"/>
          <w:kern w:val="0"/>
          <w:szCs w:val="21"/>
        </w:rPr>
        <w:t>拆除、爆破、开挖、回填及易产生扬尘的施工作业有抑尘措施；</w:t>
      </w:r>
    </w:p>
    <w:p w14:paraId="46BDCF94">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（5）高空垃圾清运采用封闭式管道或垂直运输机械；</w:t>
      </w:r>
    </w:p>
    <w:p w14:paraId="4BB24C7E">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（6）现场运送土石方、弃渣及易引起扬尘的材料时，车辆采取封闭或遮盖措施；</w:t>
      </w:r>
    </w:p>
    <w:p w14:paraId="6E2FBDB0">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（7）现场搅拌设有密闭和防尘措施；</w:t>
      </w:r>
    </w:p>
    <w:p w14:paraId="19BAB715">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（8）现场采用清洁燃料。</w:t>
      </w:r>
    </w:p>
    <w:p w14:paraId="0C424B97">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2</w:t>
      </w:r>
      <w:r>
        <w:rPr>
          <w:rFonts w:ascii="宋体" w:hAnsi="宋体" w:cs="宋体"/>
          <w:color w:val="auto"/>
          <w:spacing w:val="20"/>
          <w:kern w:val="0"/>
          <w:szCs w:val="21"/>
        </w:rPr>
        <w:t>、废气排放控制：</w:t>
      </w:r>
    </w:p>
    <w:p w14:paraId="55F1E8DE">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（1）施工车辆及机械设备废气排放符合国家年检要求；</w:t>
      </w:r>
    </w:p>
    <w:p w14:paraId="7DDE03FE">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（2）在环境敏感区域内的施工现场进行喷漆作业时，设有防挥发物扩散措施。</w:t>
      </w:r>
    </w:p>
    <w:p w14:paraId="570C3B2C">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3</w:t>
      </w:r>
      <w:r>
        <w:rPr>
          <w:rFonts w:ascii="宋体" w:hAnsi="宋体" w:cs="宋体"/>
          <w:color w:val="auto"/>
          <w:spacing w:val="20"/>
          <w:kern w:val="0"/>
          <w:szCs w:val="21"/>
        </w:rPr>
        <w:t>、</w:t>
      </w:r>
      <w:r>
        <w:rPr>
          <w:rFonts w:hint="eastAsia" w:ascii="宋体" w:hAnsi="宋体" w:cs="宋体"/>
          <w:color w:val="auto"/>
          <w:spacing w:val="20"/>
          <w:kern w:val="0"/>
          <w:szCs w:val="21"/>
        </w:rPr>
        <w:t>建筑垃圾处置方案：</w:t>
      </w:r>
    </w:p>
    <w:p w14:paraId="00D0AD45">
      <w:pPr>
        <w:widowControl w:val="0"/>
        <w:spacing w:line="360" w:lineRule="auto"/>
        <w:ind w:firstLine="500" w:firstLineChars="200"/>
        <w:textAlignment w:val="auto"/>
        <w:rPr>
          <w:rFonts w:ascii="宋体" w:hAnsi="宋体" w:cs="宋体"/>
          <w:color w:val="auto"/>
          <w:spacing w:val="20"/>
          <w:kern w:val="0"/>
          <w:szCs w:val="21"/>
        </w:rPr>
      </w:pPr>
      <w:r>
        <w:rPr>
          <w:rFonts w:ascii="宋体" w:hAnsi="宋体" w:cs="宋体"/>
          <w:color w:val="auto"/>
          <w:spacing w:val="20"/>
          <w:kern w:val="0"/>
          <w:szCs w:val="21"/>
        </w:rPr>
        <w:t>详见</w:t>
      </w:r>
      <w:r>
        <w:rPr>
          <w:rFonts w:hint="eastAsia" w:ascii="宋体" w:hAnsi="宋体" w:cs="宋体"/>
          <w:color w:val="auto"/>
          <w:spacing w:val="20"/>
          <w:kern w:val="0"/>
          <w:szCs w:val="21"/>
        </w:rPr>
        <w:t>本章</w:t>
      </w:r>
      <w:r>
        <w:rPr>
          <w:rFonts w:ascii="宋体" w:hAnsi="宋体" w:cs="宋体"/>
          <w:color w:val="auto"/>
          <w:spacing w:val="20"/>
          <w:kern w:val="0"/>
          <w:szCs w:val="21"/>
        </w:rPr>
        <w:t>第九</w:t>
      </w:r>
      <w:r>
        <w:rPr>
          <w:rFonts w:hint="eastAsia" w:ascii="宋体" w:hAnsi="宋体" w:cs="宋体"/>
          <w:color w:val="auto"/>
          <w:spacing w:val="20"/>
          <w:kern w:val="0"/>
          <w:szCs w:val="21"/>
        </w:rPr>
        <w:t>节 施工现场建筑垃圾源头减量的具体要求和建筑垃圾综合利用产品的使用要求。</w:t>
      </w:r>
    </w:p>
    <w:p w14:paraId="047DB12E">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4</w:t>
      </w:r>
      <w:r>
        <w:rPr>
          <w:rFonts w:ascii="宋体" w:hAnsi="宋体" w:cs="宋体"/>
          <w:color w:val="auto"/>
          <w:spacing w:val="20"/>
          <w:kern w:val="0"/>
          <w:szCs w:val="21"/>
        </w:rPr>
        <w:t>、</w:t>
      </w:r>
      <w:r>
        <w:rPr>
          <w:rFonts w:hint="eastAsia" w:ascii="宋体" w:hAnsi="宋体" w:cs="宋体"/>
          <w:color w:val="auto"/>
          <w:spacing w:val="20"/>
          <w:kern w:val="0"/>
          <w:szCs w:val="21"/>
        </w:rPr>
        <w:t>污水排放控制：</w:t>
      </w:r>
    </w:p>
    <w:p w14:paraId="3C173BDE">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工地生活污水等施工污水达标排放和利用；</w:t>
      </w:r>
    </w:p>
    <w:p w14:paraId="459EB5F6">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5</w:t>
      </w:r>
      <w:r>
        <w:rPr>
          <w:rFonts w:ascii="宋体" w:hAnsi="宋体" w:cs="宋体"/>
          <w:color w:val="auto"/>
          <w:spacing w:val="20"/>
          <w:kern w:val="0"/>
          <w:szCs w:val="21"/>
        </w:rPr>
        <w:t>、</w:t>
      </w:r>
      <w:r>
        <w:rPr>
          <w:rFonts w:hint="eastAsia" w:ascii="宋体" w:hAnsi="宋体" w:cs="宋体"/>
          <w:color w:val="auto"/>
          <w:spacing w:val="20"/>
          <w:kern w:val="0"/>
          <w:szCs w:val="21"/>
        </w:rPr>
        <w:t>光污染控制：</w:t>
      </w:r>
    </w:p>
    <w:p w14:paraId="61427B3E">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（1）施工现场采取限时施工、遮光或封闭等防治光污染措施；</w:t>
      </w:r>
    </w:p>
    <w:p w14:paraId="1241CE52">
      <w:pPr>
        <w:widowControl w:val="0"/>
        <w:spacing w:line="360" w:lineRule="auto"/>
        <w:ind w:firstLine="500" w:firstLineChars="200"/>
        <w:textAlignment w:val="auto"/>
        <w:rPr>
          <w:rFonts w:ascii="宋体" w:hAnsi="宋体" w:cs="宋体"/>
          <w:color w:val="auto"/>
          <w:spacing w:val="20"/>
          <w:kern w:val="0"/>
          <w:szCs w:val="21"/>
        </w:rPr>
      </w:pPr>
      <w:r>
        <w:rPr>
          <w:rFonts w:ascii="宋体" w:hAnsi="宋体" w:cs="宋体"/>
          <w:color w:val="auto"/>
          <w:spacing w:val="20"/>
          <w:kern w:val="0"/>
          <w:szCs w:val="21"/>
        </w:rPr>
        <w:t>（</w:t>
      </w:r>
      <w:r>
        <w:rPr>
          <w:rFonts w:hint="eastAsia" w:ascii="宋体" w:hAnsi="宋体" w:cs="宋体"/>
          <w:color w:val="auto"/>
          <w:spacing w:val="20"/>
          <w:kern w:val="0"/>
          <w:szCs w:val="21"/>
        </w:rPr>
        <w:t>2</w:t>
      </w:r>
      <w:r>
        <w:rPr>
          <w:rFonts w:ascii="宋体" w:hAnsi="宋体" w:cs="宋体"/>
          <w:color w:val="auto"/>
          <w:spacing w:val="20"/>
          <w:kern w:val="0"/>
          <w:szCs w:val="21"/>
        </w:rPr>
        <w:t>）</w:t>
      </w:r>
      <w:r>
        <w:rPr>
          <w:rFonts w:hint="eastAsia" w:ascii="宋体" w:hAnsi="宋体" w:cs="宋体"/>
          <w:color w:val="auto"/>
          <w:spacing w:val="20"/>
          <w:kern w:val="0"/>
          <w:szCs w:val="21"/>
        </w:rPr>
        <w:t>焊接作业时，采取挡光措施；</w:t>
      </w:r>
    </w:p>
    <w:p w14:paraId="47BF99F2">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（3）施工场区照明采取防止光线外泄措施。</w:t>
      </w:r>
    </w:p>
    <w:p w14:paraId="0CBD769E">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6</w:t>
      </w:r>
      <w:r>
        <w:rPr>
          <w:rFonts w:ascii="宋体" w:hAnsi="宋体" w:cs="宋体"/>
          <w:color w:val="auto"/>
          <w:spacing w:val="20"/>
          <w:kern w:val="0"/>
          <w:szCs w:val="21"/>
        </w:rPr>
        <w:t>、噪声控制：</w:t>
      </w:r>
    </w:p>
    <w:p w14:paraId="18E273EA">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（1）针对现场噪声源，采取隔声、吸声消者等降噪措施；</w:t>
      </w:r>
    </w:p>
    <w:p w14:paraId="07FC2744">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（2）采用低噪声施工设备；</w:t>
      </w:r>
    </w:p>
    <w:p w14:paraId="5DF97D66">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（3）噪声较大的机械设备远离现场办公区、生活区和周边敏感区；</w:t>
      </w:r>
    </w:p>
    <w:p w14:paraId="1CA0EB47">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（4）施工作业面设置降噪设施；</w:t>
      </w:r>
    </w:p>
    <w:p w14:paraId="0ABD5E8E">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（5）材料装卸设置降噪垫层，轻拿轻放，控制材料撞击噪声。</w:t>
      </w:r>
    </w:p>
    <w:p w14:paraId="5DBED697">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三、资源节约</w:t>
      </w:r>
      <w:r>
        <w:rPr>
          <w:rFonts w:ascii="宋体" w:hAnsi="宋体" w:cs="宋体"/>
          <w:color w:val="auto"/>
          <w:spacing w:val="20"/>
          <w:kern w:val="0"/>
          <w:szCs w:val="21"/>
        </w:rPr>
        <w:t>控制措施</w:t>
      </w:r>
    </w:p>
    <w:p w14:paraId="4A1CE17C">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1</w:t>
      </w:r>
      <w:r>
        <w:rPr>
          <w:rFonts w:ascii="宋体" w:hAnsi="宋体" w:cs="宋体"/>
          <w:color w:val="auto"/>
          <w:spacing w:val="20"/>
          <w:kern w:val="0"/>
          <w:szCs w:val="21"/>
        </w:rPr>
        <w:t>、临时设施控制</w:t>
      </w:r>
    </w:p>
    <w:p w14:paraId="3AF8A45F">
      <w:pPr>
        <w:widowControl w:val="0"/>
        <w:spacing w:line="360" w:lineRule="auto"/>
        <w:ind w:firstLine="500" w:firstLineChars="200"/>
        <w:textAlignment w:val="auto"/>
        <w:rPr>
          <w:rFonts w:ascii="宋体" w:hAnsi="宋体" w:cs="宋体"/>
          <w:color w:val="auto"/>
          <w:spacing w:val="20"/>
          <w:kern w:val="0"/>
          <w:szCs w:val="21"/>
        </w:rPr>
      </w:pPr>
      <w:r>
        <w:rPr>
          <w:rFonts w:ascii="宋体" w:hAnsi="宋体" w:cs="宋体"/>
          <w:color w:val="auto"/>
          <w:spacing w:val="20"/>
          <w:kern w:val="0"/>
          <w:szCs w:val="21"/>
        </w:rPr>
        <w:t>（</w:t>
      </w:r>
      <w:r>
        <w:rPr>
          <w:rFonts w:hint="eastAsia" w:ascii="宋体" w:hAnsi="宋体" w:cs="宋体"/>
          <w:color w:val="auto"/>
          <w:spacing w:val="20"/>
          <w:kern w:val="0"/>
          <w:szCs w:val="21"/>
        </w:rPr>
        <w:t>1</w:t>
      </w:r>
      <w:r>
        <w:rPr>
          <w:rFonts w:ascii="宋体" w:hAnsi="宋体" w:cs="宋体"/>
          <w:color w:val="auto"/>
          <w:spacing w:val="20"/>
          <w:kern w:val="0"/>
          <w:szCs w:val="21"/>
        </w:rPr>
        <w:t>）</w:t>
      </w:r>
      <w:r>
        <w:rPr>
          <w:rFonts w:hint="eastAsia" w:ascii="宋体" w:hAnsi="宋体" w:cs="宋体"/>
          <w:color w:val="auto"/>
          <w:spacing w:val="20"/>
          <w:kern w:val="0"/>
          <w:szCs w:val="21"/>
        </w:rPr>
        <w:t>合理规划设计临时用电线路铺设、配电箱配置和照明布局；</w:t>
      </w:r>
    </w:p>
    <w:p w14:paraId="24764C6F">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（2）合理设计临时用水系统，供水管线及末端无渗漏；</w:t>
      </w:r>
    </w:p>
    <w:p w14:paraId="1C33C546">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（3）利用既有建筑物和周边道路；</w:t>
      </w:r>
    </w:p>
    <w:p w14:paraId="70384906">
      <w:pPr>
        <w:widowControl w:val="0"/>
        <w:spacing w:line="360" w:lineRule="auto"/>
        <w:ind w:firstLine="500" w:firstLineChars="200"/>
        <w:textAlignment w:val="auto"/>
        <w:rPr>
          <w:rFonts w:ascii="宋体" w:hAnsi="宋体" w:cs="宋体"/>
          <w:color w:val="auto"/>
          <w:spacing w:val="20"/>
          <w:kern w:val="0"/>
          <w:szCs w:val="21"/>
        </w:rPr>
      </w:pPr>
      <w:r>
        <w:rPr>
          <w:rFonts w:ascii="宋体" w:hAnsi="宋体" w:cs="宋体"/>
          <w:color w:val="auto"/>
          <w:spacing w:val="20"/>
          <w:kern w:val="0"/>
          <w:szCs w:val="21"/>
        </w:rPr>
        <w:t>（</w:t>
      </w:r>
      <w:r>
        <w:rPr>
          <w:rFonts w:hint="eastAsia" w:ascii="宋体" w:hAnsi="宋体" w:cs="宋体"/>
          <w:color w:val="auto"/>
          <w:spacing w:val="20"/>
          <w:kern w:val="0"/>
          <w:szCs w:val="21"/>
        </w:rPr>
        <w:t>4</w:t>
      </w:r>
      <w:r>
        <w:rPr>
          <w:rFonts w:ascii="宋体" w:hAnsi="宋体" w:cs="宋体"/>
          <w:color w:val="auto"/>
          <w:spacing w:val="20"/>
          <w:kern w:val="0"/>
          <w:szCs w:val="21"/>
        </w:rPr>
        <w:t>）</w:t>
      </w:r>
      <w:r>
        <w:rPr>
          <w:rFonts w:hint="eastAsia" w:ascii="宋体" w:hAnsi="宋体" w:cs="宋体"/>
          <w:color w:val="auto"/>
          <w:spacing w:val="20"/>
          <w:kern w:val="0"/>
          <w:szCs w:val="21"/>
        </w:rPr>
        <w:t>使用再生建筑材料建设临时设施；</w:t>
      </w:r>
    </w:p>
    <w:p w14:paraId="020090D8">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2</w:t>
      </w:r>
      <w:r>
        <w:rPr>
          <w:rFonts w:ascii="宋体" w:hAnsi="宋体" w:cs="宋体"/>
          <w:color w:val="auto"/>
          <w:spacing w:val="20"/>
          <w:kern w:val="0"/>
          <w:szCs w:val="21"/>
        </w:rPr>
        <w:t>、材料</w:t>
      </w:r>
      <w:r>
        <w:rPr>
          <w:rFonts w:hint="eastAsia" w:ascii="宋体" w:hAnsi="宋体" w:cs="宋体"/>
          <w:color w:val="auto"/>
          <w:spacing w:val="20"/>
          <w:kern w:val="0"/>
          <w:szCs w:val="21"/>
        </w:rPr>
        <w:t>节约措施</w:t>
      </w:r>
    </w:p>
    <w:p w14:paraId="07481EE3">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（1）利用建筑信息模型（BIM）等信息技术，深化设计、优化方案，减少用材、降低损耗；</w:t>
      </w:r>
    </w:p>
    <w:p w14:paraId="787BF6D2">
      <w:pPr>
        <w:widowControl w:val="0"/>
        <w:spacing w:line="360" w:lineRule="auto"/>
        <w:ind w:firstLine="500" w:firstLineChars="200"/>
        <w:textAlignment w:val="auto"/>
        <w:rPr>
          <w:rFonts w:ascii="宋体" w:hAnsi="宋体" w:cs="宋体"/>
          <w:color w:val="auto"/>
          <w:spacing w:val="20"/>
          <w:kern w:val="0"/>
          <w:szCs w:val="21"/>
        </w:rPr>
      </w:pPr>
      <w:r>
        <w:rPr>
          <w:rFonts w:ascii="宋体" w:hAnsi="宋体" w:cs="宋体"/>
          <w:color w:val="auto"/>
          <w:spacing w:val="20"/>
          <w:kern w:val="0"/>
          <w:szCs w:val="21"/>
        </w:rPr>
        <w:t>（</w:t>
      </w:r>
      <w:r>
        <w:rPr>
          <w:rFonts w:hint="eastAsia" w:ascii="宋体" w:hAnsi="宋体" w:cs="宋体"/>
          <w:color w:val="auto"/>
          <w:spacing w:val="20"/>
          <w:kern w:val="0"/>
          <w:szCs w:val="21"/>
        </w:rPr>
        <w:t>2</w:t>
      </w:r>
      <w:r>
        <w:rPr>
          <w:rFonts w:ascii="宋体" w:hAnsi="宋体" w:cs="宋体"/>
          <w:color w:val="auto"/>
          <w:spacing w:val="20"/>
          <w:kern w:val="0"/>
          <w:szCs w:val="21"/>
        </w:rPr>
        <w:t>）</w:t>
      </w:r>
      <w:r>
        <w:rPr>
          <w:rFonts w:hint="eastAsia" w:ascii="宋体" w:hAnsi="宋体" w:cs="宋体"/>
          <w:color w:val="auto"/>
          <w:spacing w:val="20"/>
          <w:kern w:val="0"/>
          <w:szCs w:val="21"/>
        </w:rPr>
        <w:t>现场使用预拌混凝土、预拌砂浆；</w:t>
      </w:r>
    </w:p>
    <w:p w14:paraId="2E6F6D90">
      <w:pPr>
        <w:widowControl w:val="0"/>
        <w:spacing w:line="360" w:lineRule="auto"/>
        <w:ind w:firstLine="500" w:firstLineChars="200"/>
        <w:textAlignment w:val="auto"/>
        <w:rPr>
          <w:rFonts w:ascii="宋体" w:hAnsi="宋体" w:cs="宋体"/>
          <w:color w:val="auto"/>
          <w:spacing w:val="20"/>
          <w:kern w:val="0"/>
          <w:szCs w:val="21"/>
        </w:rPr>
      </w:pPr>
      <w:r>
        <w:rPr>
          <w:rFonts w:ascii="宋体" w:hAnsi="宋体" w:cs="宋体"/>
          <w:color w:val="auto"/>
          <w:spacing w:val="20"/>
          <w:kern w:val="0"/>
          <w:szCs w:val="21"/>
        </w:rPr>
        <w:t>（</w:t>
      </w:r>
      <w:r>
        <w:rPr>
          <w:rFonts w:hint="eastAsia" w:ascii="宋体" w:hAnsi="宋体" w:cs="宋体"/>
          <w:color w:val="auto"/>
          <w:spacing w:val="20"/>
          <w:kern w:val="0"/>
          <w:szCs w:val="21"/>
        </w:rPr>
        <w:t>3</w:t>
      </w:r>
      <w:r>
        <w:rPr>
          <w:rFonts w:ascii="宋体" w:hAnsi="宋体" w:cs="宋体"/>
          <w:color w:val="auto"/>
          <w:spacing w:val="20"/>
          <w:kern w:val="0"/>
          <w:szCs w:val="21"/>
        </w:rPr>
        <w:t>）</w:t>
      </w:r>
      <w:r>
        <w:rPr>
          <w:rFonts w:hint="eastAsia" w:ascii="宋体" w:hAnsi="宋体" w:cs="宋体"/>
          <w:color w:val="auto"/>
          <w:spacing w:val="20"/>
          <w:kern w:val="0"/>
          <w:szCs w:val="21"/>
        </w:rPr>
        <w:t>墙、地块材饰面预先总体排板；</w:t>
      </w:r>
    </w:p>
    <w:p w14:paraId="41C03BE2">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（4）合理选材对工程成品采取保护措施。</w:t>
      </w:r>
    </w:p>
    <w:p w14:paraId="48D72EA1">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3</w:t>
      </w:r>
      <w:r>
        <w:rPr>
          <w:rFonts w:ascii="宋体" w:hAnsi="宋体" w:cs="宋体"/>
          <w:color w:val="auto"/>
          <w:spacing w:val="20"/>
          <w:kern w:val="0"/>
          <w:szCs w:val="21"/>
        </w:rPr>
        <w:t>、能源</w:t>
      </w:r>
      <w:r>
        <w:rPr>
          <w:rFonts w:hint="eastAsia" w:ascii="宋体" w:hAnsi="宋体" w:cs="宋体"/>
          <w:color w:val="auto"/>
          <w:spacing w:val="20"/>
          <w:kern w:val="0"/>
          <w:szCs w:val="21"/>
        </w:rPr>
        <w:t>节约措施</w:t>
      </w:r>
    </w:p>
    <w:p w14:paraId="2F645B15">
      <w:pPr>
        <w:widowControl w:val="0"/>
        <w:spacing w:line="360" w:lineRule="auto"/>
        <w:ind w:firstLine="500" w:firstLineChars="200"/>
        <w:textAlignment w:val="auto"/>
        <w:rPr>
          <w:rFonts w:ascii="宋体" w:hAnsi="宋体" w:cs="宋体"/>
          <w:color w:val="auto"/>
          <w:spacing w:val="20"/>
          <w:kern w:val="0"/>
          <w:szCs w:val="21"/>
        </w:rPr>
      </w:pPr>
      <w:r>
        <w:rPr>
          <w:rFonts w:ascii="宋体" w:hAnsi="宋体" w:cs="宋体"/>
          <w:color w:val="auto"/>
          <w:spacing w:val="20"/>
          <w:kern w:val="0"/>
          <w:szCs w:val="21"/>
        </w:rPr>
        <w:t>（</w:t>
      </w:r>
      <w:r>
        <w:rPr>
          <w:rFonts w:hint="eastAsia" w:ascii="宋体" w:hAnsi="宋体" w:cs="宋体"/>
          <w:color w:val="auto"/>
          <w:spacing w:val="20"/>
          <w:kern w:val="0"/>
          <w:szCs w:val="21"/>
        </w:rPr>
        <w:t>1</w:t>
      </w:r>
      <w:r>
        <w:rPr>
          <w:rFonts w:ascii="宋体" w:hAnsi="宋体" w:cs="宋体"/>
          <w:color w:val="auto"/>
          <w:spacing w:val="20"/>
          <w:kern w:val="0"/>
          <w:szCs w:val="21"/>
        </w:rPr>
        <w:t>）</w:t>
      </w:r>
      <w:r>
        <w:rPr>
          <w:rFonts w:hint="eastAsia" w:ascii="宋体" w:hAnsi="宋体" w:cs="宋体"/>
          <w:color w:val="auto"/>
          <w:spacing w:val="20"/>
          <w:kern w:val="0"/>
          <w:szCs w:val="21"/>
        </w:rPr>
        <w:t>合理安排施工工序和施工进度，共享施工机具资源，减少垂直运输设备能耗，避免集中使用大功率设备；</w:t>
      </w:r>
    </w:p>
    <w:p w14:paraId="1878B310">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（2）合理布置施工总平面图，避免现场之次搬运；</w:t>
      </w:r>
    </w:p>
    <w:p w14:paraId="7905EC63">
      <w:pPr>
        <w:widowControl w:val="0"/>
        <w:spacing w:line="360" w:lineRule="auto"/>
        <w:ind w:firstLine="500" w:firstLineChars="200"/>
        <w:textAlignment w:val="auto"/>
        <w:rPr>
          <w:rFonts w:ascii="宋体" w:hAnsi="宋体" w:cs="宋体"/>
          <w:color w:val="auto"/>
          <w:spacing w:val="20"/>
          <w:kern w:val="0"/>
          <w:szCs w:val="21"/>
        </w:rPr>
      </w:pPr>
      <w:r>
        <w:rPr>
          <w:rFonts w:ascii="宋体" w:hAnsi="宋体" w:cs="宋体"/>
          <w:color w:val="auto"/>
          <w:spacing w:val="20"/>
          <w:kern w:val="0"/>
          <w:szCs w:val="21"/>
        </w:rPr>
        <w:t>（</w:t>
      </w:r>
      <w:r>
        <w:rPr>
          <w:rFonts w:hint="eastAsia" w:ascii="宋体" w:hAnsi="宋体" w:cs="宋体"/>
          <w:color w:val="auto"/>
          <w:spacing w:val="20"/>
          <w:kern w:val="0"/>
          <w:szCs w:val="21"/>
        </w:rPr>
        <w:t>3</w:t>
      </w:r>
      <w:r>
        <w:rPr>
          <w:rFonts w:ascii="宋体" w:hAnsi="宋体" w:cs="宋体"/>
          <w:color w:val="auto"/>
          <w:spacing w:val="20"/>
          <w:kern w:val="0"/>
          <w:szCs w:val="21"/>
        </w:rPr>
        <w:t>）</w:t>
      </w:r>
      <w:r>
        <w:rPr>
          <w:rFonts w:hint="eastAsia" w:ascii="宋体" w:hAnsi="宋体" w:cs="宋体"/>
          <w:color w:val="auto"/>
          <w:spacing w:val="20"/>
          <w:kern w:val="0"/>
          <w:szCs w:val="21"/>
        </w:rPr>
        <w:t>减少夜间作业、冬期施工和雨天施工时间。</w:t>
      </w:r>
    </w:p>
    <w:bookmarkEnd w:id="42"/>
    <w:p w14:paraId="4D04470D">
      <w:pPr>
        <w:pStyle w:val="4"/>
        <w:rPr>
          <w:color w:val="auto"/>
        </w:rPr>
      </w:pPr>
    </w:p>
    <w:p w14:paraId="053D9BA8">
      <w:pPr>
        <w:widowControl w:val="0"/>
        <w:jc w:val="center"/>
        <w:textAlignment w:val="auto"/>
        <w:rPr>
          <w:rFonts w:ascii="宋体" w:hAnsi="宋体" w:cs="宋体"/>
          <w:b/>
          <w:bCs/>
          <w:color w:val="auto"/>
          <w:spacing w:val="20"/>
          <w:sz w:val="28"/>
          <w:szCs w:val="28"/>
        </w:rPr>
      </w:pPr>
      <w:r>
        <w:rPr>
          <w:rFonts w:hint="eastAsia" w:ascii="宋体" w:hAnsi="宋体" w:cs="宋体"/>
          <w:b/>
          <w:bCs/>
          <w:color w:val="auto"/>
          <w:spacing w:val="20"/>
          <w:sz w:val="28"/>
          <w:szCs w:val="28"/>
        </w:rPr>
        <w:t>第九节  施工现场建筑垃圾源头减量的具体要求和建筑垃圾综合利用产品的使用要求</w:t>
      </w:r>
    </w:p>
    <w:p w14:paraId="1BEE7B24">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1071984D">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2、建筑垃圾应当按照国家有关规定进行分类，实行分类收集、分类贮存、分类运输、分类处置。</w:t>
      </w:r>
    </w:p>
    <w:p w14:paraId="674E9704">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3、施工单位应当建立建筑垃圾管理台账，分类收集、贮存和及时清运施工过程中产生的建筑垃圾，采取有效措施防止混合已分类的建筑垃圾。</w:t>
      </w:r>
    </w:p>
    <w:p w14:paraId="016A3C2C">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4、工程施工单位应当将建筑垃圾的产生量与种类、清运时间、最终去向等信息在施工现场公示，接受社会监督。</w:t>
      </w:r>
    </w:p>
    <w:p w14:paraId="4B5AF161">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5、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14:paraId="34CCE737">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6、建筑垃圾运输车辆应当符合相应的载运技术条件。建筑垃圾处置场所为陆域的，不得采用开底式船舶运输建筑垃圾。</w:t>
      </w:r>
    </w:p>
    <w:p w14:paraId="3ED8D907">
      <w:pPr>
        <w:widowControl w:val="0"/>
        <w:spacing w:line="360" w:lineRule="auto"/>
        <w:ind w:firstLine="500" w:firstLineChars="200"/>
        <w:textAlignment w:val="auto"/>
        <w:rPr>
          <w:rFonts w:ascii="宋体" w:hAnsi="宋体" w:cs="宋体"/>
          <w:color w:val="auto"/>
          <w:spacing w:val="20"/>
          <w:kern w:val="0"/>
          <w:szCs w:val="21"/>
        </w:rPr>
      </w:pPr>
      <w:r>
        <w:rPr>
          <w:rFonts w:hint="eastAsia" w:ascii="宋体" w:hAnsi="宋体" w:cs="宋体"/>
          <w:color w:val="auto"/>
          <w:spacing w:val="20"/>
          <w:kern w:val="0"/>
          <w:szCs w:val="21"/>
        </w:rPr>
        <w:t>7、工程泥浆应当在施工现场进行脱水固化处理。施工现场不具备条件的，应当采用罐装器具密闭运输至依法设置的建筑垃圾处置场所进行处置。水上工程中依法无需经脱水处理的除外。</w:t>
      </w:r>
    </w:p>
    <w:p w14:paraId="3357D2B0">
      <w:pPr>
        <w:widowControl w:val="0"/>
        <w:spacing w:line="360" w:lineRule="auto"/>
        <w:ind w:firstLine="500" w:firstLineChars="200"/>
        <w:textAlignment w:val="auto"/>
        <w:rPr>
          <w:rFonts w:ascii="宋体" w:hAnsi="宋体" w:cs="宋体"/>
          <w:color w:val="auto"/>
          <w:sz w:val="24"/>
          <w:szCs w:val="24"/>
        </w:rPr>
      </w:pPr>
      <w:r>
        <w:rPr>
          <w:rFonts w:hint="eastAsia" w:ascii="宋体" w:hAnsi="宋体" w:cs="宋体"/>
          <w:color w:val="auto"/>
          <w:spacing w:val="20"/>
          <w:kern w:val="0"/>
          <w:szCs w:val="21"/>
        </w:rPr>
        <w:t>8、建设单位和施工单位严格遵守并执行《广东省建筑垃圾管理条例》。</w:t>
      </w:r>
    </w:p>
    <w:p w14:paraId="2704822D">
      <w:pPr>
        <w:widowControl w:val="0"/>
        <w:spacing w:line="360" w:lineRule="auto"/>
        <w:jc w:val="center"/>
        <w:textAlignment w:val="auto"/>
        <w:rPr>
          <w:rFonts w:ascii="宋体" w:hAnsi="宋体" w:cs="宋体"/>
          <w:b/>
          <w:bCs/>
          <w:color w:val="auto"/>
          <w:sz w:val="24"/>
          <w:szCs w:val="24"/>
        </w:rPr>
      </w:pPr>
    </w:p>
    <w:p w14:paraId="1D3BB962">
      <w:pPr>
        <w:widowControl w:val="0"/>
        <w:textAlignment w:val="auto"/>
        <w:rPr>
          <w:rFonts w:ascii="宋体" w:hAnsi="宋体" w:cs="宋体"/>
          <w:color w:val="auto"/>
          <w:spacing w:val="20"/>
          <w:szCs w:val="21"/>
        </w:rPr>
      </w:pPr>
      <w:r>
        <w:rPr>
          <w:rFonts w:hint="eastAsia" w:ascii="宋体" w:hAnsi="宋体" w:cs="宋体"/>
          <w:color w:val="auto"/>
          <w:spacing w:val="20"/>
          <w:szCs w:val="21"/>
        </w:rPr>
        <w:t>注：除应执行本施工组织设计要点外,应参照国家等现行有关规定及工程建设标准作进一步完善。</w:t>
      </w:r>
    </w:p>
    <w:p w14:paraId="4D5F0F42">
      <w:pPr>
        <w:widowControl w:val="0"/>
        <w:textAlignment w:val="auto"/>
        <w:rPr>
          <w:rFonts w:ascii="宋体" w:hAnsi="宋体"/>
          <w:color w:val="auto"/>
        </w:rPr>
      </w:pPr>
    </w:p>
    <w:p w14:paraId="476092E0">
      <w:pPr>
        <w:pStyle w:val="132"/>
        <w:outlineLvl w:val="0"/>
        <w:rPr>
          <w:rStyle w:val="122"/>
          <w:bCs/>
          <w:color w:val="auto"/>
        </w:rPr>
      </w:pPr>
      <w:bookmarkStart w:id="43" w:name="_Toc8549"/>
      <w:r>
        <w:rPr>
          <w:rStyle w:val="122"/>
          <w:bCs/>
          <w:color w:val="auto"/>
        </w:rPr>
        <w:br w:type="column"/>
      </w:r>
      <w:r>
        <w:rPr>
          <w:rStyle w:val="122"/>
          <w:bCs/>
          <w:color w:val="auto"/>
        </w:rPr>
        <w:t>第六章  图纸及勘察资料</w:t>
      </w:r>
      <w:bookmarkEnd w:id="43"/>
    </w:p>
    <w:p w14:paraId="49B75324">
      <w:pPr>
        <w:spacing w:line="360" w:lineRule="auto"/>
        <w:rPr>
          <w:rStyle w:val="122"/>
          <w:rFonts w:ascii="宋体" w:hAnsi="宋体"/>
          <w:color w:val="auto"/>
          <w:sz w:val="24"/>
          <w:szCs w:val="24"/>
        </w:rPr>
      </w:pPr>
      <w:r>
        <w:rPr>
          <w:rStyle w:val="122"/>
          <w:rFonts w:ascii="宋体" w:hAnsi="宋体"/>
          <w:color w:val="auto"/>
          <w:sz w:val="24"/>
          <w:szCs w:val="24"/>
        </w:rPr>
        <w:t>另册。</w:t>
      </w:r>
    </w:p>
    <w:p w14:paraId="6B67A593">
      <w:pPr>
        <w:pStyle w:val="147"/>
        <w:rPr>
          <w:color w:val="auto"/>
        </w:rPr>
      </w:pPr>
    </w:p>
    <w:p w14:paraId="533CA10D">
      <w:pPr>
        <w:pStyle w:val="147"/>
        <w:rPr>
          <w:color w:val="auto"/>
        </w:rPr>
      </w:pPr>
    </w:p>
    <w:p w14:paraId="3CF5F8A1">
      <w:pPr>
        <w:pStyle w:val="147"/>
        <w:rPr>
          <w:color w:val="auto"/>
        </w:rPr>
      </w:pPr>
    </w:p>
    <w:p w14:paraId="543FCD5B">
      <w:pPr>
        <w:pStyle w:val="132"/>
        <w:outlineLvl w:val="0"/>
        <w:rPr>
          <w:rStyle w:val="122"/>
          <w:bCs/>
          <w:color w:val="auto"/>
        </w:rPr>
      </w:pPr>
      <w:bookmarkStart w:id="44" w:name="_Toc25472"/>
      <w:r>
        <w:rPr>
          <w:rStyle w:val="122"/>
          <w:bCs/>
          <w:color w:val="auto"/>
        </w:rPr>
        <w:t>第七章  工程量清单</w:t>
      </w:r>
      <w:bookmarkEnd w:id="44"/>
    </w:p>
    <w:p w14:paraId="0168403A">
      <w:pPr>
        <w:pStyle w:val="115"/>
        <w:spacing w:after="0" w:line="360" w:lineRule="auto"/>
        <w:ind w:firstLine="0"/>
        <w:rPr>
          <w:rStyle w:val="122"/>
          <w:rFonts w:ascii="宋体" w:hAnsi="宋体"/>
          <w:color w:val="auto"/>
          <w:sz w:val="24"/>
          <w:szCs w:val="24"/>
        </w:rPr>
      </w:pPr>
      <w:r>
        <w:rPr>
          <w:rStyle w:val="122"/>
          <w:rFonts w:ascii="宋体" w:hAnsi="宋体"/>
          <w:color w:val="auto"/>
          <w:sz w:val="24"/>
          <w:szCs w:val="24"/>
        </w:rPr>
        <w:t>另册。</w:t>
      </w:r>
    </w:p>
    <w:p w14:paraId="0AF149BD">
      <w:pPr>
        <w:pStyle w:val="115"/>
        <w:spacing w:after="0" w:line="360" w:lineRule="auto"/>
        <w:ind w:firstLine="0"/>
        <w:rPr>
          <w:rStyle w:val="122"/>
          <w:rFonts w:ascii="宋体" w:hAnsi="宋体"/>
          <w:color w:val="auto"/>
          <w:sz w:val="24"/>
          <w:szCs w:val="24"/>
        </w:rPr>
      </w:pPr>
    </w:p>
    <w:p w14:paraId="4F660408">
      <w:pPr>
        <w:pStyle w:val="115"/>
        <w:spacing w:after="0" w:line="360" w:lineRule="auto"/>
        <w:ind w:firstLine="0"/>
        <w:rPr>
          <w:rStyle w:val="122"/>
          <w:rFonts w:ascii="宋体" w:hAnsi="宋体"/>
          <w:color w:val="auto"/>
          <w:sz w:val="24"/>
          <w:szCs w:val="24"/>
        </w:rPr>
      </w:pPr>
    </w:p>
    <w:p w14:paraId="1212400B">
      <w:pPr>
        <w:pStyle w:val="115"/>
        <w:spacing w:after="0" w:line="360" w:lineRule="auto"/>
        <w:ind w:firstLine="0"/>
        <w:rPr>
          <w:rStyle w:val="122"/>
          <w:rFonts w:ascii="宋体" w:hAnsi="宋体"/>
          <w:color w:val="auto"/>
          <w:sz w:val="24"/>
        </w:rPr>
      </w:pPr>
    </w:p>
    <w:p w14:paraId="11D1AECC">
      <w:pPr>
        <w:pStyle w:val="132"/>
        <w:outlineLvl w:val="0"/>
        <w:rPr>
          <w:rStyle w:val="122"/>
          <w:rFonts w:ascii="宋体" w:hAnsi="宋体"/>
          <w:bCs/>
          <w:color w:val="auto"/>
        </w:rPr>
      </w:pPr>
      <w:bookmarkStart w:id="45" w:name="_Toc21830"/>
      <w:r>
        <w:rPr>
          <w:rStyle w:val="122"/>
          <w:rFonts w:ascii="宋体" w:hAnsi="宋体"/>
          <w:bCs/>
          <w:color w:val="auto"/>
        </w:rPr>
        <w:t>第八章  最高投标限价</w:t>
      </w:r>
      <w:bookmarkEnd w:id="45"/>
    </w:p>
    <w:p w14:paraId="20716807">
      <w:pPr>
        <w:spacing w:line="360" w:lineRule="auto"/>
        <w:ind w:firstLine="480"/>
        <w:rPr>
          <w:rStyle w:val="122"/>
          <w:rFonts w:ascii="宋体" w:hAnsi="宋体"/>
          <w:color w:val="auto"/>
          <w:sz w:val="24"/>
          <w:szCs w:val="24"/>
        </w:rPr>
      </w:pPr>
      <w:r>
        <w:rPr>
          <w:rStyle w:val="122"/>
          <w:rFonts w:ascii="宋体" w:hAnsi="宋体"/>
          <w:color w:val="auto"/>
          <w:sz w:val="24"/>
          <w:szCs w:val="24"/>
        </w:rPr>
        <w:t>招标人应当在发布招标文件时，公布最高投标限价的总价，分部分项工程费、措施项目费、其他项目费、规费和税金，以及绿色施工安全防护措施费、暂列金额等投标人不可竞争的固定报价。</w:t>
      </w:r>
    </w:p>
    <w:p w14:paraId="734CC723">
      <w:pPr>
        <w:pStyle w:val="147"/>
        <w:spacing w:line="360" w:lineRule="auto"/>
        <w:rPr>
          <w:rFonts w:ascii="宋体" w:hAnsi="宋体"/>
          <w:color w:val="auto"/>
        </w:rPr>
      </w:pPr>
    </w:p>
    <w:p w14:paraId="0763803C">
      <w:pPr>
        <w:spacing w:line="360" w:lineRule="auto"/>
        <w:rPr>
          <w:rFonts w:ascii="宋体" w:hAnsi="宋体"/>
          <w:color w:val="auto"/>
        </w:rPr>
      </w:pPr>
      <w:r>
        <w:rPr>
          <w:rFonts w:hint="eastAsia" w:ascii="宋体" w:hAnsi="宋体"/>
          <w:color w:val="auto"/>
          <w:sz w:val="24"/>
          <w:szCs w:val="24"/>
        </w:rPr>
        <w:t>详见《最高投标限价公布函》</w:t>
      </w:r>
    </w:p>
    <w:p w14:paraId="10336E7A">
      <w:pPr>
        <w:pStyle w:val="147"/>
        <w:spacing w:line="360" w:lineRule="auto"/>
        <w:rPr>
          <w:rFonts w:ascii="宋体" w:hAnsi="宋体"/>
          <w:color w:val="auto"/>
        </w:rPr>
      </w:pPr>
    </w:p>
    <w:sectPr>
      <w:pgSz w:w="11906" w:h="16838"/>
      <w:pgMar w:top="1418" w:right="1418" w:bottom="1418" w:left="1418" w:header="851" w:footer="737"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宋体..胭..">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F8499">
    <w:pPr>
      <w:pStyle w:val="15"/>
      <w:ind w:firstLine="392"/>
      <w:jc w:val="right"/>
      <w:rPr>
        <w:rStyle w:val="9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8E20FC">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08E20FC">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CD98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8BE9A">
    <w:pPr>
      <w:pStyle w:val="15"/>
      <w:ind w:firstLine="392"/>
      <w:rPr>
        <w:rStyle w:val="12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665CB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59665CB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30F2">
    <w:pPr>
      <w:pStyle w:val="15"/>
      <w:jc w:val="center"/>
      <w:rPr>
        <w:rStyle w:val="12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6A3418">
                          <w:pPr>
                            <w:pStyle w:val="15"/>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DduA8IBAACN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3bgPCAQAAjQMAAA4AAAAAAAAAAQAgAAAAHgEAAGRycy9lMm9Eb2MueG1sUEsF&#10;BgAAAAAGAAYAWQEAAFIFAAAAAA==&#10;">
              <v:fill on="f" focussize="0,0"/>
              <v:stroke on="f"/>
              <v:imagedata o:title=""/>
              <o:lock v:ext="edit" aspectratio="f"/>
              <v:textbox inset="0mm,0mm,0mm,0mm" style="mso-fit-shape-to-text:t;">
                <w:txbxContent>
                  <w:p w14:paraId="046A3418">
                    <w:pPr>
                      <w:pStyle w:val="15"/>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F47F">
    <w:pPr>
      <w:pStyle w:val="15"/>
      <w:framePr w:wrap="around" w:vAnchor="margin" w:hAnchor="text" w:xAlign="outside" w:y="1"/>
      <w:rPr>
        <w:rStyle w:val="98"/>
      </w:rPr>
    </w:pPr>
  </w:p>
  <w:p w14:paraId="75171034">
    <w:pPr>
      <w:pStyle w:val="15"/>
      <w:ind w:right="360" w:firstLine="360"/>
      <w:jc w:val="center"/>
      <w:rPr>
        <w:rStyle w:val="122"/>
      </w:rPr>
    </w:pPr>
    <w:r>
      <w:rPr>
        <w:rStyle w:val="122"/>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B96C">
    <w:pPr>
      <w:pStyle w:val="15"/>
      <w:jc w:val="center"/>
      <w:rPr>
        <w:rStyle w:val="12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2871A">
                          <w:pPr>
                            <w:pStyle w:val="15"/>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E5zl8EBAACOAwAADgAAAAAAAAABACAAAAAeAQAAZHJzL2Uyb0RvYy54bWxQSwUG&#10;AAAAAAYABgBZAQAAUQUAAAAA&#10;">
              <v:fill on="f" focussize="0,0"/>
              <v:stroke on="f"/>
              <v:imagedata o:title=""/>
              <o:lock v:ext="edit" aspectratio="f"/>
              <v:textbox inset="0mm,0mm,0mm,0mm" style="mso-fit-shape-to-text:t;">
                <w:txbxContent>
                  <w:p w14:paraId="0092871A">
                    <w:pPr>
                      <w:pStyle w:val="15"/>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5747">
    <w:pPr>
      <w:snapToGrid w:val="0"/>
      <w:jc w:val="center"/>
      <w:rPr>
        <w:rStyle w:val="122"/>
        <w:rFonts w:ascii="宋体" w:hAnsi="宋体"/>
        <w:kern w:val="0"/>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805273">
                          <w:pPr>
                            <w:pStyle w:val="15"/>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R88I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ku&#10;sz59gBrT7gMmpuGdH3BrZj+gM9MeVLT5i4QIxlHd81VdOSQi8qP1ar2uMCQwNl8Qnz08DxHSe+kt&#10;yUZDI46vqMpPHyGNqXNKrub8nTamjNC4fxyImT0s9z72mK007IeJ0N63Z+TT4+Qb6nDRKTEfHAqb&#10;l2Q24mzsJyPXgHB7TFi49JNRR6ipGI6pMJpWKu/B43vJeviNt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1P0fPCAQAAjgMAAA4AAAAAAAAAAQAgAAAAHgEAAGRycy9lMm9Eb2MueG1sUEsF&#10;BgAAAAAGAAYAWQEAAFIFAAAAAA==&#10;">
              <v:fill on="f" focussize="0,0"/>
              <v:stroke on="f"/>
              <v:imagedata o:title=""/>
              <o:lock v:ext="edit" aspectratio="f"/>
              <v:textbox inset="0mm,0mm,0mm,0mm" style="mso-fit-shape-to-text:t;">
                <w:txbxContent>
                  <w:p w14:paraId="16805273">
                    <w:pPr>
                      <w:pStyle w:val="15"/>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0B483">
    <w:pPr>
      <w:pStyle w:val="16"/>
      <w:pBdr>
        <w:bottom w:val="none" w:color="auto" w:sz="0" w:space="0"/>
      </w:pBdr>
      <w:ind w:firstLine="392"/>
      <w:rPr>
        <w:rStyle w:val="1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BFDB">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ADDD">
    <w:pPr>
      <w:pStyle w:val="16"/>
      <w:pBdr>
        <w:bottom w:val="none" w:color="auto" w:sz="0" w:space="0"/>
      </w:pBdr>
      <w:jc w:val="both"/>
      <w:rPr>
        <w:rStyle w:val="1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BF77">
    <w:pPr>
      <w:pStyle w:val="16"/>
      <w:pBdr>
        <w:bottom w:val="none" w:color="auto" w:sz="0" w:space="0"/>
      </w:pBdr>
      <w:jc w:val="right"/>
      <w:rPr>
        <w:rStyle w:val="1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F7A84">
    <w:pPr>
      <w:pStyle w:val="16"/>
      <w:jc w:val="right"/>
      <w:rPr>
        <w:rStyle w:val="122"/>
        <w:i/>
        <w:iCs/>
      </w:rPr>
    </w:pPr>
    <w:r>
      <w:rPr>
        <w:rStyle w:val="122"/>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4C9A6">
    <w:pPr>
      <w:pStyle w:val="16"/>
      <w:pBdr>
        <w:bottom w:val="none" w:color="auto" w:sz="0" w:space="0"/>
      </w:pBdr>
      <w:jc w:val="right"/>
      <w:rPr>
        <w:rStyle w:val="122"/>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259905B5"/>
    <w:multiLevelType w:val="multilevel"/>
    <w:tmpl w:val="259905B5"/>
    <w:lvl w:ilvl="0" w:tentative="0">
      <w:start w:val="1"/>
      <w:numFmt w:val="chineseCountingThousand"/>
      <w:pStyle w:val="167"/>
      <w:suff w:val="space"/>
      <w:lvlText w:val="第%1章"/>
      <w:lvlJc w:val="left"/>
      <w:pPr>
        <w:ind w:left="567" w:hanging="279"/>
      </w:pPr>
      <w:rPr>
        <w:rFonts w:ascii="宋体" w:eastAsia="宋体"/>
        <w:b/>
        <w:i w:val="0"/>
        <w:position w:val="0"/>
        <w:sz w:val="44"/>
      </w:rPr>
    </w:lvl>
    <w:lvl w:ilvl="1" w:tentative="0">
      <w:start w:val="1"/>
      <w:numFmt w:val="decimal"/>
      <w:suff w:val="space"/>
      <w:lvlText w:val="%1."/>
      <w:lvlJc w:val="left"/>
      <w:pPr>
        <w:ind w:left="454" w:hanging="454"/>
      </w:pPr>
      <w:rPr>
        <w:rFonts w:ascii="宋体" w:eastAsia="宋体"/>
        <w:b/>
        <w:i w:val="0"/>
        <w:sz w:val="32"/>
      </w:rPr>
    </w:lvl>
    <w:lvl w:ilvl="2" w:tentative="0">
      <w:start w:val="1"/>
      <w:numFmt w:val="decimal"/>
      <w:suff w:val="space"/>
      <w:lvlText w:val="%1.%2"/>
      <w:lvlJc w:val="left"/>
      <w:pPr>
        <w:ind w:left="454" w:hanging="454"/>
      </w:pPr>
      <w:rPr>
        <w:rFonts w:ascii="宋体" w:eastAsia="宋体"/>
        <w:b/>
        <w:i w:val="0"/>
        <w:sz w:val="28"/>
      </w:rPr>
    </w:lvl>
    <w:lvl w:ilvl="3" w:tentative="0">
      <w:start w:val="1"/>
      <w:numFmt w:val="decimal"/>
      <w:pStyle w:val="148"/>
      <w:suff w:val="space"/>
      <w:lvlText w:val="%1.%2.%3"/>
      <w:lvlJc w:val="left"/>
      <w:pPr>
        <w:ind w:left="284" w:hanging="284"/>
      </w:pPr>
      <w:rPr>
        <w:rFonts w:ascii="宋体" w:eastAsia="宋体"/>
        <w:b/>
        <w:i w:val="0"/>
        <w:sz w:val="28"/>
      </w:rPr>
    </w:lvl>
    <w:lvl w:ilvl="4" w:tentative="0">
      <w:start w:val="1"/>
      <w:numFmt w:val="decimal"/>
      <w:pStyle w:val="160"/>
      <w:suff w:val="space"/>
      <w:lvlText w:val="%1.%2.%3.%4"/>
      <w:lvlJc w:val="left"/>
      <w:pPr>
        <w:ind w:left="284" w:hanging="284"/>
      </w:pPr>
      <w:rPr>
        <w:rFonts w:ascii="宋体" w:eastAsia="宋体"/>
        <w:b/>
        <w:i w:val="0"/>
        <w:strike w:val="0"/>
        <w:dstrike w:val="0"/>
        <w:sz w:val="28"/>
      </w:rPr>
    </w:lvl>
    <w:lvl w:ilvl="5" w:tentative="0">
      <w:start w:val="1"/>
      <w:numFmt w:val="decimal"/>
      <w:suff w:val="space"/>
      <w:lvlText w:val="1.1.1.1.1.%1%2"/>
      <w:lvlJc w:val="left"/>
      <w:rPr>
        <w:rFonts w:ascii="宋体" w:eastAsia="宋体"/>
        <w:b/>
        <w:i w:val="0"/>
        <w:sz w:val="28"/>
      </w:rPr>
    </w:lvl>
    <w:lvl w:ilvl="6" w:tentative="0">
      <w:start w:val="1"/>
      <w:numFmt w:val="decimal"/>
      <w:pStyle w:val="164"/>
      <w:suff w:val="nothing"/>
      <w:lvlText w:val=""/>
      <w:lvlJc w:val="left"/>
    </w:lvl>
    <w:lvl w:ilvl="7" w:tentative="0">
      <w:start w:val="1"/>
      <w:numFmt w:val="decimal"/>
      <w:pStyle w:val="133"/>
      <w:suff w:val="nothing"/>
      <w:lvlText w:val=""/>
      <w:lvlJc w:val="left"/>
    </w:lvl>
    <w:lvl w:ilvl="8" w:tentative="0">
      <w:start w:val="1"/>
      <w:numFmt w:val="decimal"/>
      <w:pStyle w:val="43"/>
      <w:suff w:val="nothing"/>
      <w:lvlText w:val=""/>
      <w:lvlJc w:val="left"/>
    </w:lvl>
  </w:abstractNum>
  <w:abstractNum w:abstractNumId="2">
    <w:nsid w:val="74FB0463"/>
    <w:multiLevelType w:val="multilevel"/>
    <w:tmpl w:val="74FB0463"/>
    <w:lvl w:ilvl="0" w:tentative="0">
      <w:start w:val="1"/>
      <w:numFmt w:val="decimal"/>
      <w:suff w:val="nothing"/>
      <w:lvlText w:val="第%1篇"/>
      <w:lvlJc w:val="left"/>
      <w:rPr>
        <w:spacing w:val="60"/>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center"/>
      <w:pPr>
        <w:ind w:firstLine="288"/>
      </w:pPr>
    </w:lvl>
    <w:lvl w:ilvl="5" w:tentative="0">
      <w:start w:val="1"/>
      <w:numFmt w:val="decimal"/>
      <w:pStyle w:val="129"/>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yODhkNGM0MmY2ZmQ2ZTdmYzliMDJiMzZiYjAwYTYifQ=="/>
  </w:docVars>
  <w:rsids>
    <w:rsidRoot w:val="00E12750"/>
    <w:rsid w:val="000019B5"/>
    <w:rsid w:val="00002BB1"/>
    <w:rsid w:val="00007125"/>
    <w:rsid w:val="00010A0E"/>
    <w:rsid w:val="00010DEF"/>
    <w:rsid w:val="00012AE2"/>
    <w:rsid w:val="000131B4"/>
    <w:rsid w:val="000150F9"/>
    <w:rsid w:val="0001678A"/>
    <w:rsid w:val="000207E2"/>
    <w:rsid w:val="00020D54"/>
    <w:rsid w:val="00023678"/>
    <w:rsid w:val="000237D9"/>
    <w:rsid w:val="00023A45"/>
    <w:rsid w:val="00025835"/>
    <w:rsid w:val="00025D40"/>
    <w:rsid w:val="000260A9"/>
    <w:rsid w:val="0002717B"/>
    <w:rsid w:val="00027D24"/>
    <w:rsid w:val="000312C5"/>
    <w:rsid w:val="00033136"/>
    <w:rsid w:val="000337E6"/>
    <w:rsid w:val="0003426B"/>
    <w:rsid w:val="00040175"/>
    <w:rsid w:val="00040269"/>
    <w:rsid w:val="000421DC"/>
    <w:rsid w:val="00042EA0"/>
    <w:rsid w:val="0004513C"/>
    <w:rsid w:val="0004527B"/>
    <w:rsid w:val="00045842"/>
    <w:rsid w:val="0004698C"/>
    <w:rsid w:val="00046D08"/>
    <w:rsid w:val="000477C9"/>
    <w:rsid w:val="00047B9D"/>
    <w:rsid w:val="00047E32"/>
    <w:rsid w:val="00047EC8"/>
    <w:rsid w:val="00051B10"/>
    <w:rsid w:val="00052AA0"/>
    <w:rsid w:val="0005310E"/>
    <w:rsid w:val="00054299"/>
    <w:rsid w:val="00054EDB"/>
    <w:rsid w:val="000557EB"/>
    <w:rsid w:val="000568F5"/>
    <w:rsid w:val="00056D98"/>
    <w:rsid w:val="00056F2B"/>
    <w:rsid w:val="00057663"/>
    <w:rsid w:val="00060313"/>
    <w:rsid w:val="00060734"/>
    <w:rsid w:val="00061F95"/>
    <w:rsid w:val="00063021"/>
    <w:rsid w:val="000638F5"/>
    <w:rsid w:val="00065BE0"/>
    <w:rsid w:val="00066257"/>
    <w:rsid w:val="000664B7"/>
    <w:rsid w:val="00067B99"/>
    <w:rsid w:val="00067CA7"/>
    <w:rsid w:val="00071B50"/>
    <w:rsid w:val="000728D9"/>
    <w:rsid w:val="00072EEC"/>
    <w:rsid w:val="00073E28"/>
    <w:rsid w:val="000740DC"/>
    <w:rsid w:val="00074C04"/>
    <w:rsid w:val="0007593A"/>
    <w:rsid w:val="00077EE0"/>
    <w:rsid w:val="0008167B"/>
    <w:rsid w:val="000816AD"/>
    <w:rsid w:val="00083721"/>
    <w:rsid w:val="00083795"/>
    <w:rsid w:val="000846DA"/>
    <w:rsid w:val="00084B57"/>
    <w:rsid w:val="00085394"/>
    <w:rsid w:val="00085649"/>
    <w:rsid w:val="00086323"/>
    <w:rsid w:val="00086A3C"/>
    <w:rsid w:val="00087DB3"/>
    <w:rsid w:val="000900B5"/>
    <w:rsid w:val="0009129B"/>
    <w:rsid w:val="00094362"/>
    <w:rsid w:val="00095310"/>
    <w:rsid w:val="000956FC"/>
    <w:rsid w:val="000972E5"/>
    <w:rsid w:val="00097EB6"/>
    <w:rsid w:val="000A08B7"/>
    <w:rsid w:val="000A0DE1"/>
    <w:rsid w:val="000A1A51"/>
    <w:rsid w:val="000A21FB"/>
    <w:rsid w:val="000A26AE"/>
    <w:rsid w:val="000A5B62"/>
    <w:rsid w:val="000A72AA"/>
    <w:rsid w:val="000A7ED8"/>
    <w:rsid w:val="000B00C9"/>
    <w:rsid w:val="000B00F1"/>
    <w:rsid w:val="000B0272"/>
    <w:rsid w:val="000B0CB6"/>
    <w:rsid w:val="000B303D"/>
    <w:rsid w:val="000B357D"/>
    <w:rsid w:val="000B3770"/>
    <w:rsid w:val="000B5F0D"/>
    <w:rsid w:val="000B6362"/>
    <w:rsid w:val="000B783A"/>
    <w:rsid w:val="000B7B0D"/>
    <w:rsid w:val="000C04E7"/>
    <w:rsid w:val="000C06D5"/>
    <w:rsid w:val="000C2008"/>
    <w:rsid w:val="000C44C7"/>
    <w:rsid w:val="000C55E1"/>
    <w:rsid w:val="000C7DED"/>
    <w:rsid w:val="000D128A"/>
    <w:rsid w:val="000D32F5"/>
    <w:rsid w:val="000D334C"/>
    <w:rsid w:val="000D3FEA"/>
    <w:rsid w:val="000D4262"/>
    <w:rsid w:val="000D446D"/>
    <w:rsid w:val="000D4FFA"/>
    <w:rsid w:val="000D5415"/>
    <w:rsid w:val="000E03A5"/>
    <w:rsid w:val="000E0588"/>
    <w:rsid w:val="000E137A"/>
    <w:rsid w:val="000E1832"/>
    <w:rsid w:val="000E1DF7"/>
    <w:rsid w:val="000E4635"/>
    <w:rsid w:val="000E573E"/>
    <w:rsid w:val="000E5E82"/>
    <w:rsid w:val="000E602E"/>
    <w:rsid w:val="000E6E46"/>
    <w:rsid w:val="000E7958"/>
    <w:rsid w:val="000F04E6"/>
    <w:rsid w:val="000F0C8F"/>
    <w:rsid w:val="000F1107"/>
    <w:rsid w:val="000F152D"/>
    <w:rsid w:val="000F26EC"/>
    <w:rsid w:val="000F2A89"/>
    <w:rsid w:val="000F31A2"/>
    <w:rsid w:val="000F365D"/>
    <w:rsid w:val="000F50F6"/>
    <w:rsid w:val="000F54A6"/>
    <w:rsid w:val="000F57D7"/>
    <w:rsid w:val="000F5882"/>
    <w:rsid w:val="000F68FA"/>
    <w:rsid w:val="000F6A25"/>
    <w:rsid w:val="001003F8"/>
    <w:rsid w:val="0010051E"/>
    <w:rsid w:val="00100F23"/>
    <w:rsid w:val="00101D1E"/>
    <w:rsid w:val="00101DB2"/>
    <w:rsid w:val="00103FCC"/>
    <w:rsid w:val="0010480A"/>
    <w:rsid w:val="0010483C"/>
    <w:rsid w:val="00105E5D"/>
    <w:rsid w:val="0011023A"/>
    <w:rsid w:val="00111C08"/>
    <w:rsid w:val="00113402"/>
    <w:rsid w:val="001159A5"/>
    <w:rsid w:val="00115DEC"/>
    <w:rsid w:val="00116788"/>
    <w:rsid w:val="00117070"/>
    <w:rsid w:val="00117D2F"/>
    <w:rsid w:val="00120E73"/>
    <w:rsid w:val="00120F54"/>
    <w:rsid w:val="00122488"/>
    <w:rsid w:val="00124491"/>
    <w:rsid w:val="0012449C"/>
    <w:rsid w:val="00125780"/>
    <w:rsid w:val="00127E23"/>
    <w:rsid w:val="0013074E"/>
    <w:rsid w:val="00130F32"/>
    <w:rsid w:val="001310A3"/>
    <w:rsid w:val="0013189E"/>
    <w:rsid w:val="00131E40"/>
    <w:rsid w:val="00131E57"/>
    <w:rsid w:val="001326B6"/>
    <w:rsid w:val="00134006"/>
    <w:rsid w:val="001352F3"/>
    <w:rsid w:val="00136F1A"/>
    <w:rsid w:val="00137DDE"/>
    <w:rsid w:val="0014088E"/>
    <w:rsid w:val="00140B94"/>
    <w:rsid w:val="00140BEF"/>
    <w:rsid w:val="00140CBF"/>
    <w:rsid w:val="00140E2B"/>
    <w:rsid w:val="00141735"/>
    <w:rsid w:val="00142D13"/>
    <w:rsid w:val="001433B2"/>
    <w:rsid w:val="00147569"/>
    <w:rsid w:val="00151099"/>
    <w:rsid w:val="00151BB9"/>
    <w:rsid w:val="0015254C"/>
    <w:rsid w:val="00152568"/>
    <w:rsid w:val="00153FB3"/>
    <w:rsid w:val="001541F5"/>
    <w:rsid w:val="00162459"/>
    <w:rsid w:val="00163C99"/>
    <w:rsid w:val="00164082"/>
    <w:rsid w:val="00164291"/>
    <w:rsid w:val="00164AA2"/>
    <w:rsid w:val="001655A7"/>
    <w:rsid w:val="00166023"/>
    <w:rsid w:val="0016638B"/>
    <w:rsid w:val="0016666B"/>
    <w:rsid w:val="00166BE2"/>
    <w:rsid w:val="00167170"/>
    <w:rsid w:val="00167F7B"/>
    <w:rsid w:val="00170D60"/>
    <w:rsid w:val="00172B64"/>
    <w:rsid w:val="0017466E"/>
    <w:rsid w:val="00174E6A"/>
    <w:rsid w:val="0018068B"/>
    <w:rsid w:val="00183BB7"/>
    <w:rsid w:val="001843D9"/>
    <w:rsid w:val="00184690"/>
    <w:rsid w:val="0018771D"/>
    <w:rsid w:val="00190405"/>
    <w:rsid w:val="00190FDA"/>
    <w:rsid w:val="0019192F"/>
    <w:rsid w:val="00191B1C"/>
    <w:rsid w:val="00192D28"/>
    <w:rsid w:val="00192EB1"/>
    <w:rsid w:val="0019416A"/>
    <w:rsid w:val="00194525"/>
    <w:rsid w:val="00195CA6"/>
    <w:rsid w:val="00195D73"/>
    <w:rsid w:val="001972CB"/>
    <w:rsid w:val="001A0DC0"/>
    <w:rsid w:val="001A11AA"/>
    <w:rsid w:val="001A15FD"/>
    <w:rsid w:val="001A29C3"/>
    <w:rsid w:val="001A40C3"/>
    <w:rsid w:val="001A4C6C"/>
    <w:rsid w:val="001A5368"/>
    <w:rsid w:val="001A720D"/>
    <w:rsid w:val="001A77E0"/>
    <w:rsid w:val="001B10C3"/>
    <w:rsid w:val="001B11A6"/>
    <w:rsid w:val="001B30FB"/>
    <w:rsid w:val="001B3449"/>
    <w:rsid w:val="001B41F0"/>
    <w:rsid w:val="001B42C7"/>
    <w:rsid w:val="001B45B4"/>
    <w:rsid w:val="001B4EA8"/>
    <w:rsid w:val="001B5679"/>
    <w:rsid w:val="001B7650"/>
    <w:rsid w:val="001B7E6E"/>
    <w:rsid w:val="001C3363"/>
    <w:rsid w:val="001C4621"/>
    <w:rsid w:val="001C6290"/>
    <w:rsid w:val="001C7D81"/>
    <w:rsid w:val="001D079D"/>
    <w:rsid w:val="001D1169"/>
    <w:rsid w:val="001D1FE1"/>
    <w:rsid w:val="001D25B1"/>
    <w:rsid w:val="001D2DF6"/>
    <w:rsid w:val="001D4F7F"/>
    <w:rsid w:val="001D5499"/>
    <w:rsid w:val="001D6D98"/>
    <w:rsid w:val="001D77AD"/>
    <w:rsid w:val="001D7D71"/>
    <w:rsid w:val="001E2A9F"/>
    <w:rsid w:val="001E2BE9"/>
    <w:rsid w:val="001E2DE3"/>
    <w:rsid w:val="001E42D3"/>
    <w:rsid w:val="001E43E9"/>
    <w:rsid w:val="001E4C56"/>
    <w:rsid w:val="001E503E"/>
    <w:rsid w:val="001E507A"/>
    <w:rsid w:val="001E5EA3"/>
    <w:rsid w:val="001E6206"/>
    <w:rsid w:val="001E6CCA"/>
    <w:rsid w:val="001F05CF"/>
    <w:rsid w:val="001F0C7D"/>
    <w:rsid w:val="001F36D9"/>
    <w:rsid w:val="001F4190"/>
    <w:rsid w:val="001F57B0"/>
    <w:rsid w:val="00200BA0"/>
    <w:rsid w:val="002015E6"/>
    <w:rsid w:val="002037F5"/>
    <w:rsid w:val="00203824"/>
    <w:rsid w:val="00204819"/>
    <w:rsid w:val="0020565F"/>
    <w:rsid w:val="00206238"/>
    <w:rsid w:val="00206E54"/>
    <w:rsid w:val="0020761F"/>
    <w:rsid w:val="00211031"/>
    <w:rsid w:val="0021140C"/>
    <w:rsid w:val="0021265D"/>
    <w:rsid w:val="00214C56"/>
    <w:rsid w:val="00215DC4"/>
    <w:rsid w:val="00217239"/>
    <w:rsid w:val="002208F5"/>
    <w:rsid w:val="0022197C"/>
    <w:rsid w:val="00222AF0"/>
    <w:rsid w:val="0022305C"/>
    <w:rsid w:val="002266E8"/>
    <w:rsid w:val="00226BEB"/>
    <w:rsid w:val="00231417"/>
    <w:rsid w:val="00231FC8"/>
    <w:rsid w:val="00234B0F"/>
    <w:rsid w:val="00234D39"/>
    <w:rsid w:val="0023613F"/>
    <w:rsid w:val="002367CE"/>
    <w:rsid w:val="002373FF"/>
    <w:rsid w:val="002378F3"/>
    <w:rsid w:val="00240E3C"/>
    <w:rsid w:val="00243753"/>
    <w:rsid w:val="00243C8A"/>
    <w:rsid w:val="00243D12"/>
    <w:rsid w:val="00243E39"/>
    <w:rsid w:val="002454B2"/>
    <w:rsid w:val="00245760"/>
    <w:rsid w:val="00245765"/>
    <w:rsid w:val="00245DDB"/>
    <w:rsid w:val="00247154"/>
    <w:rsid w:val="0025086E"/>
    <w:rsid w:val="00250B5F"/>
    <w:rsid w:val="002515F5"/>
    <w:rsid w:val="00251800"/>
    <w:rsid w:val="00251A56"/>
    <w:rsid w:val="00251D05"/>
    <w:rsid w:val="002552F5"/>
    <w:rsid w:val="00256859"/>
    <w:rsid w:val="002574D7"/>
    <w:rsid w:val="00260023"/>
    <w:rsid w:val="002611E0"/>
    <w:rsid w:val="00261CAE"/>
    <w:rsid w:val="002659AA"/>
    <w:rsid w:val="00266328"/>
    <w:rsid w:val="00267444"/>
    <w:rsid w:val="002676FA"/>
    <w:rsid w:val="00271510"/>
    <w:rsid w:val="002718F2"/>
    <w:rsid w:val="0027199F"/>
    <w:rsid w:val="00273521"/>
    <w:rsid w:val="002758F3"/>
    <w:rsid w:val="00277583"/>
    <w:rsid w:val="0027766C"/>
    <w:rsid w:val="00277692"/>
    <w:rsid w:val="00277A38"/>
    <w:rsid w:val="00280FAB"/>
    <w:rsid w:val="0028251C"/>
    <w:rsid w:val="00284E4F"/>
    <w:rsid w:val="002850CF"/>
    <w:rsid w:val="00285416"/>
    <w:rsid w:val="00286189"/>
    <w:rsid w:val="002864BE"/>
    <w:rsid w:val="0029387B"/>
    <w:rsid w:val="002942A4"/>
    <w:rsid w:val="002943C5"/>
    <w:rsid w:val="00294BC9"/>
    <w:rsid w:val="002960C4"/>
    <w:rsid w:val="00296885"/>
    <w:rsid w:val="00297845"/>
    <w:rsid w:val="002A0A93"/>
    <w:rsid w:val="002A19BB"/>
    <w:rsid w:val="002A1BB3"/>
    <w:rsid w:val="002A1BFA"/>
    <w:rsid w:val="002A25A9"/>
    <w:rsid w:val="002A36A7"/>
    <w:rsid w:val="002A3FB7"/>
    <w:rsid w:val="002A4A68"/>
    <w:rsid w:val="002A6747"/>
    <w:rsid w:val="002A6B5F"/>
    <w:rsid w:val="002A7F7D"/>
    <w:rsid w:val="002B0917"/>
    <w:rsid w:val="002B10DA"/>
    <w:rsid w:val="002B268E"/>
    <w:rsid w:val="002B2F87"/>
    <w:rsid w:val="002B3792"/>
    <w:rsid w:val="002B3911"/>
    <w:rsid w:val="002B3E80"/>
    <w:rsid w:val="002B6D38"/>
    <w:rsid w:val="002B7170"/>
    <w:rsid w:val="002C076A"/>
    <w:rsid w:val="002C25D2"/>
    <w:rsid w:val="002C3F52"/>
    <w:rsid w:val="002C4782"/>
    <w:rsid w:val="002C59F5"/>
    <w:rsid w:val="002C6527"/>
    <w:rsid w:val="002C6CBB"/>
    <w:rsid w:val="002C6E8C"/>
    <w:rsid w:val="002C7FE3"/>
    <w:rsid w:val="002D328C"/>
    <w:rsid w:val="002D3F05"/>
    <w:rsid w:val="002D7086"/>
    <w:rsid w:val="002D7AE0"/>
    <w:rsid w:val="002D7C77"/>
    <w:rsid w:val="002E2369"/>
    <w:rsid w:val="002E2CD6"/>
    <w:rsid w:val="002E3DF6"/>
    <w:rsid w:val="002E40E3"/>
    <w:rsid w:val="002E42B7"/>
    <w:rsid w:val="002E4819"/>
    <w:rsid w:val="002E55C1"/>
    <w:rsid w:val="002E671C"/>
    <w:rsid w:val="002E6F64"/>
    <w:rsid w:val="002E7332"/>
    <w:rsid w:val="002E77DA"/>
    <w:rsid w:val="002F03E8"/>
    <w:rsid w:val="002F1D07"/>
    <w:rsid w:val="002F3B5C"/>
    <w:rsid w:val="002F3F3C"/>
    <w:rsid w:val="002F4899"/>
    <w:rsid w:val="002F497E"/>
    <w:rsid w:val="002F5926"/>
    <w:rsid w:val="002F626F"/>
    <w:rsid w:val="002F6A90"/>
    <w:rsid w:val="002F7175"/>
    <w:rsid w:val="002F7AB6"/>
    <w:rsid w:val="003003BC"/>
    <w:rsid w:val="00300D02"/>
    <w:rsid w:val="0030144B"/>
    <w:rsid w:val="00302F4F"/>
    <w:rsid w:val="00304C98"/>
    <w:rsid w:val="003051A3"/>
    <w:rsid w:val="00305CD2"/>
    <w:rsid w:val="003062CD"/>
    <w:rsid w:val="003064AE"/>
    <w:rsid w:val="00307B01"/>
    <w:rsid w:val="00310513"/>
    <w:rsid w:val="00310962"/>
    <w:rsid w:val="003114FA"/>
    <w:rsid w:val="003128D6"/>
    <w:rsid w:val="003136B0"/>
    <w:rsid w:val="00314742"/>
    <w:rsid w:val="00316471"/>
    <w:rsid w:val="0031795D"/>
    <w:rsid w:val="00320929"/>
    <w:rsid w:val="0032126D"/>
    <w:rsid w:val="003213E5"/>
    <w:rsid w:val="003258F9"/>
    <w:rsid w:val="0033136B"/>
    <w:rsid w:val="00331C02"/>
    <w:rsid w:val="00332FCC"/>
    <w:rsid w:val="00333E6C"/>
    <w:rsid w:val="00333FD1"/>
    <w:rsid w:val="00335934"/>
    <w:rsid w:val="0033674F"/>
    <w:rsid w:val="00337EFD"/>
    <w:rsid w:val="00340219"/>
    <w:rsid w:val="00340461"/>
    <w:rsid w:val="00340BEF"/>
    <w:rsid w:val="0034131F"/>
    <w:rsid w:val="00341332"/>
    <w:rsid w:val="003425D5"/>
    <w:rsid w:val="00343B35"/>
    <w:rsid w:val="0034478D"/>
    <w:rsid w:val="00344C44"/>
    <w:rsid w:val="003458C4"/>
    <w:rsid w:val="00347EC8"/>
    <w:rsid w:val="003522AB"/>
    <w:rsid w:val="0035273A"/>
    <w:rsid w:val="003542F2"/>
    <w:rsid w:val="0035445D"/>
    <w:rsid w:val="00355E4A"/>
    <w:rsid w:val="00356934"/>
    <w:rsid w:val="00356C29"/>
    <w:rsid w:val="003570C1"/>
    <w:rsid w:val="00361BC4"/>
    <w:rsid w:val="00361F37"/>
    <w:rsid w:val="0036380C"/>
    <w:rsid w:val="00363E33"/>
    <w:rsid w:val="00365FFA"/>
    <w:rsid w:val="003662D8"/>
    <w:rsid w:val="00370165"/>
    <w:rsid w:val="00370607"/>
    <w:rsid w:val="00371A9F"/>
    <w:rsid w:val="00372564"/>
    <w:rsid w:val="00372ABE"/>
    <w:rsid w:val="00373090"/>
    <w:rsid w:val="0037319C"/>
    <w:rsid w:val="00373B1C"/>
    <w:rsid w:val="00374FE3"/>
    <w:rsid w:val="00375163"/>
    <w:rsid w:val="00376294"/>
    <w:rsid w:val="0037770B"/>
    <w:rsid w:val="0037776E"/>
    <w:rsid w:val="00377E69"/>
    <w:rsid w:val="00381046"/>
    <w:rsid w:val="003815AA"/>
    <w:rsid w:val="00381760"/>
    <w:rsid w:val="00381E86"/>
    <w:rsid w:val="00383529"/>
    <w:rsid w:val="00383BF4"/>
    <w:rsid w:val="00385831"/>
    <w:rsid w:val="00385F20"/>
    <w:rsid w:val="003865CE"/>
    <w:rsid w:val="0038672C"/>
    <w:rsid w:val="00393286"/>
    <w:rsid w:val="00393E9B"/>
    <w:rsid w:val="00394D4C"/>
    <w:rsid w:val="00394E65"/>
    <w:rsid w:val="00395078"/>
    <w:rsid w:val="003952B9"/>
    <w:rsid w:val="003A0329"/>
    <w:rsid w:val="003A0591"/>
    <w:rsid w:val="003A0AE5"/>
    <w:rsid w:val="003A21EB"/>
    <w:rsid w:val="003A4B80"/>
    <w:rsid w:val="003A5BD9"/>
    <w:rsid w:val="003B440D"/>
    <w:rsid w:val="003B5B7F"/>
    <w:rsid w:val="003B6DAB"/>
    <w:rsid w:val="003C12A6"/>
    <w:rsid w:val="003C1E66"/>
    <w:rsid w:val="003C20BA"/>
    <w:rsid w:val="003C49F7"/>
    <w:rsid w:val="003D0064"/>
    <w:rsid w:val="003D00B7"/>
    <w:rsid w:val="003D0F11"/>
    <w:rsid w:val="003D145F"/>
    <w:rsid w:val="003D201F"/>
    <w:rsid w:val="003D2057"/>
    <w:rsid w:val="003D2F7B"/>
    <w:rsid w:val="003D2FBD"/>
    <w:rsid w:val="003D3857"/>
    <w:rsid w:val="003D5CBF"/>
    <w:rsid w:val="003D6887"/>
    <w:rsid w:val="003E11D0"/>
    <w:rsid w:val="003E18D1"/>
    <w:rsid w:val="003E2EF8"/>
    <w:rsid w:val="003E4602"/>
    <w:rsid w:val="003E4FE0"/>
    <w:rsid w:val="003E6118"/>
    <w:rsid w:val="003E71C2"/>
    <w:rsid w:val="003F00EF"/>
    <w:rsid w:val="003F08A5"/>
    <w:rsid w:val="003F0967"/>
    <w:rsid w:val="003F1F96"/>
    <w:rsid w:val="003F3FB9"/>
    <w:rsid w:val="003F449C"/>
    <w:rsid w:val="003F652A"/>
    <w:rsid w:val="003F7CE0"/>
    <w:rsid w:val="00400633"/>
    <w:rsid w:val="00402511"/>
    <w:rsid w:val="004034BE"/>
    <w:rsid w:val="004038F6"/>
    <w:rsid w:val="004041C5"/>
    <w:rsid w:val="00404AF0"/>
    <w:rsid w:val="004052B3"/>
    <w:rsid w:val="00406258"/>
    <w:rsid w:val="004064F6"/>
    <w:rsid w:val="00407CA2"/>
    <w:rsid w:val="00410BA6"/>
    <w:rsid w:val="00411949"/>
    <w:rsid w:val="00411E6D"/>
    <w:rsid w:val="004129B4"/>
    <w:rsid w:val="00413C64"/>
    <w:rsid w:val="00414433"/>
    <w:rsid w:val="00416564"/>
    <w:rsid w:val="00416AAD"/>
    <w:rsid w:val="00417FB6"/>
    <w:rsid w:val="00420885"/>
    <w:rsid w:val="00422143"/>
    <w:rsid w:val="00422C08"/>
    <w:rsid w:val="004238EB"/>
    <w:rsid w:val="0042400A"/>
    <w:rsid w:val="00424DEE"/>
    <w:rsid w:val="00427276"/>
    <w:rsid w:val="00427DBD"/>
    <w:rsid w:val="00431069"/>
    <w:rsid w:val="004311B2"/>
    <w:rsid w:val="00431970"/>
    <w:rsid w:val="00434052"/>
    <w:rsid w:val="00435335"/>
    <w:rsid w:val="00436588"/>
    <w:rsid w:val="004373B7"/>
    <w:rsid w:val="00437B91"/>
    <w:rsid w:val="004418B4"/>
    <w:rsid w:val="004425B5"/>
    <w:rsid w:val="004434F5"/>
    <w:rsid w:val="0044355E"/>
    <w:rsid w:val="00443678"/>
    <w:rsid w:val="00443A4A"/>
    <w:rsid w:val="00443C0C"/>
    <w:rsid w:val="00444C14"/>
    <w:rsid w:val="0044574C"/>
    <w:rsid w:val="00447CD1"/>
    <w:rsid w:val="00447FB5"/>
    <w:rsid w:val="004524A4"/>
    <w:rsid w:val="00452F1B"/>
    <w:rsid w:val="004531B1"/>
    <w:rsid w:val="0045375D"/>
    <w:rsid w:val="004546AD"/>
    <w:rsid w:val="00454D83"/>
    <w:rsid w:val="004608E6"/>
    <w:rsid w:val="00461981"/>
    <w:rsid w:val="004627E7"/>
    <w:rsid w:val="004635F7"/>
    <w:rsid w:val="0046367F"/>
    <w:rsid w:val="0046387F"/>
    <w:rsid w:val="00465E66"/>
    <w:rsid w:val="00472560"/>
    <w:rsid w:val="00474B5B"/>
    <w:rsid w:val="00476C9B"/>
    <w:rsid w:val="0047772B"/>
    <w:rsid w:val="004807AE"/>
    <w:rsid w:val="004815D2"/>
    <w:rsid w:val="00482933"/>
    <w:rsid w:val="00482F13"/>
    <w:rsid w:val="00483643"/>
    <w:rsid w:val="00484ECB"/>
    <w:rsid w:val="00485264"/>
    <w:rsid w:val="004861DE"/>
    <w:rsid w:val="0048698B"/>
    <w:rsid w:val="00486C44"/>
    <w:rsid w:val="00486EB5"/>
    <w:rsid w:val="00487B9A"/>
    <w:rsid w:val="00490209"/>
    <w:rsid w:val="00492146"/>
    <w:rsid w:val="00492CFC"/>
    <w:rsid w:val="00495293"/>
    <w:rsid w:val="00496785"/>
    <w:rsid w:val="004A3F98"/>
    <w:rsid w:val="004A4DDB"/>
    <w:rsid w:val="004A6856"/>
    <w:rsid w:val="004A6B01"/>
    <w:rsid w:val="004B234C"/>
    <w:rsid w:val="004B443A"/>
    <w:rsid w:val="004B4EC8"/>
    <w:rsid w:val="004B4F0A"/>
    <w:rsid w:val="004B4F8B"/>
    <w:rsid w:val="004B5117"/>
    <w:rsid w:val="004C07D4"/>
    <w:rsid w:val="004C11A6"/>
    <w:rsid w:val="004C2E5F"/>
    <w:rsid w:val="004C2F7C"/>
    <w:rsid w:val="004C4F7A"/>
    <w:rsid w:val="004C53FC"/>
    <w:rsid w:val="004C685E"/>
    <w:rsid w:val="004C7765"/>
    <w:rsid w:val="004D1115"/>
    <w:rsid w:val="004D3BF8"/>
    <w:rsid w:val="004D4463"/>
    <w:rsid w:val="004D5826"/>
    <w:rsid w:val="004D5B7B"/>
    <w:rsid w:val="004D70CC"/>
    <w:rsid w:val="004E58B4"/>
    <w:rsid w:val="004E5EE4"/>
    <w:rsid w:val="004E631B"/>
    <w:rsid w:val="004E68C5"/>
    <w:rsid w:val="004F00B8"/>
    <w:rsid w:val="004F1287"/>
    <w:rsid w:val="004F18A1"/>
    <w:rsid w:val="004F27DF"/>
    <w:rsid w:val="004F53BA"/>
    <w:rsid w:val="004F5846"/>
    <w:rsid w:val="004F58AC"/>
    <w:rsid w:val="004F611B"/>
    <w:rsid w:val="004F67BC"/>
    <w:rsid w:val="004F6FD2"/>
    <w:rsid w:val="00500956"/>
    <w:rsid w:val="00500FE5"/>
    <w:rsid w:val="00502B97"/>
    <w:rsid w:val="00502DAA"/>
    <w:rsid w:val="0050308C"/>
    <w:rsid w:val="005039FB"/>
    <w:rsid w:val="005048F0"/>
    <w:rsid w:val="00510BFD"/>
    <w:rsid w:val="00512EC9"/>
    <w:rsid w:val="0051527E"/>
    <w:rsid w:val="00516C82"/>
    <w:rsid w:val="00517BFE"/>
    <w:rsid w:val="0052035D"/>
    <w:rsid w:val="00521C8B"/>
    <w:rsid w:val="00522B80"/>
    <w:rsid w:val="00523BB7"/>
    <w:rsid w:val="00523E1D"/>
    <w:rsid w:val="0052451C"/>
    <w:rsid w:val="00525B02"/>
    <w:rsid w:val="0052669B"/>
    <w:rsid w:val="005274E8"/>
    <w:rsid w:val="005275AC"/>
    <w:rsid w:val="00530E18"/>
    <w:rsid w:val="005331E2"/>
    <w:rsid w:val="00535078"/>
    <w:rsid w:val="00536CCC"/>
    <w:rsid w:val="00541771"/>
    <w:rsid w:val="00542467"/>
    <w:rsid w:val="00542EEF"/>
    <w:rsid w:val="005438F0"/>
    <w:rsid w:val="00544060"/>
    <w:rsid w:val="0054512A"/>
    <w:rsid w:val="0054541C"/>
    <w:rsid w:val="00545D35"/>
    <w:rsid w:val="00545EAE"/>
    <w:rsid w:val="0054635F"/>
    <w:rsid w:val="00550C34"/>
    <w:rsid w:val="005511EF"/>
    <w:rsid w:val="00551DB0"/>
    <w:rsid w:val="0055260D"/>
    <w:rsid w:val="005536BE"/>
    <w:rsid w:val="0055433E"/>
    <w:rsid w:val="00556F31"/>
    <w:rsid w:val="00561EE4"/>
    <w:rsid w:val="00563025"/>
    <w:rsid w:val="00563173"/>
    <w:rsid w:val="00564323"/>
    <w:rsid w:val="00567077"/>
    <w:rsid w:val="005679BA"/>
    <w:rsid w:val="00567C06"/>
    <w:rsid w:val="00571877"/>
    <w:rsid w:val="0057264B"/>
    <w:rsid w:val="0057360B"/>
    <w:rsid w:val="0057389F"/>
    <w:rsid w:val="00573AA0"/>
    <w:rsid w:val="00574344"/>
    <w:rsid w:val="00574DA7"/>
    <w:rsid w:val="005762F1"/>
    <w:rsid w:val="00576519"/>
    <w:rsid w:val="00580784"/>
    <w:rsid w:val="00581EFD"/>
    <w:rsid w:val="00584666"/>
    <w:rsid w:val="00587C73"/>
    <w:rsid w:val="0059068A"/>
    <w:rsid w:val="005929EC"/>
    <w:rsid w:val="00592D0B"/>
    <w:rsid w:val="00593E2C"/>
    <w:rsid w:val="00594D4A"/>
    <w:rsid w:val="00594EFF"/>
    <w:rsid w:val="005976A4"/>
    <w:rsid w:val="00597F59"/>
    <w:rsid w:val="005A07C9"/>
    <w:rsid w:val="005A0BC0"/>
    <w:rsid w:val="005A321C"/>
    <w:rsid w:val="005A3A86"/>
    <w:rsid w:val="005A5153"/>
    <w:rsid w:val="005A535F"/>
    <w:rsid w:val="005A58BF"/>
    <w:rsid w:val="005A58D5"/>
    <w:rsid w:val="005A7DE2"/>
    <w:rsid w:val="005B0774"/>
    <w:rsid w:val="005B0CC6"/>
    <w:rsid w:val="005B2CB6"/>
    <w:rsid w:val="005B3778"/>
    <w:rsid w:val="005B5C4C"/>
    <w:rsid w:val="005B5DA5"/>
    <w:rsid w:val="005B6A37"/>
    <w:rsid w:val="005C08FB"/>
    <w:rsid w:val="005C2B3B"/>
    <w:rsid w:val="005C7514"/>
    <w:rsid w:val="005D0F75"/>
    <w:rsid w:val="005D522D"/>
    <w:rsid w:val="005D5750"/>
    <w:rsid w:val="005D5CD2"/>
    <w:rsid w:val="005D6ABE"/>
    <w:rsid w:val="005E0B60"/>
    <w:rsid w:val="005E0C1B"/>
    <w:rsid w:val="005E10B1"/>
    <w:rsid w:val="005E2CBE"/>
    <w:rsid w:val="005E2CD5"/>
    <w:rsid w:val="005E33D2"/>
    <w:rsid w:val="005E4A3D"/>
    <w:rsid w:val="005E58DE"/>
    <w:rsid w:val="005E598F"/>
    <w:rsid w:val="005E5B14"/>
    <w:rsid w:val="005E5DC3"/>
    <w:rsid w:val="005E66EA"/>
    <w:rsid w:val="005E6FC5"/>
    <w:rsid w:val="005E7117"/>
    <w:rsid w:val="005E7B91"/>
    <w:rsid w:val="005F464D"/>
    <w:rsid w:val="005F4B89"/>
    <w:rsid w:val="005F51E5"/>
    <w:rsid w:val="006000EE"/>
    <w:rsid w:val="006003A8"/>
    <w:rsid w:val="006003F6"/>
    <w:rsid w:val="00601E29"/>
    <w:rsid w:val="00602D61"/>
    <w:rsid w:val="00603A56"/>
    <w:rsid w:val="00603A84"/>
    <w:rsid w:val="006059FF"/>
    <w:rsid w:val="00607539"/>
    <w:rsid w:val="00607B32"/>
    <w:rsid w:val="006119FA"/>
    <w:rsid w:val="00615322"/>
    <w:rsid w:val="00615ED8"/>
    <w:rsid w:val="006201FE"/>
    <w:rsid w:val="00620922"/>
    <w:rsid w:val="00620D7E"/>
    <w:rsid w:val="00620FD2"/>
    <w:rsid w:val="00621201"/>
    <w:rsid w:val="00621688"/>
    <w:rsid w:val="006216FB"/>
    <w:rsid w:val="006223D8"/>
    <w:rsid w:val="00622D72"/>
    <w:rsid w:val="00623A1C"/>
    <w:rsid w:val="00624FBA"/>
    <w:rsid w:val="00627250"/>
    <w:rsid w:val="00632012"/>
    <w:rsid w:val="00633316"/>
    <w:rsid w:val="00637568"/>
    <w:rsid w:val="00637986"/>
    <w:rsid w:val="00640C3C"/>
    <w:rsid w:val="00641966"/>
    <w:rsid w:val="006432FF"/>
    <w:rsid w:val="00644BAC"/>
    <w:rsid w:val="00645138"/>
    <w:rsid w:val="00645708"/>
    <w:rsid w:val="00646832"/>
    <w:rsid w:val="00646A90"/>
    <w:rsid w:val="006475EE"/>
    <w:rsid w:val="00647774"/>
    <w:rsid w:val="00647877"/>
    <w:rsid w:val="00647AB5"/>
    <w:rsid w:val="00647D47"/>
    <w:rsid w:val="006518FF"/>
    <w:rsid w:val="006531B5"/>
    <w:rsid w:val="006538C5"/>
    <w:rsid w:val="006557EA"/>
    <w:rsid w:val="0065774E"/>
    <w:rsid w:val="00657B32"/>
    <w:rsid w:val="0066073A"/>
    <w:rsid w:val="00661A6C"/>
    <w:rsid w:val="006647B3"/>
    <w:rsid w:val="00665612"/>
    <w:rsid w:val="00665D47"/>
    <w:rsid w:val="00666F53"/>
    <w:rsid w:val="00667BD7"/>
    <w:rsid w:val="00670A13"/>
    <w:rsid w:val="00671B84"/>
    <w:rsid w:val="006749AB"/>
    <w:rsid w:val="00675B59"/>
    <w:rsid w:val="006769E3"/>
    <w:rsid w:val="0067741D"/>
    <w:rsid w:val="0068031B"/>
    <w:rsid w:val="00681388"/>
    <w:rsid w:val="00681EF4"/>
    <w:rsid w:val="00682557"/>
    <w:rsid w:val="0068286C"/>
    <w:rsid w:val="006839D7"/>
    <w:rsid w:val="00683E8B"/>
    <w:rsid w:val="0068405C"/>
    <w:rsid w:val="00684D8A"/>
    <w:rsid w:val="00685A53"/>
    <w:rsid w:val="00685B74"/>
    <w:rsid w:val="00686EAE"/>
    <w:rsid w:val="0068749B"/>
    <w:rsid w:val="0068789A"/>
    <w:rsid w:val="00687D2B"/>
    <w:rsid w:val="00690D23"/>
    <w:rsid w:val="006922FD"/>
    <w:rsid w:val="00694F2E"/>
    <w:rsid w:val="00696E41"/>
    <w:rsid w:val="00696E47"/>
    <w:rsid w:val="006A05C6"/>
    <w:rsid w:val="006A0B94"/>
    <w:rsid w:val="006A201F"/>
    <w:rsid w:val="006A3022"/>
    <w:rsid w:val="006A348B"/>
    <w:rsid w:val="006A3C0E"/>
    <w:rsid w:val="006A7413"/>
    <w:rsid w:val="006A75E9"/>
    <w:rsid w:val="006B070D"/>
    <w:rsid w:val="006B0C1F"/>
    <w:rsid w:val="006B190F"/>
    <w:rsid w:val="006B205F"/>
    <w:rsid w:val="006B22C8"/>
    <w:rsid w:val="006B4F15"/>
    <w:rsid w:val="006C0835"/>
    <w:rsid w:val="006C09CD"/>
    <w:rsid w:val="006C150D"/>
    <w:rsid w:val="006C29E6"/>
    <w:rsid w:val="006C302E"/>
    <w:rsid w:val="006C32DF"/>
    <w:rsid w:val="006C4911"/>
    <w:rsid w:val="006C66D8"/>
    <w:rsid w:val="006D432D"/>
    <w:rsid w:val="006D71DF"/>
    <w:rsid w:val="006E18BE"/>
    <w:rsid w:val="006E23A7"/>
    <w:rsid w:val="006E258B"/>
    <w:rsid w:val="006E4235"/>
    <w:rsid w:val="006E594B"/>
    <w:rsid w:val="006E63AB"/>
    <w:rsid w:val="006E6A3B"/>
    <w:rsid w:val="006E77F9"/>
    <w:rsid w:val="006F0C77"/>
    <w:rsid w:val="006F11DE"/>
    <w:rsid w:val="006F12E0"/>
    <w:rsid w:val="006F1D42"/>
    <w:rsid w:val="006F2167"/>
    <w:rsid w:val="006F228B"/>
    <w:rsid w:val="006F406C"/>
    <w:rsid w:val="006F4235"/>
    <w:rsid w:val="006F70AD"/>
    <w:rsid w:val="00700358"/>
    <w:rsid w:val="007010A6"/>
    <w:rsid w:val="007016E4"/>
    <w:rsid w:val="00701DC4"/>
    <w:rsid w:val="00703986"/>
    <w:rsid w:val="007058ED"/>
    <w:rsid w:val="00705D5F"/>
    <w:rsid w:val="007062C3"/>
    <w:rsid w:val="00706928"/>
    <w:rsid w:val="00706A84"/>
    <w:rsid w:val="007073A1"/>
    <w:rsid w:val="00710BC9"/>
    <w:rsid w:val="00711405"/>
    <w:rsid w:val="007118FC"/>
    <w:rsid w:val="00714B49"/>
    <w:rsid w:val="00715F47"/>
    <w:rsid w:val="00715F92"/>
    <w:rsid w:val="00716E8C"/>
    <w:rsid w:val="007172A8"/>
    <w:rsid w:val="00717E8F"/>
    <w:rsid w:val="007206ED"/>
    <w:rsid w:val="00720743"/>
    <w:rsid w:val="00721086"/>
    <w:rsid w:val="007227E7"/>
    <w:rsid w:val="00723D28"/>
    <w:rsid w:val="0072546F"/>
    <w:rsid w:val="007257ED"/>
    <w:rsid w:val="00726D16"/>
    <w:rsid w:val="0072758E"/>
    <w:rsid w:val="00730E00"/>
    <w:rsid w:val="00732774"/>
    <w:rsid w:val="00733526"/>
    <w:rsid w:val="00733880"/>
    <w:rsid w:val="00734872"/>
    <w:rsid w:val="00734A81"/>
    <w:rsid w:val="0073750F"/>
    <w:rsid w:val="00740CEE"/>
    <w:rsid w:val="007414AA"/>
    <w:rsid w:val="007417B7"/>
    <w:rsid w:val="00741B02"/>
    <w:rsid w:val="00742563"/>
    <w:rsid w:val="00742E83"/>
    <w:rsid w:val="00743778"/>
    <w:rsid w:val="00743AEC"/>
    <w:rsid w:val="0074476B"/>
    <w:rsid w:val="007451BF"/>
    <w:rsid w:val="00745653"/>
    <w:rsid w:val="00745BAB"/>
    <w:rsid w:val="0075127A"/>
    <w:rsid w:val="007512F1"/>
    <w:rsid w:val="00751441"/>
    <w:rsid w:val="007520EC"/>
    <w:rsid w:val="007522C5"/>
    <w:rsid w:val="007528A2"/>
    <w:rsid w:val="00753C0B"/>
    <w:rsid w:val="00754252"/>
    <w:rsid w:val="00755AEF"/>
    <w:rsid w:val="00756210"/>
    <w:rsid w:val="0075641C"/>
    <w:rsid w:val="00756C52"/>
    <w:rsid w:val="00757AC7"/>
    <w:rsid w:val="00757B5D"/>
    <w:rsid w:val="00761D97"/>
    <w:rsid w:val="00762142"/>
    <w:rsid w:val="007624C4"/>
    <w:rsid w:val="007628F6"/>
    <w:rsid w:val="00762C0F"/>
    <w:rsid w:val="00764012"/>
    <w:rsid w:val="00764C24"/>
    <w:rsid w:val="007654B9"/>
    <w:rsid w:val="007664B7"/>
    <w:rsid w:val="0076687A"/>
    <w:rsid w:val="00766B6D"/>
    <w:rsid w:val="007672EE"/>
    <w:rsid w:val="00767790"/>
    <w:rsid w:val="00771ED4"/>
    <w:rsid w:val="00772898"/>
    <w:rsid w:val="00772AF2"/>
    <w:rsid w:val="00773580"/>
    <w:rsid w:val="00773EAA"/>
    <w:rsid w:val="00773F98"/>
    <w:rsid w:val="007757BB"/>
    <w:rsid w:val="0077665F"/>
    <w:rsid w:val="00780523"/>
    <w:rsid w:val="00781BD9"/>
    <w:rsid w:val="00783627"/>
    <w:rsid w:val="0078400F"/>
    <w:rsid w:val="007843C0"/>
    <w:rsid w:val="0078464D"/>
    <w:rsid w:val="0078464E"/>
    <w:rsid w:val="00784AC9"/>
    <w:rsid w:val="007864D1"/>
    <w:rsid w:val="007875DA"/>
    <w:rsid w:val="007875EC"/>
    <w:rsid w:val="007877F8"/>
    <w:rsid w:val="00792579"/>
    <w:rsid w:val="007925E1"/>
    <w:rsid w:val="00793BC9"/>
    <w:rsid w:val="00794169"/>
    <w:rsid w:val="00795BDD"/>
    <w:rsid w:val="00797E7E"/>
    <w:rsid w:val="007A0A79"/>
    <w:rsid w:val="007A12BB"/>
    <w:rsid w:val="007A3B66"/>
    <w:rsid w:val="007A435C"/>
    <w:rsid w:val="007A57B7"/>
    <w:rsid w:val="007A7D44"/>
    <w:rsid w:val="007B0633"/>
    <w:rsid w:val="007B0A83"/>
    <w:rsid w:val="007B2266"/>
    <w:rsid w:val="007B2452"/>
    <w:rsid w:val="007B288B"/>
    <w:rsid w:val="007B5B91"/>
    <w:rsid w:val="007C041B"/>
    <w:rsid w:val="007C3ADD"/>
    <w:rsid w:val="007C3AF1"/>
    <w:rsid w:val="007C6DCE"/>
    <w:rsid w:val="007C74BC"/>
    <w:rsid w:val="007C7C08"/>
    <w:rsid w:val="007D0496"/>
    <w:rsid w:val="007D12E6"/>
    <w:rsid w:val="007D4B4D"/>
    <w:rsid w:val="007D4C66"/>
    <w:rsid w:val="007D5756"/>
    <w:rsid w:val="007D6E5E"/>
    <w:rsid w:val="007D7958"/>
    <w:rsid w:val="007D7A75"/>
    <w:rsid w:val="007D7D75"/>
    <w:rsid w:val="007E0246"/>
    <w:rsid w:val="007E034E"/>
    <w:rsid w:val="007E0DDD"/>
    <w:rsid w:val="007E0EB3"/>
    <w:rsid w:val="007E1D80"/>
    <w:rsid w:val="007E29B2"/>
    <w:rsid w:val="007E2E1B"/>
    <w:rsid w:val="007E3288"/>
    <w:rsid w:val="007E383D"/>
    <w:rsid w:val="007E658A"/>
    <w:rsid w:val="007F25BC"/>
    <w:rsid w:val="007F2DDB"/>
    <w:rsid w:val="007F3932"/>
    <w:rsid w:val="007F6289"/>
    <w:rsid w:val="007F643F"/>
    <w:rsid w:val="007F6A8F"/>
    <w:rsid w:val="00801151"/>
    <w:rsid w:val="008020F7"/>
    <w:rsid w:val="0080480D"/>
    <w:rsid w:val="00807278"/>
    <w:rsid w:val="00811635"/>
    <w:rsid w:val="0081201F"/>
    <w:rsid w:val="00813655"/>
    <w:rsid w:val="00814B31"/>
    <w:rsid w:val="00814DA8"/>
    <w:rsid w:val="00815577"/>
    <w:rsid w:val="00815618"/>
    <w:rsid w:val="00815D2F"/>
    <w:rsid w:val="00817E61"/>
    <w:rsid w:val="00817EB9"/>
    <w:rsid w:val="00820CA0"/>
    <w:rsid w:val="008217AC"/>
    <w:rsid w:val="00822A54"/>
    <w:rsid w:val="00823499"/>
    <w:rsid w:val="00824D9C"/>
    <w:rsid w:val="0082527E"/>
    <w:rsid w:val="00825FF6"/>
    <w:rsid w:val="008264CA"/>
    <w:rsid w:val="00826941"/>
    <w:rsid w:val="0083078C"/>
    <w:rsid w:val="00831814"/>
    <w:rsid w:val="008325F5"/>
    <w:rsid w:val="00833080"/>
    <w:rsid w:val="00833A75"/>
    <w:rsid w:val="00834A71"/>
    <w:rsid w:val="00835703"/>
    <w:rsid w:val="0083578A"/>
    <w:rsid w:val="00840A78"/>
    <w:rsid w:val="008410A8"/>
    <w:rsid w:val="008441C0"/>
    <w:rsid w:val="00845008"/>
    <w:rsid w:val="00846C06"/>
    <w:rsid w:val="0084713B"/>
    <w:rsid w:val="00850849"/>
    <w:rsid w:val="00851CC1"/>
    <w:rsid w:val="0085213D"/>
    <w:rsid w:val="008550D2"/>
    <w:rsid w:val="00855270"/>
    <w:rsid w:val="0085534F"/>
    <w:rsid w:val="00856D22"/>
    <w:rsid w:val="00860428"/>
    <w:rsid w:val="00861A32"/>
    <w:rsid w:val="00861D5A"/>
    <w:rsid w:val="00862D19"/>
    <w:rsid w:val="008631E1"/>
    <w:rsid w:val="00863F0D"/>
    <w:rsid w:val="00864BC2"/>
    <w:rsid w:val="00864F50"/>
    <w:rsid w:val="008655D7"/>
    <w:rsid w:val="00865842"/>
    <w:rsid w:val="00867758"/>
    <w:rsid w:val="008707FE"/>
    <w:rsid w:val="00870D9F"/>
    <w:rsid w:val="0087291E"/>
    <w:rsid w:val="00875301"/>
    <w:rsid w:val="008754AF"/>
    <w:rsid w:val="0087590B"/>
    <w:rsid w:val="00875B60"/>
    <w:rsid w:val="00875CE1"/>
    <w:rsid w:val="00876200"/>
    <w:rsid w:val="00877771"/>
    <w:rsid w:val="00882638"/>
    <w:rsid w:val="0088370F"/>
    <w:rsid w:val="00883929"/>
    <w:rsid w:val="00883A5D"/>
    <w:rsid w:val="008844C6"/>
    <w:rsid w:val="00887F00"/>
    <w:rsid w:val="0089149D"/>
    <w:rsid w:val="00892176"/>
    <w:rsid w:val="0089370B"/>
    <w:rsid w:val="00893D6A"/>
    <w:rsid w:val="008944D6"/>
    <w:rsid w:val="008977C2"/>
    <w:rsid w:val="008A0920"/>
    <w:rsid w:val="008A2507"/>
    <w:rsid w:val="008A4E1B"/>
    <w:rsid w:val="008A7784"/>
    <w:rsid w:val="008B0342"/>
    <w:rsid w:val="008B088A"/>
    <w:rsid w:val="008B0C19"/>
    <w:rsid w:val="008B17D6"/>
    <w:rsid w:val="008B280D"/>
    <w:rsid w:val="008B2BA0"/>
    <w:rsid w:val="008B395F"/>
    <w:rsid w:val="008B5A6A"/>
    <w:rsid w:val="008C13CA"/>
    <w:rsid w:val="008C1441"/>
    <w:rsid w:val="008C15D7"/>
    <w:rsid w:val="008C213F"/>
    <w:rsid w:val="008C2F0E"/>
    <w:rsid w:val="008C3829"/>
    <w:rsid w:val="008C38B2"/>
    <w:rsid w:val="008C4707"/>
    <w:rsid w:val="008C4799"/>
    <w:rsid w:val="008C4F4B"/>
    <w:rsid w:val="008C5FC0"/>
    <w:rsid w:val="008C7C02"/>
    <w:rsid w:val="008C7F9B"/>
    <w:rsid w:val="008D01EA"/>
    <w:rsid w:val="008D13A2"/>
    <w:rsid w:val="008D17E0"/>
    <w:rsid w:val="008D19E1"/>
    <w:rsid w:val="008D4894"/>
    <w:rsid w:val="008D4EF0"/>
    <w:rsid w:val="008E06F5"/>
    <w:rsid w:val="008E13AB"/>
    <w:rsid w:val="008E251E"/>
    <w:rsid w:val="008E2A56"/>
    <w:rsid w:val="008E308F"/>
    <w:rsid w:val="008E4270"/>
    <w:rsid w:val="008E4538"/>
    <w:rsid w:val="008E63FE"/>
    <w:rsid w:val="008E6DF3"/>
    <w:rsid w:val="008E6FBE"/>
    <w:rsid w:val="008E7556"/>
    <w:rsid w:val="008F1487"/>
    <w:rsid w:val="008F1B8F"/>
    <w:rsid w:val="008F3ED3"/>
    <w:rsid w:val="008F42D0"/>
    <w:rsid w:val="008F53CA"/>
    <w:rsid w:val="008F648B"/>
    <w:rsid w:val="008F6A4A"/>
    <w:rsid w:val="008F731D"/>
    <w:rsid w:val="00900AF9"/>
    <w:rsid w:val="00901868"/>
    <w:rsid w:val="00903279"/>
    <w:rsid w:val="00904227"/>
    <w:rsid w:val="00911858"/>
    <w:rsid w:val="0091193D"/>
    <w:rsid w:val="00911CC0"/>
    <w:rsid w:val="009135FC"/>
    <w:rsid w:val="009156B3"/>
    <w:rsid w:val="00915A9D"/>
    <w:rsid w:val="009172DD"/>
    <w:rsid w:val="0092127B"/>
    <w:rsid w:val="00921BF0"/>
    <w:rsid w:val="00923C47"/>
    <w:rsid w:val="0092428B"/>
    <w:rsid w:val="00925B9B"/>
    <w:rsid w:val="00926076"/>
    <w:rsid w:val="00926DFF"/>
    <w:rsid w:val="009301CA"/>
    <w:rsid w:val="00930B6B"/>
    <w:rsid w:val="00930E63"/>
    <w:rsid w:val="00931107"/>
    <w:rsid w:val="00934B3C"/>
    <w:rsid w:val="00935A00"/>
    <w:rsid w:val="009366C1"/>
    <w:rsid w:val="0093718F"/>
    <w:rsid w:val="00940FFA"/>
    <w:rsid w:val="00941212"/>
    <w:rsid w:val="009412CA"/>
    <w:rsid w:val="00942350"/>
    <w:rsid w:val="00943E76"/>
    <w:rsid w:val="009455D0"/>
    <w:rsid w:val="009503FB"/>
    <w:rsid w:val="00950CD2"/>
    <w:rsid w:val="00952C4A"/>
    <w:rsid w:val="00955CBC"/>
    <w:rsid w:val="00956619"/>
    <w:rsid w:val="0095705D"/>
    <w:rsid w:val="0096079F"/>
    <w:rsid w:val="009612C6"/>
    <w:rsid w:val="00961C45"/>
    <w:rsid w:val="00961F74"/>
    <w:rsid w:val="00962BF0"/>
    <w:rsid w:val="00964223"/>
    <w:rsid w:val="0096644A"/>
    <w:rsid w:val="00970671"/>
    <w:rsid w:val="00974066"/>
    <w:rsid w:val="00975398"/>
    <w:rsid w:val="009775A6"/>
    <w:rsid w:val="0097762C"/>
    <w:rsid w:val="009805EC"/>
    <w:rsid w:val="00982AB0"/>
    <w:rsid w:val="00982CAC"/>
    <w:rsid w:val="0098317A"/>
    <w:rsid w:val="00984948"/>
    <w:rsid w:val="00987FE7"/>
    <w:rsid w:val="009904B1"/>
    <w:rsid w:val="00990BA7"/>
    <w:rsid w:val="00992002"/>
    <w:rsid w:val="0099357A"/>
    <w:rsid w:val="00993B63"/>
    <w:rsid w:val="00993E36"/>
    <w:rsid w:val="00994767"/>
    <w:rsid w:val="00994CB7"/>
    <w:rsid w:val="009A2B81"/>
    <w:rsid w:val="009A6887"/>
    <w:rsid w:val="009B0F23"/>
    <w:rsid w:val="009B2D3D"/>
    <w:rsid w:val="009B40D8"/>
    <w:rsid w:val="009B42EB"/>
    <w:rsid w:val="009B4419"/>
    <w:rsid w:val="009B51B8"/>
    <w:rsid w:val="009B6DB8"/>
    <w:rsid w:val="009B74AE"/>
    <w:rsid w:val="009B7950"/>
    <w:rsid w:val="009C346F"/>
    <w:rsid w:val="009C45AE"/>
    <w:rsid w:val="009C4BE9"/>
    <w:rsid w:val="009C4DDC"/>
    <w:rsid w:val="009C5096"/>
    <w:rsid w:val="009C56E0"/>
    <w:rsid w:val="009C64B1"/>
    <w:rsid w:val="009D018A"/>
    <w:rsid w:val="009D1C91"/>
    <w:rsid w:val="009D1F39"/>
    <w:rsid w:val="009D2F16"/>
    <w:rsid w:val="009D34AD"/>
    <w:rsid w:val="009D3DA2"/>
    <w:rsid w:val="009D4EBC"/>
    <w:rsid w:val="009D620A"/>
    <w:rsid w:val="009D6D42"/>
    <w:rsid w:val="009E1571"/>
    <w:rsid w:val="009E17E1"/>
    <w:rsid w:val="009E36E1"/>
    <w:rsid w:val="009E38AA"/>
    <w:rsid w:val="009E3B1D"/>
    <w:rsid w:val="009E480D"/>
    <w:rsid w:val="009E589B"/>
    <w:rsid w:val="009E5C7A"/>
    <w:rsid w:val="009E61A5"/>
    <w:rsid w:val="009E7C82"/>
    <w:rsid w:val="009F03F1"/>
    <w:rsid w:val="009F2668"/>
    <w:rsid w:val="009F3696"/>
    <w:rsid w:val="009F5329"/>
    <w:rsid w:val="009F5768"/>
    <w:rsid w:val="009F60A8"/>
    <w:rsid w:val="009F67D8"/>
    <w:rsid w:val="009F7A04"/>
    <w:rsid w:val="00A00539"/>
    <w:rsid w:val="00A01A4A"/>
    <w:rsid w:val="00A01D86"/>
    <w:rsid w:val="00A02655"/>
    <w:rsid w:val="00A027D0"/>
    <w:rsid w:val="00A048CE"/>
    <w:rsid w:val="00A0509D"/>
    <w:rsid w:val="00A13AE4"/>
    <w:rsid w:val="00A143F2"/>
    <w:rsid w:val="00A14E99"/>
    <w:rsid w:val="00A14ECF"/>
    <w:rsid w:val="00A15ABD"/>
    <w:rsid w:val="00A175F3"/>
    <w:rsid w:val="00A1763C"/>
    <w:rsid w:val="00A17995"/>
    <w:rsid w:val="00A20BCF"/>
    <w:rsid w:val="00A22517"/>
    <w:rsid w:val="00A229A1"/>
    <w:rsid w:val="00A23327"/>
    <w:rsid w:val="00A247E4"/>
    <w:rsid w:val="00A24F70"/>
    <w:rsid w:val="00A264DE"/>
    <w:rsid w:val="00A27926"/>
    <w:rsid w:val="00A308D2"/>
    <w:rsid w:val="00A3152A"/>
    <w:rsid w:val="00A31C06"/>
    <w:rsid w:val="00A31E3D"/>
    <w:rsid w:val="00A329D5"/>
    <w:rsid w:val="00A32E3E"/>
    <w:rsid w:val="00A33AD0"/>
    <w:rsid w:val="00A34BCB"/>
    <w:rsid w:val="00A350DC"/>
    <w:rsid w:val="00A351ED"/>
    <w:rsid w:val="00A35306"/>
    <w:rsid w:val="00A35619"/>
    <w:rsid w:val="00A365BD"/>
    <w:rsid w:val="00A373D7"/>
    <w:rsid w:val="00A375EE"/>
    <w:rsid w:val="00A4093F"/>
    <w:rsid w:val="00A42211"/>
    <w:rsid w:val="00A44493"/>
    <w:rsid w:val="00A452D5"/>
    <w:rsid w:val="00A4532E"/>
    <w:rsid w:val="00A4556A"/>
    <w:rsid w:val="00A504C3"/>
    <w:rsid w:val="00A50D4E"/>
    <w:rsid w:val="00A50D65"/>
    <w:rsid w:val="00A51076"/>
    <w:rsid w:val="00A510BF"/>
    <w:rsid w:val="00A51AF1"/>
    <w:rsid w:val="00A51F13"/>
    <w:rsid w:val="00A52D16"/>
    <w:rsid w:val="00A52EF2"/>
    <w:rsid w:val="00A549A0"/>
    <w:rsid w:val="00A54F75"/>
    <w:rsid w:val="00A55433"/>
    <w:rsid w:val="00A602C5"/>
    <w:rsid w:val="00A60E5C"/>
    <w:rsid w:val="00A62D49"/>
    <w:rsid w:val="00A641D9"/>
    <w:rsid w:val="00A651B8"/>
    <w:rsid w:val="00A65D73"/>
    <w:rsid w:val="00A66975"/>
    <w:rsid w:val="00A66AE5"/>
    <w:rsid w:val="00A75F08"/>
    <w:rsid w:val="00A76186"/>
    <w:rsid w:val="00A80DB4"/>
    <w:rsid w:val="00A81AE4"/>
    <w:rsid w:val="00A8242B"/>
    <w:rsid w:val="00A835F7"/>
    <w:rsid w:val="00A84800"/>
    <w:rsid w:val="00A86030"/>
    <w:rsid w:val="00A86594"/>
    <w:rsid w:val="00A8786C"/>
    <w:rsid w:val="00A91C37"/>
    <w:rsid w:val="00A9203B"/>
    <w:rsid w:val="00A922CF"/>
    <w:rsid w:val="00A92D43"/>
    <w:rsid w:val="00A931D8"/>
    <w:rsid w:val="00A9358F"/>
    <w:rsid w:val="00A949A6"/>
    <w:rsid w:val="00A94F1F"/>
    <w:rsid w:val="00A953E7"/>
    <w:rsid w:val="00A955A4"/>
    <w:rsid w:val="00A972F9"/>
    <w:rsid w:val="00AA0451"/>
    <w:rsid w:val="00AA2408"/>
    <w:rsid w:val="00AA29A8"/>
    <w:rsid w:val="00AA3781"/>
    <w:rsid w:val="00AA3C24"/>
    <w:rsid w:val="00AA4FEE"/>
    <w:rsid w:val="00AA6128"/>
    <w:rsid w:val="00AA6904"/>
    <w:rsid w:val="00AA7310"/>
    <w:rsid w:val="00AB038B"/>
    <w:rsid w:val="00AB03EE"/>
    <w:rsid w:val="00AB2434"/>
    <w:rsid w:val="00AB2908"/>
    <w:rsid w:val="00AB290E"/>
    <w:rsid w:val="00AB2DAB"/>
    <w:rsid w:val="00AB4670"/>
    <w:rsid w:val="00AB4B0C"/>
    <w:rsid w:val="00AB4E30"/>
    <w:rsid w:val="00AB5E03"/>
    <w:rsid w:val="00AB6382"/>
    <w:rsid w:val="00AB6D8B"/>
    <w:rsid w:val="00AB7337"/>
    <w:rsid w:val="00AC03FD"/>
    <w:rsid w:val="00AC070E"/>
    <w:rsid w:val="00AC1215"/>
    <w:rsid w:val="00AC4ADC"/>
    <w:rsid w:val="00AC4E57"/>
    <w:rsid w:val="00AC63B4"/>
    <w:rsid w:val="00AC72B7"/>
    <w:rsid w:val="00AD0939"/>
    <w:rsid w:val="00AD0A61"/>
    <w:rsid w:val="00AD20E3"/>
    <w:rsid w:val="00AD4833"/>
    <w:rsid w:val="00AD594D"/>
    <w:rsid w:val="00AD7BAB"/>
    <w:rsid w:val="00AE2200"/>
    <w:rsid w:val="00AE3ABC"/>
    <w:rsid w:val="00AE41E0"/>
    <w:rsid w:val="00AE437B"/>
    <w:rsid w:val="00AE6F5D"/>
    <w:rsid w:val="00AE7511"/>
    <w:rsid w:val="00AF0BA5"/>
    <w:rsid w:val="00AF2814"/>
    <w:rsid w:val="00AF3662"/>
    <w:rsid w:val="00AF3D1A"/>
    <w:rsid w:val="00AF3E02"/>
    <w:rsid w:val="00AF4061"/>
    <w:rsid w:val="00AF54B8"/>
    <w:rsid w:val="00AF6447"/>
    <w:rsid w:val="00AF76E1"/>
    <w:rsid w:val="00B00F95"/>
    <w:rsid w:val="00B01DD3"/>
    <w:rsid w:val="00B04577"/>
    <w:rsid w:val="00B04D93"/>
    <w:rsid w:val="00B14BA5"/>
    <w:rsid w:val="00B152C0"/>
    <w:rsid w:val="00B15A67"/>
    <w:rsid w:val="00B1718E"/>
    <w:rsid w:val="00B17E61"/>
    <w:rsid w:val="00B200C3"/>
    <w:rsid w:val="00B21A6E"/>
    <w:rsid w:val="00B2323E"/>
    <w:rsid w:val="00B236F5"/>
    <w:rsid w:val="00B239DD"/>
    <w:rsid w:val="00B24F04"/>
    <w:rsid w:val="00B257CC"/>
    <w:rsid w:val="00B258A8"/>
    <w:rsid w:val="00B25955"/>
    <w:rsid w:val="00B25C73"/>
    <w:rsid w:val="00B25F49"/>
    <w:rsid w:val="00B27792"/>
    <w:rsid w:val="00B31FDB"/>
    <w:rsid w:val="00B331FD"/>
    <w:rsid w:val="00B357B6"/>
    <w:rsid w:val="00B3606C"/>
    <w:rsid w:val="00B36429"/>
    <w:rsid w:val="00B37518"/>
    <w:rsid w:val="00B376B3"/>
    <w:rsid w:val="00B404F6"/>
    <w:rsid w:val="00B409CE"/>
    <w:rsid w:val="00B41AF3"/>
    <w:rsid w:val="00B41B0D"/>
    <w:rsid w:val="00B44449"/>
    <w:rsid w:val="00B454AB"/>
    <w:rsid w:val="00B505FB"/>
    <w:rsid w:val="00B50FD0"/>
    <w:rsid w:val="00B517FC"/>
    <w:rsid w:val="00B528D8"/>
    <w:rsid w:val="00B52D7B"/>
    <w:rsid w:val="00B539C5"/>
    <w:rsid w:val="00B54421"/>
    <w:rsid w:val="00B54CD4"/>
    <w:rsid w:val="00B55370"/>
    <w:rsid w:val="00B55942"/>
    <w:rsid w:val="00B55A04"/>
    <w:rsid w:val="00B56739"/>
    <w:rsid w:val="00B56834"/>
    <w:rsid w:val="00B56A59"/>
    <w:rsid w:val="00B56BE8"/>
    <w:rsid w:val="00B56E48"/>
    <w:rsid w:val="00B57788"/>
    <w:rsid w:val="00B6158A"/>
    <w:rsid w:val="00B63F86"/>
    <w:rsid w:val="00B64299"/>
    <w:rsid w:val="00B64595"/>
    <w:rsid w:val="00B64EC1"/>
    <w:rsid w:val="00B6683C"/>
    <w:rsid w:val="00B71518"/>
    <w:rsid w:val="00B71EB5"/>
    <w:rsid w:val="00B7245D"/>
    <w:rsid w:val="00B76612"/>
    <w:rsid w:val="00B77FF7"/>
    <w:rsid w:val="00B80E7E"/>
    <w:rsid w:val="00B82957"/>
    <w:rsid w:val="00B83139"/>
    <w:rsid w:val="00B8325C"/>
    <w:rsid w:val="00B838DD"/>
    <w:rsid w:val="00B83D25"/>
    <w:rsid w:val="00B83E71"/>
    <w:rsid w:val="00B84494"/>
    <w:rsid w:val="00B84C3B"/>
    <w:rsid w:val="00B8535D"/>
    <w:rsid w:val="00B86C25"/>
    <w:rsid w:val="00B875BA"/>
    <w:rsid w:val="00B87AD6"/>
    <w:rsid w:val="00B930D3"/>
    <w:rsid w:val="00B93165"/>
    <w:rsid w:val="00B93FCF"/>
    <w:rsid w:val="00B94A34"/>
    <w:rsid w:val="00BA1BC0"/>
    <w:rsid w:val="00BA1D38"/>
    <w:rsid w:val="00BA303C"/>
    <w:rsid w:val="00BA415A"/>
    <w:rsid w:val="00BA44C2"/>
    <w:rsid w:val="00BA461D"/>
    <w:rsid w:val="00BA48EF"/>
    <w:rsid w:val="00BA4A72"/>
    <w:rsid w:val="00BA51CE"/>
    <w:rsid w:val="00BA7914"/>
    <w:rsid w:val="00BB0E26"/>
    <w:rsid w:val="00BB14FE"/>
    <w:rsid w:val="00BB1613"/>
    <w:rsid w:val="00BB2864"/>
    <w:rsid w:val="00BB350B"/>
    <w:rsid w:val="00BB5E4F"/>
    <w:rsid w:val="00BB5EA5"/>
    <w:rsid w:val="00BB6659"/>
    <w:rsid w:val="00BB6E89"/>
    <w:rsid w:val="00BB7D6F"/>
    <w:rsid w:val="00BC0F33"/>
    <w:rsid w:val="00BC17CE"/>
    <w:rsid w:val="00BC280A"/>
    <w:rsid w:val="00BC31FC"/>
    <w:rsid w:val="00BC34CD"/>
    <w:rsid w:val="00BC45BF"/>
    <w:rsid w:val="00BC47A2"/>
    <w:rsid w:val="00BC4C35"/>
    <w:rsid w:val="00BC680A"/>
    <w:rsid w:val="00BC70A5"/>
    <w:rsid w:val="00BC753D"/>
    <w:rsid w:val="00BC7DA3"/>
    <w:rsid w:val="00BD106F"/>
    <w:rsid w:val="00BD23BD"/>
    <w:rsid w:val="00BD2933"/>
    <w:rsid w:val="00BD2E0B"/>
    <w:rsid w:val="00BD334B"/>
    <w:rsid w:val="00BD38EF"/>
    <w:rsid w:val="00BD43ED"/>
    <w:rsid w:val="00BD4CB5"/>
    <w:rsid w:val="00BD4E2F"/>
    <w:rsid w:val="00BD53A0"/>
    <w:rsid w:val="00BD5450"/>
    <w:rsid w:val="00BD5EFA"/>
    <w:rsid w:val="00BD7A39"/>
    <w:rsid w:val="00BE25C8"/>
    <w:rsid w:val="00BF0A3E"/>
    <w:rsid w:val="00BF301F"/>
    <w:rsid w:val="00BF3154"/>
    <w:rsid w:val="00BF3A28"/>
    <w:rsid w:val="00BF6AB7"/>
    <w:rsid w:val="00C00945"/>
    <w:rsid w:val="00C03221"/>
    <w:rsid w:val="00C05373"/>
    <w:rsid w:val="00C05860"/>
    <w:rsid w:val="00C05BAF"/>
    <w:rsid w:val="00C067F7"/>
    <w:rsid w:val="00C07A5E"/>
    <w:rsid w:val="00C10C5D"/>
    <w:rsid w:val="00C1278F"/>
    <w:rsid w:val="00C140AB"/>
    <w:rsid w:val="00C1725B"/>
    <w:rsid w:val="00C210FB"/>
    <w:rsid w:val="00C22AEA"/>
    <w:rsid w:val="00C231ED"/>
    <w:rsid w:val="00C23B27"/>
    <w:rsid w:val="00C23B9C"/>
    <w:rsid w:val="00C2578E"/>
    <w:rsid w:val="00C2599C"/>
    <w:rsid w:val="00C26E4E"/>
    <w:rsid w:val="00C27438"/>
    <w:rsid w:val="00C275BE"/>
    <w:rsid w:val="00C276DD"/>
    <w:rsid w:val="00C32018"/>
    <w:rsid w:val="00C32FC4"/>
    <w:rsid w:val="00C33422"/>
    <w:rsid w:val="00C346A1"/>
    <w:rsid w:val="00C34D03"/>
    <w:rsid w:val="00C34DB2"/>
    <w:rsid w:val="00C35038"/>
    <w:rsid w:val="00C35296"/>
    <w:rsid w:val="00C352F8"/>
    <w:rsid w:val="00C373D7"/>
    <w:rsid w:val="00C375FF"/>
    <w:rsid w:val="00C37605"/>
    <w:rsid w:val="00C37892"/>
    <w:rsid w:val="00C4064B"/>
    <w:rsid w:val="00C40732"/>
    <w:rsid w:val="00C40EA2"/>
    <w:rsid w:val="00C41392"/>
    <w:rsid w:val="00C41C10"/>
    <w:rsid w:val="00C421A0"/>
    <w:rsid w:val="00C45985"/>
    <w:rsid w:val="00C4694B"/>
    <w:rsid w:val="00C46A8A"/>
    <w:rsid w:val="00C47049"/>
    <w:rsid w:val="00C47375"/>
    <w:rsid w:val="00C4767B"/>
    <w:rsid w:val="00C51218"/>
    <w:rsid w:val="00C5211A"/>
    <w:rsid w:val="00C52EC9"/>
    <w:rsid w:val="00C556F2"/>
    <w:rsid w:val="00C55A3E"/>
    <w:rsid w:val="00C55F43"/>
    <w:rsid w:val="00C575E0"/>
    <w:rsid w:val="00C57E39"/>
    <w:rsid w:val="00C604C1"/>
    <w:rsid w:val="00C613EC"/>
    <w:rsid w:val="00C62B4C"/>
    <w:rsid w:val="00C62C4D"/>
    <w:rsid w:val="00C62E7C"/>
    <w:rsid w:val="00C65C84"/>
    <w:rsid w:val="00C67290"/>
    <w:rsid w:val="00C67D6F"/>
    <w:rsid w:val="00C67DE0"/>
    <w:rsid w:val="00C71729"/>
    <w:rsid w:val="00C7187E"/>
    <w:rsid w:val="00C71BB8"/>
    <w:rsid w:val="00C73E0A"/>
    <w:rsid w:val="00C73FDE"/>
    <w:rsid w:val="00C748E3"/>
    <w:rsid w:val="00C74DBD"/>
    <w:rsid w:val="00C75037"/>
    <w:rsid w:val="00C77993"/>
    <w:rsid w:val="00C77EA5"/>
    <w:rsid w:val="00C80E6D"/>
    <w:rsid w:val="00C80F66"/>
    <w:rsid w:val="00C814E4"/>
    <w:rsid w:val="00C81894"/>
    <w:rsid w:val="00C82AB1"/>
    <w:rsid w:val="00C83041"/>
    <w:rsid w:val="00C849F9"/>
    <w:rsid w:val="00C876E9"/>
    <w:rsid w:val="00C90BE1"/>
    <w:rsid w:val="00C914FD"/>
    <w:rsid w:val="00C91AB1"/>
    <w:rsid w:val="00C91ACA"/>
    <w:rsid w:val="00C92136"/>
    <w:rsid w:val="00C92232"/>
    <w:rsid w:val="00C92EE8"/>
    <w:rsid w:val="00C933C9"/>
    <w:rsid w:val="00C933CB"/>
    <w:rsid w:val="00C935D3"/>
    <w:rsid w:val="00C93A52"/>
    <w:rsid w:val="00C94EC4"/>
    <w:rsid w:val="00C9565E"/>
    <w:rsid w:val="00C97FFB"/>
    <w:rsid w:val="00CA1CFB"/>
    <w:rsid w:val="00CA1E0E"/>
    <w:rsid w:val="00CA214D"/>
    <w:rsid w:val="00CA4B1E"/>
    <w:rsid w:val="00CA5459"/>
    <w:rsid w:val="00CA5D28"/>
    <w:rsid w:val="00CA7F50"/>
    <w:rsid w:val="00CB06E3"/>
    <w:rsid w:val="00CB1BEB"/>
    <w:rsid w:val="00CB2482"/>
    <w:rsid w:val="00CB2B0A"/>
    <w:rsid w:val="00CB3561"/>
    <w:rsid w:val="00CB37DB"/>
    <w:rsid w:val="00CB48BC"/>
    <w:rsid w:val="00CB4E3B"/>
    <w:rsid w:val="00CB6B49"/>
    <w:rsid w:val="00CC20F8"/>
    <w:rsid w:val="00CC2832"/>
    <w:rsid w:val="00CC3A2B"/>
    <w:rsid w:val="00CC426D"/>
    <w:rsid w:val="00CC65C0"/>
    <w:rsid w:val="00CC6B50"/>
    <w:rsid w:val="00CC7D24"/>
    <w:rsid w:val="00CD0137"/>
    <w:rsid w:val="00CD0A97"/>
    <w:rsid w:val="00CD2118"/>
    <w:rsid w:val="00CD5739"/>
    <w:rsid w:val="00CD5AAA"/>
    <w:rsid w:val="00CD6322"/>
    <w:rsid w:val="00CD6E9A"/>
    <w:rsid w:val="00CD73FE"/>
    <w:rsid w:val="00CD7E03"/>
    <w:rsid w:val="00CE1022"/>
    <w:rsid w:val="00CE42F2"/>
    <w:rsid w:val="00CE6171"/>
    <w:rsid w:val="00CE647E"/>
    <w:rsid w:val="00CE6D3D"/>
    <w:rsid w:val="00CE76CC"/>
    <w:rsid w:val="00CF0054"/>
    <w:rsid w:val="00CF4079"/>
    <w:rsid w:val="00CF4560"/>
    <w:rsid w:val="00CF5B8F"/>
    <w:rsid w:val="00D00416"/>
    <w:rsid w:val="00D007B4"/>
    <w:rsid w:val="00D02F50"/>
    <w:rsid w:val="00D03FC6"/>
    <w:rsid w:val="00D05778"/>
    <w:rsid w:val="00D05D57"/>
    <w:rsid w:val="00D06A58"/>
    <w:rsid w:val="00D06EB2"/>
    <w:rsid w:val="00D07626"/>
    <w:rsid w:val="00D100A6"/>
    <w:rsid w:val="00D11C74"/>
    <w:rsid w:val="00D13104"/>
    <w:rsid w:val="00D139F3"/>
    <w:rsid w:val="00D14C41"/>
    <w:rsid w:val="00D14C5C"/>
    <w:rsid w:val="00D22A74"/>
    <w:rsid w:val="00D233FD"/>
    <w:rsid w:val="00D240CE"/>
    <w:rsid w:val="00D24CFA"/>
    <w:rsid w:val="00D24EFE"/>
    <w:rsid w:val="00D3086E"/>
    <w:rsid w:val="00D3199D"/>
    <w:rsid w:val="00D31D69"/>
    <w:rsid w:val="00D328DB"/>
    <w:rsid w:val="00D32E37"/>
    <w:rsid w:val="00D337CB"/>
    <w:rsid w:val="00D34666"/>
    <w:rsid w:val="00D35C16"/>
    <w:rsid w:val="00D36976"/>
    <w:rsid w:val="00D37F4F"/>
    <w:rsid w:val="00D420B1"/>
    <w:rsid w:val="00D42500"/>
    <w:rsid w:val="00D42AB4"/>
    <w:rsid w:val="00D44784"/>
    <w:rsid w:val="00D46D53"/>
    <w:rsid w:val="00D475C5"/>
    <w:rsid w:val="00D52B52"/>
    <w:rsid w:val="00D52C68"/>
    <w:rsid w:val="00D52E53"/>
    <w:rsid w:val="00D54169"/>
    <w:rsid w:val="00D55B65"/>
    <w:rsid w:val="00D576EA"/>
    <w:rsid w:val="00D57ABD"/>
    <w:rsid w:val="00D60366"/>
    <w:rsid w:val="00D62213"/>
    <w:rsid w:val="00D6381D"/>
    <w:rsid w:val="00D67982"/>
    <w:rsid w:val="00D71173"/>
    <w:rsid w:val="00D71E92"/>
    <w:rsid w:val="00D72780"/>
    <w:rsid w:val="00D75B55"/>
    <w:rsid w:val="00D770BE"/>
    <w:rsid w:val="00D8008F"/>
    <w:rsid w:val="00D801A9"/>
    <w:rsid w:val="00D80C27"/>
    <w:rsid w:val="00D81B07"/>
    <w:rsid w:val="00D82336"/>
    <w:rsid w:val="00D832BF"/>
    <w:rsid w:val="00D84C20"/>
    <w:rsid w:val="00D84DC2"/>
    <w:rsid w:val="00D85A0A"/>
    <w:rsid w:val="00D85AAF"/>
    <w:rsid w:val="00D85B23"/>
    <w:rsid w:val="00D87E40"/>
    <w:rsid w:val="00D90027"/>
    <w:rsid w:val="00D9033E"/>
    <w:rsid w:val="00D924EA"/>
    <w:rsid w:val="00D929F1"/>
    <w:rsid w:val="00D92C30"/>
    <w:rsid w:val="00D939E7"/>
    <w:rsid w:val="00D93C37"/>
    <w:rsid w:val="00D93F55"/>
    <w:rsid w:val="00D954D7"/>
    <w:rsid w:val="00D957FD"/>
    <w:rsid w:val="00D96370"/>
    <w:rsid w:val="00D97351"/>
    <w:rsid w:val="00D97540"/>
    <w:rsid w:val="00DA0892"/>
    <w:rsid w:val="00DA1D23"/>
    <w:rsid w:val="00DA3213"/>
    <w:rsid w:val="00DA4E0C"/>
    <w:rsid w:val="00DA5917"/>
    <w:rsid w:val="00DA7A34"/>
    <w:rsid w:val="00DB03EC"/>
    <w:rsid w:val="00DB05E5"/>
    <w:rsid w:val="00DB084B"/>
    <w:rsid w:val="00DB1256"/>
    <w:rsid w:val="00DB1396"/>
    <w:rsid w:val="00DB191E"/>
    <w:rsid w:val="00DB1FE7"/>
    <w:rsid w:val="00DB4BDE"/>
    <w:rsid w:val="00DB4D17"/>
    <w:rsid w:val="00DB4DC9"/>
    <w:rsid w:val="00DB5EE7"/>
    <w:rsid w:val="00DB621E"/>
    <w:rsid w:val="00DB6399"/>
    <w:rsid w:val="00DB75A5"/>
    <w:rsid w:val="00DB7CB2"/>
    <w:rsid w:val="00DC02D8"/>
    <w:rsid w:val="00DC16FA"/>
    <w:rsid w:val="00DC2996"/>
    <w:rsid w:val="00DC4925"/>
    <w:rsid w:val="00DC4B07"/>
    <w:rsid w:val="00DC5526"/>
    <w:rsid w:val="00DC63BE"/>
    <w:rsid w:val="00DC748A"/>
    <w:rsid w:val="00DC7B29"/>
    <w:rsid w:val="00DD073D"/>
    <w:rsid w:val="00DD1831"/>
    <w:rsid w:val="00DD2162"/>
    <w:rsid w:val="00DD2CEB"/>
    <w:rsid w:val="00DD435F"/>
    <w:rsid w:val="00DD79C6"/>
    <w:rsid w:val="00DE0256"/>
    <w:rsid w:val="00DE1DC3"/>
    <w:rsid w:val="00DE1DDD"/>
    <w:rsid w:val="00DE25BD"/>
    <w:rsid w:val="00DE27C9"/>
    <w:rsid w:val="00DE2EB5"/>
    <w:rsid w:val="00DE4074"/>
    <w:rsid w:val="00DE4869"/>
    <w:rsid w:val="00DE488F"/>
    <w:rsid w:val="00DE55BC"/>
    <w:rsid w:val="00DF0219"/>
    <w:rsid w:val="00DF14D1"/>
    <w:rsid w:val="00DF1F68"/>
    <w:rsid w:val="00DF2747"/>
    <w:rsid w:val="00DF2E1E"/>
    <w:rsid w:val="00DF3596"/>
    <w:rsid w:val="00DF45EE"/>
    <w:rsid w:val="00DF5442"/>
    <w:rsid w:val="00DF5B2F"/>
    <w:rsid w:val="00DF5FA2"/>
    <w:rsid w:val="00DF6315"/>
    <w:rsid w:val="00DF64C9"/>
    <w:rsid w:val="00DF70FE"/>
    <w:rsid w:val="00DF7EF8"/>
    <w:rsid w:val="00E0226B"/>
    <w:rsid w:val="00E02A80"/>
    <w:rsid w:val="00E03ED1"/>
    <w:rsid w:val="00E04B51"/>
    <w:rsid w:val="00E04E15"/>
    <w:rsid w:val="00E05690"/>
    <w:rsid w:val="00E05CB9"/>
    <w:rsid w:val="00E07B28"/>
    <w:rsid w:val="00E10A22"/>
    <w:rsid w:val="00E12750"/>
    <w:rsid w:val="00E14ABA"/>
    <w:rsid w:val="00E20DE6"/>
    <w:rsid w:val="00E21184"/>
    <w:rsid w:val="00E220AB"/>
    <w:rsid w:val="00E232F5"/>
    <w:rsid w:val="00E23655"/>
    <w:rsid w:val="00E25D34"/>
    <w:rsid w:val="00E25F39"/>
    <w:rsid w:val="00E26BE6"/>
    <w:rsid w:val="00E30090"/>
    <w:rsid w:val="00E3156C"/>
    <w:rsid w:val="00E315F0"/>
    <w:rsid w:val="00E32248"/>
    <w:rsid w:val="00E328E0"/>
    <w:rsid w:val="00E32E75"/>
    <w:rsid w:val="00E33840"/>
    <w:rsid w:val="00E3438D"/>
    <w:rsid w:val="00E353F5"/>
    <w:rsid w:val="00E35DDC"/>
    <w:rsid w:val="00E42ECB"/>
    <w:rsid w:val="00E4329D"/>
    <w:rsid w:val="00E4575E"/>
    <w:rsid w:val="00E45942"/>
    <w:rsid w:val="00E4677E"/>
    <w:rsid w:val="00E469E5"/>
    <w:rsid w:val="00E500B1"/>
    <w:rsid w:val="00E5229F"/>
    <w:rsid w:val="00E52A2E"/>
    <w:rsid w:val="00E53330"/>
    <w:rsid w:val="00E5363E"/>
    <w:rsid w:val="00E53DBC"/>
    <w:rsid w:val="00E555CF"/>
    <w:rsid w:val="00E55DC9"/>
    <w:rsid w:val="00E614D8"/>
    <w:rsid w:val="00E627F0"/>
    <w:rsid w:val="00E62EE6"/>
    <w:rsid w:val="00E649E3"/>
    <w:rsid w:val="00E65801"/>
    <w:rsid w:val="00E65953"/>
    <w:rsid w:val="00E66215"/>
    <w:rsid w:val="00E66735"/>
    <w:rsid w:val="00E6735A"/>
    <w:rsid w:val="00E67A79"/>
    <w:rsid w:val="00E67C89"/>
    <w:rsid w:val="00E7016E"/>
    <w:rsid w:val="00E7019B"/>
    <w:rsid w:val="00E70554"/>
    <w:rsid w:val="00E70B1D"/>
    <w:rsid w:val="00E7373C"/>
    <w:rsid w:val="00E77581"/>
    <w:rsid w:val="00E8043B"/>
    <w:rsid w:val="00E8193C"/>
    <w:rsid w:val="00E82500"/>
    <w:rsid w:val="00E82649"/>
    <w:rsid w:val="00E835A8"/>
    <w:rsid w:val="00E84434"/>
    <w:rsid w:val="00E855B0"/>
    <w:rsid w:val="00E868AD"/>
    <w:rsid w:val="00E86A56"/>
    <w:rsid w:val="00E86AD0"/>
    <w:rsid w:val="00E8716D"/>
    <w:rsid w:val="00E8767B"/>
    <w:rsid w:val="00E87B33"/>
    <w:rsid w:val="00E87D74"/>
    <w:rsid w:val="00E9263E"/>
    <w:rsid w:val="00E92736"/>
    <w:rsid w:val="00E92BCC"/>
    <w:rsid w:val="00E92C4D"/>
    <w:rsid w:val="00E93492"/>
    <w:rsid w:val="00E936BA"/>
    <w:rsid w:val="00E948A6"/>
    <w:rsid w:val="00E95183"/>
    <w:rsid w:val="00E968AB"/>
    <w:rsid w:val="00E97639"/>
    <w:rsid w:val="00E97687"/>
    <w:rsid w:val="00E97DEA"/>
    <w:rsid w:val="00EA0266"/>
    <w:rsid w:val="00EA0900"/>
    <w:rsid w:val="00EA0ABC"/>
    <w:rsid w:val="00EA0FFA"/>
    <w:rsid w:val="00EA227C"/>
    <w:rsid w:val="00EA2687"/>
    <w:rsid w:val="00EA39E8"/>
    <w:rsid w:val="00EA5575"/>
    <w:rsid w:val="00EA5D4A"/>
    <w:rsid w:val="00EA7584"/>
    <w:rsid w:val="00EB0B7F"/>
    <w:rsid w:val="00EB2262"/>
    <w:rsid w:val="00EB2762"/>
    <w:rsid w:val="00EB27B7"/>
    <w:rsid w:val="00EB2A5F"/>
    <w:rsid w:val="00EB38D5"/>
    <w:rsid w:val="00EB3A15"/>
    <w:rsid w:val="00EB4E0E"/>
    <w:rsid w:val="00EB543C"/>
    <w:rsid w:val="00EB780D"/>
    <w:rsid w:val="00EC137C"/>
    <w:rsid w:val="00EC468A"/>
    <w:rsid w:val="00EC5263"/>
    <w:rsid w:val="00EC7DDF"/>
    <w:rsid w:val="00ED2106"/>
    <w:rsid w:val="00ED2380"/>
    <w:rsid w:val="00ED3547"/>
    <w:rsid w:val="00ED4A3D"/>
    <w:rsid w:val="00ED6340"/>
    <w:rsid w:val="00ED6DA8"/>
    <w:rsid w:val="00EE11CC"/>
    <w:rsid w:val="00EE144C"/>
    <w:rsid w:val="00EE1CBF"/>
    <w:rsid w:val="00EE1D12"/>
    <w:rsid w:val="00EE1D3B"/>
    <w:rsid w:val="00EE2330"/>
    <w:rsid w:val="00EE2CB5"/>
    <w:rsid w:val="00EE5E62"/>
    <w:rsid w:val="00EE60D3"/>
    <w:rsid w:val="00EE661E"/>
    <w:rsid w:val="00EE7336"/>
    <w:rsid w:val="00EF02B4"/>
    <w:rsid w:val="00EF0D34"/>
    <w:rsid w:val="00EF124D"/>
    <w:rsid w:val="00EF13AA"/>
    <w:rsid w:val="00EF190E"/>
    <w:rsid w:val="00EF1D97"/>
    <w:rsid w:val="00EF3685"/>
    <w:rsid w:val="00EF3BE5"/>
    <w:rsid w:val="00EF425C"/>
    <w:rsid w:val="00EF52BD"/>
    <w:rsid w:val="00EF5CB4"/>
    <w:rsid w:val="00EF749F"/>
    <w:rsid w:val="00EF7FF3"/>
    <w:rsid w:val="00F012E5"/>
    <w:rsid w:val="00F01B51"/>
    <w:rsid w:val="00F046D5"/>
    <w:rsid w:val="00F04841"/>
    <w:rsid w:val="00F04A3B"/>
    <w:rsid w:val="00F05E26"/>
    <w:rsid w:val="00F06201"/>
    <w:rsid w:val="00F06873"/>
    <w:rsid w:val="00F07388"/>
    <w:rsid w:val="00F1186F"/>
    <w:rsid w:val="00F12CF2"/>
    <w:rsid w:val="00F137BD"/>
    <w:rsid w:val="00F15CAD"/>
    <w:rsid w:val="00F17B9C"/>
    <w:rsid w:val="00F17D84"/>
    <w:rsid w:val="00F20AD1"/>
    <w:rsid w:val="00F20B02"/>
    <w:rsid w:val="00F228FD"/>
    <w:rsid w:val="00F235DF"/>
    <w:rsid w:val="00F23CD6"/>
    <w:rsid w:val="00F25F72"/>
    <w:rsid w:val="00F25FA0"/>
    <w:rsid w:val="00F27B71"/>
    <w:rsid w:val="00F27C11"/>
    <w:rsid w:val="00F31590"/>
    <w:rsid w:val="00F31A9B"/>
    <w:rsid w:val="00F32639"/>
    <w:rsid w:val="00F32BB1"/>
    <w:rsid w:val="00F33ACC"/>
    <w:rsid w:val="00F359A5"/>
    <w:rsid w:val="00F362CD"/>
    <w:rsid w:val="00F42C7B"/>
    <w:rsid w:val="00F441B6"/>
    <w:rsid w:val="00F44517"/>
    <w:rsid w:val="00F45729"/>
    <w:rsid w:val="00F45837"/>
    <w:rsid w:val="00F46441"/>
    <w:rsid w:val="00F511EC"/>
    <w:rsid w:val="00F517BC"/>
    <w:rsid w:val="00F51829"/>
    <w:rsid w:val="00F56B1E"/>
    <w:rsid w:val="00F56C15"/>
    <w:rsid w:val="00F600A3"/>
    <w:rsid w:val="00F60BFD"/>
    <w:rsid w:val="00F61559"/>
    <w:rsid w:val="00F61E7A"/>
    <w:rsid w:val="00F6339F"/>
    <w:rsid w:val="00F6362B"/>
    <w:rsid w:val="00F63BAC"/>
    <w:rsid w:val="00F70B1D"/>
    <w:rsid w:val="00F71E7C"/>
    <w:rsid w:val="00F73D1B"/>
    <w:rsid w:val="00F73E5B"/>
    <w:rsid w:val="00F75460"/>
    <w:rsid w:val="00F75EA1"/>
    <w:rsid w:val="00F76D54"/>
    <w:rsid w:val="00F774C1"/>
    <w:rsid w:val="00F812AA"/>
    <w:rsid w:val="00F818CA"/>
    <w:rsid w:val="00F83546"/>
    <w:rsid w:val="00F83EB6"/>
    <w:rsid w:val="00F848C3"/>
    <w:rsid w:val="00F84A6F"/>
    <w:rsid w:val="00F850CF"/>
    <w:rsid w:val="00F87B0D"/>
    <w:rsid w:val="00F90A79"/>
    <w:rsid w:val="00F920C2"/>
    <w:rsid w:val="00F958DC"/>
    <w:rsid w:val="00F97AC2"/>
    <w:rsid w:val="00FA11FF"/>
    <w:rsid w:val="00FA16C6"/>
    <w:rsid w:val="00FA2586"/>
    <w:rsid w:val="00FA25A6"/>
    <w:rsid w:val="00FA508E"/>
    <w:rsid w:val="00FA74F8"/>
    <w:rsid w:val="00FB04D6"/>
    <w:rsid w:val="00FB1D27"/>
    <w:rsid w:val="00FB31A5"/>
    <w:rsid w:val="00FB3919"/>
    <w:rsid w:val="00FB40C5"/>
    <w:rsid w:val="00FB6117"/>
    <w:rsid w:val="00FB6597"/>
    <w:rsid w:val="00FB6A4B"/>
    <w:rsid w:val="00FB6F86"/>
    <w:rsid w:val="00FC0100"/>
    <w:rsid w:val="00FC0475"/>
    <w:rsid w:val="00FC2017"/>
    <w:rsid w:val="00FC34AD"/>
    <w:rsid w:val="00FC3B6C"/>
    <w:rsid w:val="00FC3DB7"/>
    <w:rsid w:val="00FC3E89"/>
    <w:rsid w:val="00FC43ED"/>
    <w:rsid w:val="00FC5E91"/>
    <w:rsid w:val="00FD030A"/>
    <w:rsid w:val="00FD1540"/>
    <w:rsid w:val="00FD1566"/>
    <w:rsid w:val="00FD1E86"/>
    <w:rsid w:val="00FD2638"/>
    <w:rsid w:val="00FD389E"/>
    <w:rsid w:val="00FD46BE"/>
    <w:rsid w:val="00FD5F68"/>
    <w:rsid w:val="00FD6569"/>
    <w:rsid w:val="00FD7E44"/>
    <w:rsid w:val="00FE037C"/>
    <w:rsid w:val="00FE0E6F"/>
    <w:rsid w:val="00FE1E7E"/>
    <w:rsid w:val="00FE69E0"/>
    <w:rsid w:val="00FF1478"/>
    <w:rsid w:val="00FF22EA"/>
    <w:rsid w:val="00FF2C8D"/>
    <w:rsid w:val="00FF2ED4"/>
    <w:rsid w:val="00FF448C"/>
    <w:rsid w:val="00FF4CF5"/>
    <w:rsid w:val="00FF4E4C"/>
    <w:rsid w:val="00FF5254"/>
    <w:rsid w:val="00FF6EC8"/>
    <w:rsid w:val="02B604E9"/>
    <w:rsid w:val="02BF56BE"/>
    <w:rsid w:val="03935617"/>
    <w:rsid w:val="03C3224E"/>
    <w:rsid w:val="041E22FB"/>
    <w:rsid w:val="04786083"/>
    <w:rsid w:val="05F6352F"/>
    <w:rsid w:val="05FC17BC"/>
    <w:rsid w:val="063D2F0C"/>
    <w:rsid w:val="06465DF5"/>
    <w:rsid w:val="064D5C09"/>
    <w:rsid w:val="0718518F"/>
    <w:rsid w:val="0B1A36B9"/>
    <w:rsid w:val="0BCB0FBA"/>
    <w:rsid w:val="0C555D95"/>
    <w:rsid w:val="0C8A62FF"/>
    <w:rsid w:val="0CAB03D8"/>
    <w:rsid w:val="0D4A5F0F"/>
    <w:rsid w:val="0ECF491D"/>
    <w:rsid w:val="100B53B2"/>
    <w:rsid w:val="114D6E4C"/>
    <w:rsid w:val="1265327A"/>
    <w:rsid w:val="12FA570C"/>
    <w:rsid w:val="134D0507"/>
    <w:rsid w:val="13964088"/>
    <w:rsid w:val="14320636"/>
    <w:rsid w:val="16DF7EB2"/>
    <w:rsid w:val="17F77378"/>
    <w:rsid w:val="17FD1AE0"/>
    <w:rsid w:val="19B67387"/>
    <w:rsid w:val="1A0E09F0"/>
    <w:rsid w:val="1CED59FC"/>
    <w:rsid w:val="1D4F1855"/>
    <w:rsid w:val="1EBF3D51"/>
    <w:rsid w:val="1F6B2440"/>
    <w:rsid w:val="1FCF65EF"/>
    <w:rsid w:val="1FD7036B"/>
    <w:rsid w:val="2025103E"/>
    <w:rsid w:val="20315438"/>
    <w:rsid w:val="206058CC"/>
    <w:rsid w:val="21F50649"/>
    <w:rsid w:val="223B70F0"/>
    <w:rsid w:val="231828E9"/>
    <w:rsid w:val="23D11474"/>
    <w:rsid w:val="2431225C"/>
    <w:rsid w:val="24CE594B"/>
    <w:rsid w:val="25A53E3A"/>
    <w:rsid w:val="27394124"/>
    <w:rsid w:val="277154ED"/>
    <w:rsid w:val="277763FA"/>
    <w:rsid w:val="29736AC1"/>
    <w:rsid w:val="2AA169FC"/>
    <w:rsid w:val="2B011EAB"/>
    <w:rsid w:val="2B400C25"/>
    <w:rsid w:val="2B552B0A"/>
    <w:rsid w:val="2B7A540B"/>
    <w:rsid w:val="2C041C52"/>
    <w:rsid w:val="2D1D2BCA"/>
    <w:rsid w:val="2DAC5BF8"/>
    <w:rsid w:val="2DCD789E"/>
    <w:rsid w:val="2E960353"/>
    <w:rsid w:val="2FD02305"/>
    <w:rsid w:val="304D2582"/>
    <w:rsid w:val="30747439"/>
    <w:rsid w:val="315E2965"/>
    <w:rsid w:val="31853836"/>
    <w:rsid w:val="31D20CC7"/>
    <w:rsid w:val="33092244"/>
    <w:rsid w:val="33B8160A"/>
    <w:rsid w:val="33C161F4"/>
    <w:rsid w:val="3578059B"/>
    <w:rsid w:val="36493858"/>
    <w:rsid w:val="36653DD5"/>
    <w:rsid w:val="36DA2EB8"/>
    <w:rsid w:val="370B7E40"/>
    <w:rsid w:val="37306AE8"/>
    <w:rsid w:val="373F0BD2"/>
    <w:rsid w:val="38823FEF"/>
    <w:rsid w:val="38B62526"/>
    <w:rsid w:val="39425C3B"/>
    <w:rsid w:val="39EB36B5"/>
    <w:rsid w:val="3A7A53F5"/>
    <w:rsid w:val="3C5F4C83"/>
    <w:rsid w:val="3C805F8B"/>
    <w:rsid w:val="3DA9595F"/>
    <w:rsid w:val="3DD4610F"/>
    <w:rsid w:val="3DFE4A03"/>
    <w:rsid w:val="3E356B0A"/>
    <w:rsid w:val="3EE34734"/>
    <w:rsid w:val="3F350199"/>
    <w:rsid w:val="413848F8"/>
    <w:rsid w:val="42862F6A"/>
    <w:rsid w:val="42E72C06"/>
    <w:rsid w:val="43367DEF"/>
    <w:rsid w:val="44EE129A"/>
    <w:rsid w:val="456450B8"/>
    <w:rsid w:val="47206D0A"/>
    <w:rsid w:val="4746716B"/>
    <w:rsid w:val="47AC2CA7"/>
    <w:rsid w:val="48F52967"/>
    <w:rsid w:val="4B225175"/>
    <w:rsid w:val="4BB37621"/>
    <w:rsid w:val="4D412070"/>
    <w:rsid w:val="4DD95D87"/>
    <w:rsid w:val="4F03593F"/>
    <w:rsid w:val="4F097485"/>
    <w:rsid w:val="500024B1"/>
    <w:rsid w:val="52642B9B"/>
    <w:rsid w:val="52772529"/>
    <w:rsid w:val="528529B4"/>
    <w:rsid w:val="53314014"/>
    <w:rsid w:val="53395DD6"/>
    <w:rsid w:val="547A7B7E"/>
    <w:rsid w:val="55CA2BAB"/>
    <w:rsid w:val="56000232"/>
    <w:rsid w:val="5813170C"/>
    <w:rsid w:val="58784A3E"/>
    <w:rsid w:val="5A0B6EA0"/>
    <w:rsid w:val="5A474ED0"/>
    <w:rsid w:val="5A5E141D"/>
    <w:rsid w:val="5B977B3E"/>
    <w:rsid w:val="5C0E56CC"/>
    <w:rsid w:val="5C5032A8"/>
    <w:rsid w:val="5CDC527D"/>
    <w:rsid w:val="5DD0090F"/>
    <w:rsid w:val="5E45203A"/>
    <w:rsid w:val="60164155"/>
    <w:rsid w:val="60270862"/>
    <w:rsid w:val="60F07726"/>
    <w:rsid w:val="61256045"/>
    <w:rsid w:val="617821BF"/>
    <w:rsid w:val="61BE22AB"/>
    <w:rsid w:val="61C264D4"/>
    <w:rsid w:val="621F39B2"/>
    <w:rsid w:val="63100572"/>
    <w:rsid w:val="64DA4AF6"/>
    <w:rsid w:val="660B3602"/>
    <w:rsid w:val="68420E31"/>
    <w:rsid w:val="69E14DA6"/>
    <w:rsid w:val="6AD7617F"/>
    <w:rsid w:val="6C61780B"/>
    <w:rsid w:val="6C6D7FA7"/>
    <w:rsid w:val="6D423483"/>
    <w:rsid w:val="6ED577BF"/>
    <w:rsid w:val="70F002E9"/>
    <w:rsid w:val="71773494"/>
    <w:rsid w:val="741427E2"/>
    <w:rsid w:val="75041948"/>
    <w:rsid w:val="75912B56"/>
    <w:rsid w:val="76AD64CC"/>
    <w:rsid w:val="76DF2814"/>
    <w:rsid w:val="771F076D"/>
    <w:rsid w:val="778D55CE"/>
    <w:rsid w:val="79F444EC"/>
    <w:rsid w:val="7BCE0035"/>
    <w:rsid w:val="7C035604"/>
    <w:rsid w:val="7D1615EA"/>
    <w:rsid w:val="7D360E79"/>
    <w:rsid w:val="7E145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1"/>
    <w:link w:val="99"/>
    <w:qFormat/>
    <w:uiPriority w:val="99"/>
    <w:pPr>
      <w:spacing w:before="100" w:beforeAutospacing="1" w:after="100" w:afterAutospacing="1"/>
      <w:jc w:val="left"/>
      <w:textAlignment w:val="auto"/>
      <w:outlineLvl w:val="2"/>
    </w:pPr>
    <w:rPr>
      <w:rFonts w:ascii="宋体" w:hAnsi="宋体"/>
      <w:kern w:val="0"/>
      <w:sz w:val="27"/>
      <w:szCs w:val="27"/>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0"/>
    <w:pPr>
      <w:widowControl w:val="0"/>
      <w:ind w:firstLine="420"/>
      <w:textAlignment w:val="auto"/>
    </w:pPr>
    <w:rPr>
      <w:rFonts w:ascii="Times New Roman" w:hAnsi="Times New Roman"/>
      <w:szCs w:val="21"/>
    </w:rPr>
  </w:style>
  <w:style w:type="paragraph" w:styleId="5">
    <w:name w:val="Document Map"/>
    <w:basedOn w:val="1"/>
    <w:link w:val="67"/>
    <w:unhideWhenUsed/>
    <w:qFormat/>
    <w:uiPriority w:val="99"/>
    <w:rPr>
      <w:rFonts w:ascii="宋体"/>
      <w:sz w:val="18"/>
      <w:szCs w:val="18"/>
    </w:rPr>
  </w:style>
  <w:style w:type="paragraph" w:styleId="6">
    <w:name w:val="annotation text"/>
    <w:basedOn w:val="1"/>
    <w:next w:val="1"/>
    <w:link w:val="69"/>
    <w:unhideWhenUsed/>
    <w:qFormat/>
    <w:uiPriority w:val="99"/>
    <w:pPr>
      <w:jc w:val="left"/>
    </w:pPr>
  </w:style>
  <w:style w:type="paragraph" w:styleId="7">
    <w:name w:val="Body Text 3"/>
    <w:basedOn w:val="1"/>
    <w:link w:val="102"/>
    <w:unhideWhenUsed/>
    <w:qFormat/>
    <w:uiPriority w:val="99"/>
    <w:pPr>
      <w:widowControl w:val="0"/>
      <w:spacing w:after="120"/>
      <w:textAlignment w:val="auto"/>
    </w:pPr>
    <w:rPr>
      <w:sz w:val="16"/>
      <w:szCs w:val="16"/>
    </w:rPr>
  </w:style>
  <w:style w:type="paragraph" w:styleId="8">
    <w:name w:val="Body Text"/>
    <w:basedOn w:val="1"/>
    <w:next w:val="1"/>
    <w:link w:val="104"/>
    <w:unhideWhenUsed/>
    <w:qFormat/>
    <w:uiPriority w:val="99"/>
    <w:pPr>
      <w:spacing w:after="120"/>
    </w:pPr>
  </w:style>
  <w:style w:type="paragraph" w:styleId="9">
    <w:name w:val="Body Text Indent"/>
    <w:basedOn w:val="1"/>
    <w:next w:val="10"/>
    <w:qFormat/>
    <w:uiPriority w:val="0"/>
    <w:pPr>
      <w:ind w:firstLine="570"/>
    </w:pPr>
    <w:rPr>
      <w:kern w:val="0"/>
      <w:sz w:val="28"/>
      <w:szCs w:val="20"/>
    </w:rPr>
  </w:style>
  <w:style w:type="paragraph" w:styleId="10">
    <w:name w:val="envelope return"/>
    <w:basedOn w:val="1"/>
    <w:qFormat/>
    <w:uiPriority w:val="0"/>
    <w:pPr>
      <w:snapToGrid w:val="0"/>
    </w:pPr>
    <w:rPr>
      <w:rFonts w:ascii="Arial" w:hAnsi="Arial"/>
      <w:szCs w:val="24"/>
    </w:rPr>
  </w:style>
  <w:style w:type="paragraph" w:styleId="11">
    <w:name w:val="toc 3"/>
    <w:basedOn w:val="1"/>
    <w:next w:val="1"/>
    <w:unhideWhenUsed/>
    <w:qFormat/>
    <w:uiPriority w:val="39"/>
    <w:pPr>
      <w:ind w:left="840" w:leftChars="400"/>
    </w:pPr>
  </w:style>
  <w:style w:type="paragraph" w:styleId="12">
    <w:name w:val="Plain Text"/>
    <w:basedOn w:val="1"/>
    <w:link w:val="49"/>
    <w:qFormat/>
    <w:uiPriority w:val="99"/>
    <w:rPr>
      <w:rFonts w:ascii="宋体" w:hAnsi="Courier New" w:eastAsia="楷体_GB2312"/>
      <w:szCs w:val="24"/>
    </w:rPr>
  </w:style>
  <w:style w:type="paragraph" w:styleId="13">
    <w:name w:val="Date"/>
    <w:basedOn w:val="1"/>
    <w:next w:val="1"/>
    <w:link w:val="57"/>
    <w:qFormat/>
    <w:uiPriority w:val="0"/>
    <w:rPr>
      <w:rFonts w:ascii="Times New Roman" w:hAnsi="Times New Roman"/>
      <w:kern w:val="0"/>
      <w:sz w:val="20"/>
      <w:szCs w:val="20"/>
    </w:rPr>
  </w:style>
  <w:style w:type="paragraph" w:styleId="14">
    <w:name w:val="Balloon Text"/>
    <w:basedOn w:val="1"/>
    <w:link w:val="126"/>
    <w:unhideWhenUsed/>
    <w:qFormat/>
    <w:uiPriority w:val="99"/>
    <w:rPr>
      <w:sz w:val="18"/>
      <w:szCs w:val="18"/>
    </w:rPr>
  </w:style>
  <w:style w:type="paragraph" w:styleId="15">
    <w:name w:val="footer"/>
    <w:basedOn w:val="1"/>
    <w:link w:val="86"/>
    <w:qFormat/>
    <w:uiPriority w:val="99"/>
    <w:pPr>
      <w:tabs>
        <w:tab w:val="center" w:pos="4153"/>
        <w:tab w:val="right" w:pos="8306"/>
      </w:tabs>
      <w:snapToGrid w:val="0"/>
      <w:jc w:val="left"/>
    </w:pPr>
    <w:rPr>
      <w:kern w:val="0"/>
      <w:sz w:val="18"/>
      <w:szCs w:val="18"/>
    </w:rPr>
  </w:style>
  <w:style w:type="paragraph" w:styleId="16">
    <w:name w:val="header"/>
    <w:basedOn w:val="1"/>
    <w:link w:val="90"/>
    <w:qFormat/>
    <w:uiPriority w:val="99"/>
    <w:pPr>
      <w:pBdr>
        <w:bottom w:val="single" w:color="000000"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Normal (Web)"/>
    <w:basedOn w:val="1"/>
    <w:unhideWhenUsed/>
    <w:qFormat/>
    <w:uiPriority w:val="0"/>
    <w:pPr>
      <w:widowControl w:val="0"/>
      <w:textAlignment w:val="auto"/>
    </w:pPr>
    <w:rPr>
      <w:rFonts w:ascii="仿宋_GB2312" w:eastAsia="仿宋_GB2312" w:cs="宋体"/>
      <w:sz w:val="24"/>
      <w:szCs w:val="24"/>
    </w:rPr>
  </w:style>
  <w:style w:type="paragraph" w:styleId="20">
    <w:name w:val="Title"/>
    <w:basedOn w:val="1"/>
    <w:link w:val="51"/>
    <w:qFormat/>
    <w:uiPriority w:val="0"/>
    <w:pPr>
      <w:spacing w:before="120" w:after="60"/>
      <w:jc w:val="center"/>
    </w:pPr>
    <w:rPr>
      <w:rFonts w:ascii="Arial" w:hAnsi="Arial"/>
      <w:b/>
      <w:kern w:val="0"/>
      <w:sz w:val="44"/>
      <w:szCs w:val="20"/>
    </w:rPr>
  </w:style>
  <w:style w:type="paragraph" w:styleId="21">
    <w:name w:val="annotation subject"/>
    <w:basedOn w:val="6"/>
    <w:next w:val="6"/>
    <w:link w:val="108"/>
    <w:unhideWhenUsed/>
    <w:qFormat/>
    <w:uiPriority w:val="0"/>
    <w:rPr>
      <w:b/>
      <w:bCs/>
    </w:rPr>
  </w:style>
  <w:style w:type="paragraph" w:styleId="22">
    <w:name w:val="Body Text First Indent"/>
    <w:basedOn w:val="8"/>
    <w:link w:val="125"/>
    <w:qFormat/>
    <w:uiPriority w:val="0"/>
    <w:pPr>
      <w:widowControl w:val="0"/>
      <w:ind w:firstLine="420"/>
      <w:textAlignment w:val="auto"/>
    </w:pPr>
    <w:rPr>
      <w:rFonts w:ascii="Times New Roman" w:hAnsi="Times New Roman"/>
      <w:kern w:val="0"/>
      <w:sz w:val="20"/>
      <w:szCs w:val="20"/>
    </w:rPr>
  </w:style>
  <w:style w:type="paragraph" w:styleId="23">
    <w:name w:val="Body Text First Indent 2"/>
    <w:basedOn w:val="9"/>
    <w:qFormat/>
    <w:uiPriority w:val="0"/>
    <w:pPr>
      <w:spacing w:after="120"/>
      <w:ind w:left="420" w:leftChars="200" w:firstLine="420" w:firstLineChars="200"/>
    </w:pPr>
    <w:rPr>
      <w:sz w:val="20"/>
      <w:szCs w:val="24"/>
    </w:rPr>
  </w:style>
  <w:style w:type="table" w:styleId="25">
    <w:name w:val="Table Grid"/>
    <w:basedOn w:val="24"/>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FollowedHyperlink"/>
    <w:qFormat/>
    <w:uiPriority w:val="0"/>
    <w:rPr>
      <w:color w:val="954F72"/>
      <w:u w:val="single"/>
    </w:rPr>
  </w:style>
  <w:style w:type="character" w:styleId="29">
    <w:name w:val="Hyperlink"/>
    <w:qFormat/>
    <w:uiPriority w:val="99"/>
    <w:rPr>
      <w:rFonts w:ascii="微软雅黑" w:hAnsi="微软雅黑" w:eastAsia="微软雅黑"/>
      <w:color w:val="337AB7"/>
    </w:rPr>
  </w:style>
  <w:style w:type="character" w:styleId="30">
    <w:name w:val="annotation reference"/>
    <w:unhideWhenUsed/>
    <w:qFormat/>
    <w:uiPriority w:val="99"/>
    <w:rPr>
      <w:sz w:val="21"/>
      <w:szCs w:val="21"/>
    </w:rPr>
  </w:style>
  <w:style w:type="paragraph" w:customStyle="1" w:styleId="31">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2">
    <w:name w:val="正文文本 3 Char"/>
    <w:qFormat/>
    <w:uiPriority w:val="0"/>
    <w:rPr>
      <w:kern w:val="2"/>
      <w:sz w:val="16"/>
      <w:szCs w:val="16"/>
    </w:rPr>
  </w:style>
  <w:style w:type="character" w:customStyle="1" w:styleId="33">
    <w:name w:val="UserStyle_4"/>
    <w:semiHidden/>
    <w:qFormat/>
    <w:uiPriority w:val="0"/>
    <w:rPr>
      <w:rFonts w:ascii="等线 Light" w:hAnsi="等线 Light" w:eastAsia="等线 Light" w:cs="Times New Roman"/>
      <w:b/>
      <w:bCs/>
      <w:sz w:val="24"/>
      <w:szCs w:val="24"/>
    </w:rPr>
  </w:style>
  <w:style w:type="character" w:customStyle="1" w:styleId="34">
    <w:name w:val="UserStyle_14"/>
    <w:link w:val="35"/>
    <w:qFormat/>
    <w:uiPriority w:val="0"/>
    <w:rPr>
      <w:rFonts w:ascii="Times New Roman" w:hAnsi="Times New Roman" w:eastAsia="宋体"/>
      <w:color w:val="000000"/>
      <w:sz w:val="24"/>
      <w:szCs w:val="20"/>
    </w:rPr>
  </w:style>
  <w:style w:type="paragraph" w:customStyle="1" w:styleId="35">
    <w:name w:val="BodyTextIndent2"/>
    <w:basedOn w:val="1"/>
    <w:link w:val="34"/>
    <w:qFormat/>
    <w:uiPriority w:val="0"/>
    <w:pPr>
      <w:spacing w:line="400" w:lineRule="exact"/>
      <w:ind w:left="425"/>
    </w:pPr>
    <w:rPr>
      <w:rFonts w:ascii="Times New Roman" w:hAnsi="Times New Roman"/>
      <w:color w:val="000000"/>
      <w:kern w:val="0"/>
      <w:sz w:val="24"/>
      <w:szCs w:val="20"/>
    </w:rPr>
  </w:style>
  <w:style w:type="character" w:customStyle="1" w:styleId="36">
    <w:name w:val="UserStyle_35"/>
    <w:qFormat/>
    <w:uiPriority w:val="0"/>
    <w:rPr>
      <w:rFonts w:ascii="Arial" w:hAnsi="Arial" w:eastAsia="宋体"/>
      <w:b/>
      <w:color w:val="000000"/>
      <w:sz w:val="24"/>
      <w:szCs w:val="24"/>
    </w:rPr>
  </w:style>
  <w:style w:type="character" w:customStyle="1" w:styleId="37">
    <w:name w:val="UserStyle_51"/>
    <w:semiHidden/>
    <w:qFormat/>
    <w:uiPriority w:val="0"/>
    <w:rPr>
      <w:rFonts w:ascii="Microsoft YaHei UI" w:hAnsi="Calibri" w:eastAsia="Microsoft YaHei UI"/>
      <w:sz w:val="18"/>
      <w:szCs w:val="18"/>
    </w:rPr>
  </w:style>
  <w:style w:type="character" w:customStyle="1" w:styleId="38">
    <w:name w:val="EndnoteReference"/>
    <w:qFormat/>
    <w:uiPriority w:val="0"/>
    <w:rPr>
      <w:vertAlign w:val="superscript"/>
    </w:rPr>
  </w:style>
  <w:style w:type="character" w:customStyle="1" w:styleId="39">
    <w:name w:val="UserStyle_26"/>
    <w:qFormat/>
    <w:uiPriority w:val="0"/>
    <w:rPr>
      <w:rFonts w:ascii="Arial" w:hAnsi="Arial" w:eastAsia="宋体"/>
      <w:color w:val="000000"/>
      <w:szCs w:val="21"/>
    </w:rPr>
  </w:style>
  <w:style w:type="character" w:customStyle="1" w:styleId="40">
    <w:name w:val="AnnotationReference"/>
    <w:qFormat/>
    <w:uiPriority w:val="0"/>
    <w:rPr>
      <w:sz w:val="21"/>
      <w:szCs w:val="21"/>
    </w:rPr>
  </w:style>
  <w:style w:type="character" w:customStyle="1" w:styleId="41">
    <w:name w:val="UserStyle_9"/>
    <w:semiHidden/>
    <w:qFormat/>
    <w:uiPriority w:val="0"/>
    <w:rPr>
      <w:rFonts w:ascii="Calibri" w:hAnsi="Calibri" w:eastAsia="宋体"/>
      <w:sz w:val="18"/>
      <w:szCs w:val="18"/>
    </w:rPr>
  </w:style>
  <w:style w:type="character" w:customStyle="1" w:styleId="42">
    <w:name w:val="UserStyle_0"/>
    <w:link w:val="43"/>
    <w:semiHidden/>
    <w:qFormat/>
    <w:uiPriority w:val="0"/>
    <w:rPr>
      <w:rFonts w:ascii="等线" w:hAnsi="Courier New"/>
    </w:rPr>
  </w:style>
  <w:style w:type="paragraph" w:customStyle="1" w:styleId="43">
    <w:name w:val="Heading9"/>
    <w:basedOn w:val="1"/>
    <w:next w:val="44"/>
    <w:link w:val="42"/>
    <w:qFormat/>
    <w:uiPriority w:val="0"/>
    <w:pPr>
      <w:keepNext/>
      <w:keepLines/>
      <w:numPr>
        <w:ilvl w:val="8"/>
        <w:numId w:val="1"/>
      </w:numPr>
      <w:spacing w:before="240" w:after="64" w:line="320" w:lineRule="auto"/>
    </w:pPr>
    <w:rPr>
      <w:rFonts w:ascii="等线" w:hAnsi="Courier New"/>
      <w:kern w:val="0"/>
      <w:sz w:val="20"/>
      <w:szCs w:val="20"/>
    </w:rPr>
  </w:style>
  <w:style w:type="paragraph" w:customStyle="1" w:styleId="44">
    <w:name w:val="NormalIndent"/>
    <w:basedOn w:val="1"/>
    <w:qFormat/>
    <w:uiPriority w:val="0"/>
    <w:pPr>
      <w:ind w:firstLine="420"/>
    </w:pPr>
    <w:rPr>
      <w:rFonts w:ascii="Times New Roman" w:hAnsi="Times New Roman"/>
      <w:szCs w:val="20"/>
    </w:rPr>
  </w:style>
  <w:style w:type="character" w:customStyle="1" w:styleId="45">
    <w:name w:val="UserStyle_10"/>
    <w:link w:val="46"/>
    <w:qFormat/>
    <w:uiPriority w:val="0"/>
    <w:rPr>
      <w:rFonts w:ascii="宋体" w:hAnsi="Courier New" w:eastAsia="宋体"/>
      <w:szCs w:val="20"/>
    </w:rPr>
  </w:style>
  <w:style w:type="paragraph" w:customStyle="1" w:styleId="46">
    <w:name w:val="PlainText"/>
    <w:basedOn w:val="1"/>
    <w:link w:val="45"/>
    <w:qFormat/>
    <w:uiPriority w:val="0"/>
    <w:rPr>
      <w:rFonts w:ascii="宋体" w:hAnsi="Courier New"/>
      <w:kern w:val="0"/>
      <w:sz w:val="20"/>
      <w:szCs w:val="20"/>
    </w:rPr>
  </w:style>
  <w:style w:type="character" w:customStyle="1" w:styleId="47">
    <w:name w:val="UserStyle_30"/>
    <w:semiHidden/>
    <w:qFormat/>
    <w:uiPriority w:val="0"/>
    <w:rPr>
      <w:rFonts w:ascii="等线 Light" w:hAnsi="等线 Light" w:eastAsia="等线 Light" w:cs="Times New Roman"/>
      <w:b/>
      <w:bCs/>
      <w:sz w:val="32"/>
      <w:szCs w:val="32"/>
    </w:rPr>
  </w:style>
  <w:style w:type="character" w:customStyle="1" w:styleId="48">
    <w:name w:val="文一 Char Char"/>
    <w:qFormat/>
    <w:uiPriority w:val="0"/>
    <w:rPr>
      <w:rFonts w:eastAsia="宋体"/>
      <w:spacing w:val="4"/>
      <w:sz w:val="24"/>
      <w:szCs w:val="24"/>
    </w:rPr>
  </w:style>
  <w:style w:type="character" w:customStyle="1" w:styleId="49">
    <w:name w:val="纯文本 Char"/>
    <w:link w:val="12"/>
    <w:qFormat/>
    <w:uiPriority w:val="99"/>
    <w:rPr>
      <w:rFonts w:ascii="宋体" w:hAnsi="Courier New" w:eastAsia="楷体_GB2312"/>
      <w:kern w:val="2"/>
      <w:sz w:val="21"/>
      <w:szCs w:val="24"/>
    </w:rPr>
  </w:style>
  <w:style w:type="character" w:customStyle="1" w:styleId="50">
    <w:name w:val="正文文本 Char"/>
    <w:qFormat/>
    <w:uiPriority w:val="0"/>
    <w:rPr>
      <w:rFonts w:eastAsia="宋体"/>
      <w:lang w:val="en-US" w:eastAsia="zh-CN" w:bidi="ar-SA"/>
    </w:rPr>
  </w:style>
  <w:style w:type="character" w:customStyle="1" w:styleId="51">
    <w:name w:val="标题 Char"/>
    <w:link w:val="20"/>
    <w:qFormat/>
    <w:uiPriority w:val="0"/>
    <w:rPr>
      <w:rFonts w:ascii="Arial" w:hAnsi="Arial" w:eastAsia="宋体"/>
      <w:b/>
      <w:sz w:val="44"/>
      <w:szCs w:val="20"/>
    </w:rPr>
  </w:style>
  <w:style w:type="character" w:customStyle="1" w:styleId="52">
    <w:name w:val="UserStyle_11"/>
    <w:semiHidden/>
    <w:qFormat/>
    <w:uiPriority w:val="0"/>
    <w:rPr>
      <w:rFonts w:ascii="Calibri" w:hAnsi="Calibri" w:eastAsia="宋体"/>
    </w:rPr>
  </w:style>
  <w:style w:type="character" w:customStyle="1" w:styleId="53">
    <w:name w:val="UserStyle_53"/>
    <w:semiHidden/>
    <w:qFormat/>
    <w:uiPriority w:val="0"/>
    <w:rPr>
      <w:rFonts w:ascii="Calibri" w:hAnsi="Calibri" w:eastAsia="宋体"/>
      <w:sz w:val="18"/>
      <w:szCs w:val="18"/>
    </w:rPr>
  </w:style>
  <w:style w:type="character" w:customStyle="1" w:styleId="54">
    <w:name w:val="UserStyle_48"/>
    <w:qFormat/>
    <w:uiPriority w:val="0"/>
    <w:rPr>
      <w:rFonts w:ascii="Arial" w:hAnsi="Arial" w:eastAsia="黑体" w:cs="Times New Roman"/>
      <w:b/>
      <w:bCs/>
      <w:sz w:val="24"/>
      <w:szCs w:val="24"/>
    </w:rPr>
  </w:style>
  <w:style w:type="character" w:customStyle="1" w:styleId="55">
    <w:name w:val="UserStyle_8"/>
    <w:qFormat/>
    <w:uiPriority w:val="0"/>
  </w:style>
  <w:style w:type="character" w:customStyle="1" w:styleId="56">
    <w:name w:val="UserStyle_32"/>
    <w:qFormat/>
    <w:uiPriority w:val="0"/>
  </w:style>
  <w:style w:type="character" w:customStyle="1" w:styleId="57">
    <w:name w:val="日期 Char"/>
    <w:link w:val="13"/>
    <w:qFormat/>
    <w:uiPriority w:val="0"/>
    <w:rPr>
      <w:rFonts w:ascii="Times New Roman" w:hAnsi="Times New Roman" w:eastAsia="宋体"/>
      <w:szCs w:val="20"/>
    </w:rPr>
  </w:style>
  <w:style w:type="character" w:customStyle="1" w:styleId="58">
    <w:name w:val="UserStyle_21"/>
    <w:qFormat/>
    <w:uiPriority w:val="0"/>
  </w:style>
  <w:style w:type="character" w:customStyle="1" w:styleId="59">
    <w:name w:val="HtmlCode"/>
    <w:qFormat/>
    <w:uiPriority w:val="0"/>
    <w:rPr>
      <w:rFonts w:ascii="Consolas" w:hAnsi="Consolas" w:eastAsia="Consolas"/>
      <w:color w:val="C7254E"/>
      <w:sz w:val="21"/>
      <w:szCs w:val="21"/>
      <w:bdr w:val="single" w:color="000000" w:sz="18" w:space="0"/>
      <w:shd w:val="clear" w:color="auto" w:fill="F9F2F4"/>
    </w:rPr>
  </w:style>
  <w:style w:type="character" w:customStyle="1" w:styleId="60">
    <w:name w:val="FootnoteReference"/>
    <w:qFormat/>
    <w:uiPriority w:val="0"/>
    <w:rPr>
      <w:vertAlign w:val="superscript"/>
    </w:rPr>
  </w:style>
  <w:style w:type="character" w:customStyle="1" w:styleId="61">
    <w:name w:val="UserStyle_43"/>
    <w:semiHidden/>
    <w:qFormat/>
    <w:uiPriority w:val="0"/>
    <w:rPr>
      <w:rFonts w:ascii="Calibri" w:hAnsi="Calibri" w:eastAsia="宋体" w:cs="Times New Roman"/>
      <w:b/>
      <w:bCs/>
      <w:sz w:val="24"/>
      <w:szCs w:val="24"/>
    </w:rPr>
  </w:style>
  <w:style w:type="character" w:customStyle="1" w:styleId="62">
    <w:name w:val="UserStyle_50"/>
    <w:qFormat/>
    <w:uiPriority w:val="0"/>
    <w:rPr>
      <w:rFonts w:ascii="Calibri" w:hAnsi="Calibri" w:eastAsia="宋体" w:cs="Times New Roman"/>
      <w:b/>
      <w:bCs/>
      <w:kern w:val="44"/>
      <w:sz w:val="44"/>
      <w:szCs w:val="44"/>
    </w:rPr>
  </w:style>
  <w:style w:type="character" w:customStyle="1" w:styleId="63">
    <w:name w:val="UserStyle_28"/>
    <w:semiHidden/>
    <w:qFormat/>
    <w:uiPriority w:val="0"/>
    <w:rPr>
      <w:rFonts w:ascii="Calibri" w:hAnsi="Calibri" w:eastAsia="宋体" w:cs="Times New Roman"/>
      <w:b/>
      <w:bCs/>
      <w:sz w:val="32"/>
      <w:szCs w:val="32"/>
    </w:rPr>
  </w:style>
  <w:style w:type="character" w:customStyle="1" w:styleId="64">
    <w:name w:val="UserStyle_44"/>
    <w:qFormat/>
    <w:uiPriority w:val="0"/>
    <w:rPr>
      <w:rFonts w:ascii="Arial" w:hAnsi="Arial" w:eastAsia="宋体"/>
      <w:b/>
      <w:kern w:val="44"/>
      <w:sz w:val="28"/>
      <w:szCs w:val="28"/>
    </w:rPr>
  </w:style>
  <w:style w:type="character" w:customStyle="1" w:styleId="65">
    <w:name w:val="HtmlDfn"/>
    <w:qFormat/>
    <w:uiPriority w:val="0"/>
    <w:rPr>
      <w:i/>
    </w:rPr>
  </w:style>
  <w:style w:type="character" w:customStyle="1" w:styleId="66">
    <w:name w:val="UserStyle_22"/>
    <w:semiHidden/>
    <w:qFormat/>
    <w:uiPriority w:val="0"/>
    <w:rPr>
      <w:rFonts w:ascii="Calibri" w:hAnsi="Calibri" w:eastAsia="宋体"/>
    </w:rPr>
  </w:style>
  <w:style w:type="character" w:customStyle="1" w:styleId="67">
    <w:name w:val="文档结构图 Char"/>
    <w:link w:val="5"/>
    <w:semiHidden/>
    <w:qFormat/>
    <w:uiPriority w:val="99"/>
    <w:rPr>
      <w:rFonts w:ascii="宋体" w:hAnsi="Calibri"/>
      <w:kern w:val="2"/>
      <w:sz w:val="18"/>
      <w:szCs w:val="18"/>
    </w:rPr>
  </w:style>
  <w:style w:type="character" w:customStyle="1" w:styleId="68">
    <w:name w:val="UserStyle_6"/>
    <w:semiHidden/>
    <w:qFormat/>
    <w:uiPriority w:val="0"/>
    <w:rPr>
      <w:rFonts w:ascii="Calibri" w:hAnsi="Calibri" w:eastAsia="宋体"/>
    </w:rPr>
  </w:style>
  <w:style w:type="character" w:customStyle="1" w:styleId="69">
    <w:name w:val="批注文字 Char"/>
    <w:link w:val="6"/>
    <w:qFormat/>
    <w:uiPriority w:val="99"/>
    <w:rPr>
      <w:rFonts w:ascii="Calibri" w:hAnsi="Calibri"/>
      <w:kern w:val="2"/>
      <w:sz w:val="21"/>
      <w:szCs w:val="22"/>
    </w:rPr>
  </w:style>
  <w:style w:type="character" w:customStyle="1" w:styleId="70">
    <w:name w:val="UserStyle_12"/>
    <w:qFormat/>
    <w:uiPriority w:val="0"/>
    <w:rPr>
      <w:rFonts w:ascii="等线 Light" w:hAnsi="等线 Light" w:eastAsia="等线 Light" w:cs="Times New Roman"/>
      <w:b/>
      <w:bCs/>
      <w:sz w:val="32"/>
      <w:szCs w:val="32"/>
    </w:rPr>
  </w:style>
  <w:style w:type="character" w:customStyle="1" w:styleId="71">
    <w:name w:val="UserStyle_55"/>
    <w:qFormat/>
    <w:uiPriority w:val="0"/>
    <w:rPr>
      <w:rFonts w:ascii="宋体" w:hAnsi="宋体" w:eastAsia="宋体"/>
      <w:color w:val="000000"/>
      <w:sz w:val="24"/>
      <w:szCs w:val="24"/>
    </w:rPr>
  </w:style>
  <w:style w:type="character" w:customStyle="1" w:styleId="72">
    <w:name w:val="UserStyle_34"/>
    <w:link w:val="73"/>
    <w:qFormat/>
    <w:uiPriority w:val="0"/>
    <w:rPr>
      <w:rFonts w:ascii="Times New Roman" w:hAnsi="Times New Roman" w:eastAsia="宋体"/>
      <w:szCs w:val="20"/>
    </w:rPr>
  </w:style>
  <w:style w:type="paragraph" w:customStyle="1" w:styleId="73">
    <w:name w:val="EndnoteText"/>
    <w:basedOn w:val="1"/>
    <w:link w:val="72"/>
    <w:qFormat/>
    <w:uiPriority w:val="0"/>
    <w:pPr>
      <w:snapToGrid w:val="0"/>
      <w:jc w:val="left"/>
    </w:pPr>
    <w:rPr>
      <w:rFonts w:ascii="Times New Roman" w:hAnsi="Times New Roman"/>
      <w:kern w:val="0"/>
      <w:sz w:val="20"/>
      <w:szCs w:val="20"/>
    </w:rPr>
  </w:style>
  <w:style w:type="character" w:customStyle="1" w:styleId="74">
    <w:name w:val="UserStyle_16"/>
    <w:semiHidden/>
    <w:qFormat/>
    <w:uiPriority w:val="0"/>
    <w:rPr>
      <w:rFonts w:ascii="Calibri" w:hAnsi="Calibri" w:eastAsia="宋体"/>
    </w:rPr>
  </w:style>
  <w:style w:type="character" w:customStyle="1" w:styleId="75">
    <w:name w:val="UserStyle_31"/>
    <w:qFormat/>
    <w:uiPriority w:val="0"/>
    <w:rPr>
      <w:rFonts w:ascii="Times New Roman" w:hAnsi="Times New Roman" w:eastAsia="宋体"/>
      <w:b/>
      <w:sz w:val="24"/>
      <w:szCs w:val="20"/>
    </w:rPr>
  </w:style>
  <w:style w:type="character" w:customStyle="1" w:styleId="76">
    <w:name w:val="UserStyle_29"/>
    <w:semiHidden/>
    <w:qFormat/>
    <w:uiPriority w:val="0"/>
    <w:rPr>
      <w:rFonts w:ascii="Calibri" w:hAnsi="Calibri" w:eastAsia="宋体"/>
      <w:sz w:val="16"/>
      <w:szCs w:val="16"/>
    </w:rPr>
  </w:style>
  <w:style w:type="character" w:customStyle="1" w:styleId="77">
    <w:name w:val="UserStyle_17"/>
    <w:link w:val="78"/>
    <w:qFormat/>
    <w:uiPriority w:val="0"/>
    <w:rPr>
      <w:rFonts w:ascii="Times New Roman" w:hAnsi="Times New Roman" w:eastAsia="宋体"/>
      <w:sz w:val="18"/>
      <w:szCs w:val="18"/>
    </w:rPr>
  </w:style>
  <w:style w:type="paragraph" w:customStyle="1" w:styleId="78">
    <w:name w:val="Acetate"/>
    <w:basedOn w:val="1"/>
    <w:link w:val="77"/>
    <w:qFormat/>
    <w:uiPriority w:val="0"/>
    <w:rPr>
      <w:rFonts w:ascii="Times New Roman" w:hAnsi="Times New Roman"/>
      <w:kern w:val="0"/>
      <w:sz w:val="18"/>
      <w:szCs w:val="18"/>
    </w:rPr>
  </w:style>
  <w:style w:type="character" w:customStyle="1" w:styleId="79">
    <w:name w:val="HtmlKbd"/>
    <w:qFormat/>
    <w:uiPriority w:val="0"/>
    <w:rPr>
      <w:rFonts w:ascii="Consolas" w:hAnsi="Consolas" w:eastAsia="Consolas"/>
      <w:color w:val="FFFFFF"/>
      <w:sz w:val="21"/>
      <w:szCs w:val="21"/>
      <w:shd w:val="clear" w:color="auto" w:fill="333333"/>
    </w:rPr>
  </w:style>
  <w:style w:type="character" w:customStyle="1" w:styleId="80">
    <w:name w:val="UserStyle_54"/>
    <w:semiHidden/>
    <w:qFormat/>
    <w:uiPriority w:val="0"/>
    <w:rPr>
      <w:rFonts w:ascii="Calibri" w:hAnsi="Calibri" w:eastAsia="宋体"/>
    </w:rPr>
  </w:style>
  <w:style w:type="character" w:customStyle="1" w:styleId="81">
    <w:name w:val="UserStyle_19"/>
    <w:semiHidden/>
    <w:qFormat/>
    <w:uiPriority w:val="0"/>
    <w:rPr>
      <w:rFonts w:ascii="Calibri" w:hAnsi="Calibri" w:eastAsia="宋体"/>
      <w:sz w:val="18"/>
      <w:szCs w:val="18"/>
    </w:rPr>
  </w:style>
  <w:style w:type="character" w:customStyle="1" w:styleId="82">
    <w:name w:val="UserStyle_7"/>
    <w:link w:val="83"/>
    <w:qFormat/>
    <w:uiPriority w:val="0"/>
    <w:rPr>
      <w:rFonts w:ascii="宋体" w:hAnsi="宋体" w:eastAsia="宋体" w:cs="Times New Roman"/>
      <w:b/>
      <w:bCs/>
      <w:sz w:val="24"/>
      <w:szCs w:val="24"/>
    </w:rPr>
  </w:style>
  <w:style w:type="paragraph" w:customStyle="1" w:styleId="83">
    <w:name w:val="AnnotationSubject"/>
    <w:basedOn w:val="84"/>
    <w:next w:val="84"/>
    <w:link w:val="82"/>
    <w:qFormat/>
    <w:uiPriority w:val="0"/>
    <w:rPr>
      <w:b/>
      <w:bCs/>
    </w:rPr>
  </w:style>
  <w:style w:type="paragraph" w:customStyle="1" w:styleId="84">
    <w:name w:val="AnnotationText"/>
    <w:basedOn w:val="1"/>
    <w:link w:val="123"/>
    <w:qFormat/>
    <w:uiPriority w:val="0"/>
    <w:pPr>
      <w:spacing w:line="360" w:lineRule="auto"/>
      <w:ind w:firstLine="523" w:firstLineChars="218"/>
      <w:jc w:val="left"/>
    </w:pPr>
    <w:rPr>
      <w:rFonts w:ascii="宋体" w:hAnsi="宋体"/>
      <w:kern w:val="0"/>
      <w:sz w:val="24"/>
      <w:szCs w:val="24"/>
    </w:rPr>
  </w:style>
  <w:style w:type="character" w:customStyle="1" w:styleId="85">
    <w:name w:val="UserStyle_39"/>
    <w:qFormat/>
    <w:uiPriority w:val="0"/>
    <w:rPr>
      <w:rFonts w:ascii="Arial" w:hAnsi="Arial" w:eastAsia="宋体"/>
      <w:color w:val="000000"/>
      <w:szCs w:val="21"/>
    </w:rPr>
  </w:style>
  <w:style w:type="character" w:customStyle="1" w:styleId="86">
    <w:name w:val="页脚 Char"/>
    <w:link w:val="15"/>
    <w:qFormat/>
    <w:uiPriority w:val="99"/>
    <w:rPr>
      <w:rFonts w:ascii="Calibri" w:hAnsi="Calibri" w:eastAsia="宋体"/>
      <w:sz w:val="18"/>
      <w:szCs w:val="18"/>
    </w:rPr>
  </w:style>
  <w:style w:type="character" w:customStyle="1" w:styleId="87">
    <w:name w:val="UserStyle_20"/>
    <w:link w:val="88"/>
    <w:qFormat/>
    <w:uiPriority w:val="0"/>
    <w:rPr>
      <w:rFonts w:ascii="Times New Roman" w:hAnsi="Times New Roman" w:eastAsia="宋体"/>
      <w:szCs w:val="20"/>
    </w:rPr>
  </w:style>
  <w:style w:type="paragraph" w:customStyle="1" w:styleId="88">
    <w:name w:val="BodyText"/>
    <w:basedOn w:val="1"/>
    <w:link w:val="87"/>
    <w:qFormat/>
    <w:uiPriority w:val="0"/>
    <w:pPr>
      <w:spacing w:after="120"/>
    </w:pPr>
    <w:rPr>
      <w:rFonts w:ascii="Times New Roman" w:hAnsi="Times New Roman"/>
      <w:kern w:val="0"/>
      <w:sz w:val="20"/>
      <w:szCs w:val="20"/>
    </w:rPr>
  </w:style>
  <w:style w:type="character" w:customStyle="1" w:styleId="89">
    <w:name w:val="UserStyle_2"/>
    <w:semiHidden/>
    <w:qFormat/>
    <w:uiPriority w:val="0"/>
    <w:rPr>
      <w:rFonts w:ascii="Calibri" w:hAnsi="Calibri" w:eastAsia="宋体" w:cs="Times New Roman"/>
      <w:b/>
      <w:bCs/>
    </w:rPr>
  </w:style>
  <w:style w:type="character" w:customStyle="1" w:styleId="90">
    <w:name w:val="页眉 Char"/>
    <w:link w:val="16"/>
    <w:qFormat/>
    <w:uiPriority w:val="99"/>
    <w:rPr>
      <w:rFonts w:ascii="Calibri" w:hAnsi="Calibri" w:eastAsia="宋体"/>
      <w:sz w:val="18"/>
      <w:szCs w:val="18"/>
    </w:rPr>
  </w:style>
  <w:style w:type="character" w:customStyle="1" w:styleId="91">
    <w:name w:val="UserStyle_25"/>
    <w:semiHidden/>
    <w:qFormat/>
    <w:uiPriority w:val="0"/>
    <w:rPr>
      <w:rFonts w:ascii="Calibri" w:hAnsi="Calibri" w:eastAsia="宋体"/>
      <w:sz w:val="18"/>
      <w:szCs w:val="18"/>
    </w:rPr>
  </w:style>
  <w:style w:type="character" w:customStyle="1" w:styleId="92">
    <w:name w:val="UserStyle_24"/>
    <w:qFormat/>
    <w:uiPriority w:val="0"/>
    <w:rPr>
      <w:rFonts w:ascii="Arial" w:hAnsi="Arial" w:eastAsia="黑体"/>
      <w:szCs w:val="20"/>
    </w:rPr>
  </w:style>
  <w:style w:type="character" w:customStyle="1" w:styleId="93">
    <w:name w:val="UserStyle_46"/>
    <w:semiHidden/>
    <w:qFormat/>
    <w:uiPriority w:val="0"/>
    <w:rPr>
      <w:rFonts w:ascii="Calibri" w:hAnsi="Calibri" w:eastAsia="宋体"/>
    </w:rPr>
  </w:style>
  <w:style w:type="character" w:customStyle="1" w:styleId="94">
    <w:name w:val="正文首行缩进 Char"/>
    <w:qFormat/>
    <w:uiPriority w:val="99"/>
  </w:style>
  <w:style w:type="character" w:customStyle="1" w:styleId="95">
    <w:name w:val="UserStyle_37"/>
    <w:semiHidden/>
    <w:qFormat/>
    <w:uiPriority w:val="0"/>
    <w:rPr>
      <w:rFonts w:ascii="等线 Light" w:hAnsi="等线 Light" w:eastAsia="等线 Light" w:cs="Times New Roman"/>
      <w:b/>
      <w:bCs/>
      <w:sz w:val="28"/>
      <w:szCs w:val="28"/>
    </w:rPr>
  </w:style>
  <w:style w:type="character" w:customStyle="1" w:styleId="96">
    <w:name w:val="UserStyle_45"/>
    <w:link w:val="97"/>
    <w:qFormat/>
    <w:uiPriority w:val="0"/>
    <w:rPr>
      <w:rFonts w:ascii="Times New Roman" w:hAnsi="Times New Roman" w:eastAsia="宋体"/>
      <w:szCs w:val="20"/>
      <w:shd w:val="clear" w:color="auto" w:fill="000080"/>
    </w:rPr>
  </w:style>
  <w:style w:type="paragraph" w:customStyle="1" w:styleId="97">
    <w:name w:val="NavPane"/>
    <w:basedOn w:val="1"/>
    <w:link w:val="96"/>
    <w:qFormat/>
    <w:uiPriority w:val="0"/>
    <w:pPr>
      <w:shd w:val="clear" w:color="auto" w:fill="000080"/>
    </w:pPr>
    <w:rPr>
      <w:rFonts w:ascii="Times New Roman" w:hAnsi="Times New Roman"/>
      <w:kern w:val="0"/>
      <w:sz w:val="20"/>
      <w:szCs w:val="20"/>
    </w:rPr>
  </w:style>
  <w:style w:type="character" w:customStyle="1" w:styleId="98">
    <w:name w:val="PageNumber"/>
    <w:qFormat/>
    <w:uiPriority w:val="0"/>
  </w:style>
  <w:style w:type="character" w:customStyle="1" w:styleId="99">
    <w:name w:val="标题 3 Char"/>
    <w:link w:val="3"/>
    <w:qFormat/>
    <w:uiPriority w:val="99"/>
    <w:rPr>
      <w:rFonts w:ascii="宋体" w:hAnsi="宋体"/>
      <w:sz w:val="27"/>
      <w:szCs w:val="27"/>
    </w:rPr>
  </w:style>
  <w:style w:type="character" w:customStyle="1" w:styleId="100">
    <w:name w:val="15"/>
    <w:qFormat/>
    <w:uiPriority w:val="0"/>
    <w:rPr>
      <w:rFonts w:hint="eastAsia" w:ascii="等线" w:hAnsi="等线" w:eastAsia="等线" w:cs="Times New Roman"/>
    </w:rPr>
  </w:style>
  <w:style w:type="character" w:customStyle="1" w:styleId="101">
    <w:name w:val="UserStyle_38"/>
    <w:semiHidden/>
    <w:qFormat/>
    <w:uiPriority w:val="0"/>
    <w:rPr>
      <w:rFonts w:ascii="等线 Light" w:hAnsi="等线 Light" w:eastAsia="等线 Light"/>
      <w:sz w:val="24"/>
      <w:szCs w:val="24"/>
    </w:rPr>
  </w:style>
  <w:style w:type="character" w:customStyle="1" w:styleId="102">
    <w:name w:val="正文文本 3 Char1"/>
    <w:link w:val="7"/>
    <w:semiHidden/>
    <w:qFormat/>
    <w:uiPriority w:val="99"/>
    <w:rPr>
      <w:rFonts w:ascii="Calibri" w:hAnsi="Calibri"/>
      <w:kern w:val="2"/>
      <w:sz w:val="16"/>
      <w:szCs w:val="16"/>
    </w:rPr>
  </w:style>
  <w:style w:type="character" w:customStyle="1" w:styleId="103">
    <w:name w:val="纯文本 字符1"/>
    <w:qFormat/>
    <w:uiPriority w:val="0"/>
    <w:rPr>
      <w:rFonts w:ascii="宋体" w:hAnsi="Courier New" w:eastAsia="宋体" w:cs="Times New Roman"/>
      <w:szCs w:val="20"/>
    </w:rPr>
  </w:style>
  <w:style w:type="character" w:customStyle="1" w:styleId="104">
    <w:name w:val="正文文本 Char1"/>
    <w:link w:val="8"/>
    <w:qFormat/>
    <w:uiPriority w:val="99"/>
    <w:rPr>
      <w:rFonts w:ascii="Calibri" w:hAnsi="Calibri"/>
      <w:kern w:val="2"/>
      <w:sz w:val="21"/>
      <w:szCs w:val="22"/>
    </w:rPr>
  </w:style>
  <w:style w:type="character" w:customStyle="1" w:styleId="105">
    <w:name w:val="UserStyle_42"/>
    <w:qFormat/>
    <w:uiPriority w:val="0"/>
    <w:rPr>
      <w:rFonts w:ascii="宋体" w:hAnsi="宋体" w:eastAsia="宋体"/>
      <w:kern w:val="0"/>
      <w:sz w:val="27"/>
      <w:szCs w:val="27"/>
    </w:rPr>
  </w:style>
  <w:style w:type="character" w:customStyle="1" w:styleId="106">
    <w:name w:val="UserStyle_36"/>
    <w:semiHidden/>
    <w:qFormat/>
    <w:uiPriority w:val="0"/>
    <w:rPr>
      <w:rFonts w:ascii="Calibri" w:hAnsi="Calibri" w:eastAsia="宋体"/>
    </w:rPr>
  </w:style>
  <w:style w:type="character" w:customStyle="1" w:styleId="107">
    <w:name w:val="UserStyle_52"/>
    <w:semiHidden/>
    <w:qFormat/>
    <w:uiPriority w:val="0"/>
    <w:rPr>
      <w:rFonts w:ascii="Calibri" w:hAnsi="Calibri" w:eastAsia="宋体"/>
    </w:rPr>
  </w:style>
  <w:style w:type="character" w:customStyle="1" w:styleId="108">
    <w:name w:val="批注主题 Char"/>
    <w:link w:val="21"/>
    <w:qFormat/>
    <w:uiPriority w:val="0"/>
  </w:style>
  <w:style w:type="character" w:customStyle="1" w:styleId="109">
    <w:name w:val="htmlSamp"/>
    <w:qFormat/>
    <w:uiPriority w:val="0"/>
    <w:rPr>
      <w:rFonts w:ascii="Consolas" w:hAnsi="Consolas" w:eastAsia="Consolas"/>
      <w:sz w:val="21"/>
      <w:szCs w:val="21"/>
    </w:rPr>
  </w:style>
  <w:style w:type="character" w:customStyle="1" w:styleId="110">
    <w:name w:val="UserStyle_18"/>
    <w:link w:val="111"/>
    <w:qFormat/>
    <w:uiPriority w:val="0"/>
    <w:rPr>
      <w:rFonts w:ascii="Times New Roman" w:hAnsi="Times New Roman" w:eastAsia="宋体"/>
      <w:color w:val="000000"/>
      <w:sz w:val="24"/>
      <w:szCs w:val="20"/>
    </w:rPr>
  </w:style>
  <w:style w:type="paragraph" w:customStyle="1" w:styleId="111">
    <w:name w:val="BodyTextIndent3"/>
    <w:basedOn w:val="1"/>
    <w:link w:val="110"/>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character" w:customStyle="1" w:styleId="112">
    <w:name w:val="UserStyle_40"/>
    <w:qFormat/>
    <w:uiPriority w:val="0"/>
    <w:rPr>
      <w:rFonts w:ascii="Arial" w:hAnsi="Arial" w:eastAsia="黑体"/>
      <w:sz w:val="24"/>
      <w:szCs w:val="20"/>
    </w:rPr>
  </w:style>
  <w:style w:type="character" w:customStyle="1" w:styleId="113">
    <w:name w:val="UserStyle_15"/>
    <w:semiHidden/>
    <w:qFormat/>
    <w:uiPriority w:val="0"/>
    <w:rPr>
      <w:rFonts w:ascii="等线 Light" w:hAnsi="等线 Light" w:eastAsia="等线 Light"/>
      <w:szCs w:val="21"/>
    </w:rPr>
  </w:style>
  <w:style w:type="character" w:customStyle="1" w:styleId="114">
    <w:name w:val="UserStyle_5"/>
    <w:link w:val="115"/>
    <w:qFormat/>
    <w:uiPriority w:val="0"/>
  </w:style>
  <w:style w:type="paragraph" w:customStyle="1" w:styleId="115">
    <w:name w:val="BodyText1I"/>
    <w:basedOn w:val="88"/>
    <w:link w:val="114"/>
    <w:qFormat/>
    <w:uiPriority w:val="0"/>
    <w:pPr>
      <w:ind w:firstLine="420"/>
    </w:pPr>
  </w:style>
  <w:style w:type="character" w:customStyle="1" w:styleId="116">
    <w:name w:val="UserStyle_3"/>
    <w:link w:val="117"/>
    <w:qFormat/>
    <w:uiPriority w:val="0"/>
    <w:rPr>
      <w:rFonts w:ascii="宋体" w:hAnsi="宋体" w:eastAsia="宋体"/>
      <w:szCs w:val="24"/>
      <w:u w:val="single"/>
    </w:rPr>
  </w:style>
  <w:style w:type="paragraph" w:customStyle="1" w:styleId="117">
    <w:name w:val="BodyText2"/>
    <w:basedOn w:val="1"/>
    <w:link w:val="116"/>
    <w:qFormat/>
    <w:uiPriority w:val="0"/>
    <w:rPr>
      <w:rFonts w:ascii="宋体" w:hAnsi="宋体"/>
      <w:kern w:val="0"/>
      <w:sz w:val="20"/>
      <w:szCs w:val="24"/>
      <w:u w:val="single"/>
    </w:rPr>
  </w:style>
  <w:style w:type="character" w:customStyle="1" w:styleId="118">
    <w:name w:val="文一 Char"/>
    <w:link w:val="119"/>
    <w:qFormat/>
    <w:uiPriority w:val="0"/>
    <w:rPr>
      <w:rFonts w:ascii="等线" w:hAnsi="Calibri" w:eastAsia="等线"/>
      <w:spacing w:val="4"/>
      <w:sz w:val="24"/>
      <w:szCs w:val="24"/>
    </w:rPr>
  </w:style>
  <w:style w:type="paragraph" w:customStyle="1" w:styleId="119">
    <w:name w:val="文一"/>
    <w:basedOn w:val="1"/>
    <w:link w:val="118"/>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character" w:customStyle="1" w:styleId="120">
    <w:name w:val="UserStyle_47"/>
    <w:link w:val="121"/>
    <w:qFormat/>
    <w:uiPriority w:val="0"/>
    <w:rPr>
      <w:rFonts w:ascii="宋体" w:hAnsi="宋体" w:eastAsia="宋体"/>
      <w:sz w:val="18"/>
      <w:szCs w:val="18"/>
    </w:rPr>
  </w:style>
  <w:style w:type="paragraph" w:customStyle="1" w:styleId="121">
    <w:name w:val="FootnoteText"/>
    <w:basedOn w:val="1"/>
    <w:link w:val="120"/>
    <w:qFormat/>
    <w:uiPriority w:val="0"/>
    <w:pPr>
      <w:snapToGrid w:val="0"/>
      <w:spacing w:line="360" w:lineRule="auto"/>
      <w:ind w:firstLine="523" w:firstLineChars="218"/>
      <w:jc w:val="left"/>
    </w:pPr>
    <w:rPr>
      <w:rFonts w:ascii="宋体" w:hAnsi="宋体"/>
      <w:kern w:val="0"/>
      <w:sz w:val="18"/>
      <w:szCs w:val="18"/>
    </w:rPr>
  </w:style>
  <w:style w:type="character" w:customStyle="1" w:styleId="122">
    <w:name w:val="NormalCharacter"/>
    <w:qFormat/>
    <w:uiPriority w:val="0"/>
  </w:style>
  <w:style w:type="character" w:customStyle="1" w:styleId="123">
    <w:name w:val="UserStyle_49"/>
    <w:link w:val="84"/>
    <w:qFormat/>
    <w:uiPriority w:val="0"/>
    <w:rPr>
      <w:rFonts w:ascii="宋体" w:hAnsi="宋体" w:eastAsia="宋体"/>
      <w:sz w:val="24"/>
      <w:szCs w:val="24"/>
    </w:rPr>
  </w:style>
  <w:style w:type="character" w:customStyle="1" w:styleId="124">
    <w:name w:val="UserStyle_13"/>
    <w:semiHidden/>
    <w:qFormat/>
    <w:uiPriority w:val="0"/>
    <w:rPr>
      <w:rFonts w:ascii="Calibri" w:hAnsi="Calibri" w:eastAsia="宋体" w:cs="Times New Roman"/>
      <w:b/>
      <w:bCs/>
      <w:sz w:val="28"/>
      <w:szCs w:val="28"/>
    </w:rPr>
  </w:style>
  <w:style w:type="character" w:customStyle="1" w:styleId="125">
    <w:name w:val="正文首行缩进 Char1"/>
    <w:link w:val="22"/>
    <w:qFormat/>
    <w:uiPriority w:val="0"/>
  </w:style>
  <w:style w:type="character" w:customStyle="1" w:styleId="126">
    <w:name w:val="批注框文本 Char"/>
    <w:link w:val="14"/>
    <w:qFormat/>
    <w:uiPriority w:val="99"/>
    <w:rPr>
      <w:rFonts w:ascii="Calibri" w:hAnsi="Calibri"/>
      <w:kern w:val="2"/>
      <w:sz w:val="18"/>
      <w:szCs w:val="18"/>
    </w:rPr>
  </w:style>
  <w:style w:type="character" w:customStyle="1" w:styleId="127">
    <w:name w:val="UserStyle_27"/>
    <w:link w:val="128"/>
    <w:qFormat/>
    <w:uiPriority w:val="0"/>
    <w:rPr>
      <w:rFonts w:ascii="Times New Roman" w:hAnsi="Times New Roman" w:eastAsia="宋体"/>
      <w:sz w:val="28"/>
      <w:szCs w:val="20"/>
    </w:rPr>
  </w:style>
  <w:style w:type="paragraph" w:customStyle="1" w:styleId="128">
    <w:name w:val="BodyTextIndent"/>
    <w:basedOn w:val="1"/>
    <w:link w:val="127"/>
    <w:qFormat/>
    <w:uiPriority w:val="0"/>
    <w:pPr>
      <w:ind w:firstLine="570"/>
    </w:pPr>
    <w:rPr>
      <w:rFonts w:ascii="Times New Roman" w:hAnsi="Times New Roman"/>
      <w:kern w:val="0"/>
      <w:sz w:val="28"/>
      <w:szCs w:val="20"/>
    </w:rPr>
  </w:style>
  <w:style w:type="paragraph" w:customStyle="1" w:styleId="129">
    <w:name w:val="Heading6"/>
    <w:basedOn w:val="1"/>
    <w:next w:val="1"/>
    <w:qFormat/>
    <w:uiPriority w:val="0"/>
    <w:pPr>
      <w:keepNext/>
      <w:keepLines/>
      <w:numPr>
        <w:ilvl w:val="5"/>
        <w:numId w:val="2"/>
      </w:numPr>
      <w:spacing w:before="240" w:after="64" w:line="320" w:lineRule="auto"/>
    </w:pPr>
    <w:rPr>
      <w:rFonts w:ascii="Arial" w:hAnsi="Arial" w:eastAsia="黑体"/>
      <w:sz w:val="24"/>
      <w:szCs w:val="24"/>
    </w:rPr>
  </w:style>
  <w:style w:type="paragraph" w:customStyle="1" w:styleId="130">
    <w:name w:val="封一"/>
    <w:basedOn w:val="119"/>
    <w:next w:val="119"/>
    <w:qFormat/>
    <w:uiPriority w:val="0"/>
    <w:pPr>
      <w:ind w:firstLine="0" w:firstLineChars="0"/>
      <w:jc w:val="center"/>
    </w:pPr>
    <w:rPr>
      <w:rFonts w:eastAsia="黑体"/>
      <w:b/>
      <w:sz w:val="84"/>
      <w:szCs w:val="84"/>
    </w:rPr>
  </w:style>
  <w:style w:type="paragraph" w:customStyle="1" w:styleId="131">
    <w:name w:val="UserStyle_65"/>
    <w:basedOn w:val="132"/>
    <w:next w:val="1"/>
    <w:qFormat/>
    <w:uiPriority w:val="0"/>
    <w:pPr>
      <w:spacing w:before="480" w:after="0" w:line="276" w:lineRule="auto"/>
    </w:pPr>
    <w:rPr>
      <w:rFonts w:ascii="Cambria" w:hAnsi="Cambria"/>
      <w:color w:val="365F91"/>
      <w:kern w:val="0"/>
    </w:rPr>
  </w:style>
  <w:style w:type="paragraph" w:customStyle="1" w:styleId="132">
    <w:name w:val="Heading1"/>
    <w:basedOn w:val="20"/>
    <w:next w:val="115"/>
    <w:qFormat/>
    <w:uiPriority w:val="0"/>
    <w:pPr>
      <w:keepNext/>
      <w:keepLines/>
      <w:spacing w:after="120" w:line="360" w:lineRule="auto"/>
    </w:pPr>
    <w:rPr>
      <w:kern w:val="44"/>
      <w:sz w:val="28"/>
      <w:szCs w:val="28"/>
    </w:rPr>
  </w:style>
  <w:style w:type="paragraph" w:customStyle="1" w:styleId="133">
    <w:name w:val="Heading8"/>
    <w:basedOn w:val="1"/>
    <w:next w:val="44"/>
    <w:qFormat/>
    <w:uiPriority w:val="0"/>
    <w:pPr>
      <w:keepNext/>
      <w:keepLines/>
      <w:numPr>
        <w:ilvl w:val="7"/>
        <w:numId w:val="1"/>
      </w:numPr>
      <w:spacing w:before="240" w:after="64" w:line="320" w:lineRule="auto"/>
    </w:pPr>
    <w:rPr>
      <w:rFonts w:ascii="Arial" w:hAnsi="Arial" w:eastAsia="黑体"/>
      <w:sz w:val="24"/>
      <w:szCs w:val="20"/>
    </w:rPr>
  </w:style>
  <w:style w:type="paragraph" w:customStyle="1" w:styleId="134">
    <w:name w:val="UserStyle_69"/>
    <w:basedOn w:val="135"/>
    <w:qFormat/>
    <w:uiPriority w:val="0"/>
    <w:pPr>
      <w:ind w:left="4094" w:right="607" w:firstLine="0"/>
      <w:jc w:val="center"/>
    </w:pPr>
  </w:style>
  <w:style w:type="paragraph" w:customStyle="1" w:styleId="135">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36">
    <w:name w:val="Index1"/>
    <w:basedOn w:val="1"/>
    <w:next w:val="1"/>
    <w:qFormat/>
    <w:uiPriority w:val="0"/>
    <w:rPr>
      <w:rFonts w:ascii="Times New Roman" w:hAnsi="Times New Roman" w:eastAsia="仿宋_GB2312"/>
      <w:sz w:val="28"/>
      <w:szCs w:val="20"/>
    </w:rPr>
  </w:style>
  <w:style w:type="paragraph" w:customStyle="1" w:styleId="137">
    <w:name w:val="TOC3"/>
    <w:basedOn w:val="1"/>
    <w:next w:val="1"/>
    <w:qFormat/>
    <w:uiPriority w:val="0"/>
    <w:pPr>
      <w:snapToGrid w:val="0"/>
      <w:spacing w:line="360" w:lineRule="auto"/>
      <w:ind w:left="400" w:leftChars="400"/>
      <w:jc w:val="left"/>
    </w:pPr>
    <w:rPr>
      <w:rFonts w:ascii="Times New Roman" w:hAnsi="Times New Roman"/>
      <w:sz w:val="24"/>
      <w:szCs w:val="20"/>
    </w:rPr>
  </w:style>
  <w:style w:type="paragraph" w:customStyle="1" w:styleId="138">
    <w:name w:val="179"/>
    <w:basedOn w:val="1"/>
    <w:qFormat/>
    <w:uiPriority w:val="0"/>
    <w:pPr>
      <w:ind w:firstLine="420" w:firstLineChars="200"/>
    </w:pPr>
    <w:rPr>
      <w:rFonts w:ascii="Times New Roman" w:hAnsi="Times New Roman"/>
      <w:szCs w:val="20"/>
    </w:rPr>
  </w:style>
  <w:style w:type="paragraph" w:customStyle="1" w:styleId="139">
    <w:name w:val="Heading2"/>
    <w:basedOn w:val="1"/>
    <w:next w:val="44"/>
    <w:qFormat/>
    <w:uiPriority w:val="0"/>
    <w:pPr>
      <w:keepNext/>
      <w:keepLines/>
      <w:spacing w:before="120" w:after="120" w:line="415" w:lineRule="auto"/>
      <w:ind w:left="454"/>
      <w:jc w:val="center"/>
    </w:pPr>
    <w:rPr>
      <w:rFonts w:ascii="Arial" w:hAnsi="Arial"/>
      <w:color w:val="000000"/>
      <w:sz w:val="24"/>
      <w:szCs w:val="24"/>
    </w:rPr>
  </w:style>
  <w:style w:type="paragraph" w:customStyle="1" w:styleId="140">
    <w:name w:val="HtmlNormal"/>
    <w:basedOn w:val="1"/>
    <w:qFormat/>
    <w:uiPriority w:val="0"/>
    <w:rPr>
      <w:rFonts w:ascii="仿宋_GB2312" w:hAnsi="Times New Roman"/>
      <w:sz w:val="24"/>
      <w:szCs w:val="32"/>
    </w:rPr>
  </w:style>
  <w:style w:type="paragraph" w:customStyle="1" w:styleId="141">
    <w:name w:val="UserStyle_59"/>
    <w:next w:val="142"/>
    <w:qFormat/>
    <w:uiPriority w:val="0"/>
    <w:pPr>
      <w:textAlignment w:val="baseline"/>
    </w:pPr>
    <w:rPr>
      <w:rFonts w:ascii="宋体" w:hAnsi="Times New Roman" w:eastAsia="宋体" w:cs="Times New Roman"/>
      <w:sz w:val="24"/>
      <w:szCs w:val="24"/>
      <w:lang w:val="en-US" w:eastAsia="zh-CN" w:bidi="ar-SA"/>
    </w:rPr>
  </w:style>
  <w:style w:type="paragraph" w:customStyle="1" w:styleId="142">
    <w:name w:val="UserStyle_67"/>
    <w:basedOn w:val="141"/>
    <w:qFormat/>
    <w:uiPriority w:val="0"/>
    <w:pPr>
      <w:ind w:firstLine="200" w:firstLineChars="200"/>
    </w:pPr>
    <w:rPr>
      <w:kern w:val="2"/>
    </w:rPr>
  </w:style>
  <w:style w:type="paragraph" w:customStyle="1" w:styleId="143">
    <w:name w:val="UserStyle_72"/>
    <w:basedOn w:val="97"/>
    <w:qFormat/>
    <w:uiPriority w:val="0"/>
    <w:rPr>
      <w:rFonts w:ascii="Tahoma" w:hAnsi="Tahoma"/>
      <w:sz w:val="24"/>
      <w:szCs w:val="24"/>
    </w:rPr>
  </w:style>
  <w:style w:type="paragraph" w:customStyle="1" w:styleId="144">
    <w:name w:val="UserStyle_71"/>
    <w:semiHidden/>
    <w:qFormat/>
    <w:uiPriority w:val="0"/>
    <w:pPr>
      <w:textAlignment w:val="baseline"/>
    </w:pPr>
    <w:rPr>
      <w:rFonts w:ascii="Times New Roman" w:hAnsi="Times New Roman" w:eastAsia="宋体" w:cs="Times New Roman"/>
      <w:kern w:val="2"/>
      <w:sz w:val="21"/>
      <w:lang w:val="en-US" w:eastAsia="zh-CN" w:bidi="ar-SA"/>
    </w:rPr>
  </w:style>
  <w:style w:type="paragraph" w:customStyle="1" w:styleId="145">
    <w:name w:val="UserStyle_58"/>
    <w:basedOn w:val="141"/>
    <w:qFormat/>
    <w:uiPriority w:val="0"/>
    <w:pPr>
      <w:ind w:firstLine="420" w:firstLineChars="200"/>
    </w:pPr>
  </w:style>
  <w:style w:type="paragraph" w:customStyle="1" w:styleId="146">
    <w:name w:val="UserStyle_74"/>
    <w:basedOn w:val="1"/>
    <w:qFormat/>
    <w:uiPriority w:val="0"/>
    <w:rPr>
      <w:rFonts w:ascii="Tahoma" w:hAnsi="Tahoma"/>
      <w:sz w:val="24"/>
      <w:szCs w:val="20"/>
    </w:rPr>
  </w:style>
  <w:style w:type="paragraph" w:customStyle="1" w:styleId="147">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8">
    <w:name w:val="Heading4"/>
    <w:basedOn w:val="149"/>
    <w:next w:val="44"/>
    <w:qFormat/>
    <w:uiPriority w:val="0"/>
    <w:pPr>
      <w:keepNext/>
      <w:keepLines/>
      <w:numPr>
        <w:ilvl w:val="3"/>
        <w:numId w:val="1"/>
      </w:numPr>
      <w:spacing w:before="0" w:after="0" w:line="360" w:lineRule="auto"/>
    </w:pPr>
    <w:rPr>
      <w:rFonts w:ascii="Arial" w:hAnsi="Arial"/>
      <w:color w:val="000000"/>
      <w:kern w:val="2"/>
      <w:sz w:val="21"/>
      <w:szCs w:val="21"/>
    </w:rPr>
  </w:style>
  <w:style w:type="paragraph" w:customStyle="1" w:styleId="149">
    <w:name w:val="Heading3"/>
    <w:basedOn w:val="1"/>
    <w:next w:val="1"/>
    <w:qFormat/>
    <w:uiPriority w:val="0"/>
    <w:pPr>
      <w:spacing w:before="100" w:beforeAutospacing="1" w:after="100" w:afterAutospacing="1"/>
      <w:jc w:val="left"/>
    </w:pPr>
    <w:rPr>
      <w:rFonts w:ascii="宋体" w:hAnsi="宋体"/>
      <w:kern w:val="0"/>
      <w:sz w:val="27"/>
      <w:szCs w:val="27"/>
    </w:rPr>
  </w:style>
  <w:style w:type="paragraph" w:customStyle="1" w:styleId="150">
    <w:name w:val="_Style 149"/>
    <w:unhideWhenUsed/>
    <w:qFormat/>
    <w:uiPriority w:val="99"/>
    <w:rPr>
      <w:rFonts w:ascii="Calibri" w:hAnsi="Calibri" w:eastAsia="宋体" w:cs="Times New Roman"/>
      <w:kern w:val="2"/>
      <w:sz w:val="21"/>
      <w:szCs w:val="22"/>
      <w:lang w:val="en-US" w:eastAsia="zh-CN" w:bidi="ar-SA"/>
    </w:rPr>
  </w:style>
  <w:style w:type="paragraph" w:customStyle="1" w:styleId="151">
    <w:name w:val="UserStyle_76"/>
    <w:basedOn w:val="1"/>
    <w:qFormat/>
    <w:uiPriority w:val="0"/>
    <w:rPr>
      <w:rFonts w:ascii="Arial" w:hAnsi="Arial"/>
      <w:sz w:val="48"/>
      <w:szCs w:val="20"/>
    </w:rPr>
  </w:style>
  <w:style w:type="paragraph" w:customStyle="1" w:styleId="152">
    <w:name w:val="列表段落1"/>
    <w:basedOn w:val="1"/>
    <w:qFormat/>
    <w:uiPriority w:val="0"/>
    <w:pPr>
      <w:widowControl w:val="0"/>
      <w:ind w:firstLine="420" w:firstLineChars="200"/>
      <w:textAlignment w:val="auto"/>
    </w:pPr>
    <w:rPr>
      <w:szCs w:val="21"/>
    </w:rPr>
  </w:style>
  <w:style w:type="paragraph" w:customStyle="1" w:styleId="153">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54">
    <w:name w:val="UserStyle_62"/>
    <w:basedOn w:val="44"/>
    <w:qFormat/>
    <w:uiPriority w:val="0"/>
    <w:pPr>
      <w:ind w:firstLine="0"/>
    </w:pPr>
    <w:rPr>
      <w:rFonts w:ascii="仿宋_GB2312" w:eastAsia="仿宋_GB2312"/>
      <w:sz w:val="30"/>
      <w:szCs w:val="24"/>
    </w:rPr>
  </w:style>
  <w:style w:type="paragraph" w:customStyle="1" w:styleId="155">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paragraph" w:customStyle="1" w:styleId="156">
    <w:name w:val="封四"/>
    <w:basedOn w:val="119"/>
    <w:next w:val="119"/>
    <w:qFormat/>
    <w:uiPriority w:val="0"/>
    <w:pPr>
      <w:jc w:val="left"/>
    </w:pPr>
    <w:rPr>
      <w:sz w:val="30"/>
      <w:szCs w:val="30"/>
    </w:rPr>
  </w:style>
  <w:style w:type="paragraph" w:customStyle="1" w:styleId="157">
    <w:name w:val="UserStyle_75"/>
    <w:basedOn w:val="1"/>
    <w:qFormat/>
    <w:uiPriority w:val="0"/>
    <w:rPr>
      <w:rFonts w:ascii="Times New Roman" w:hAnsi="Times New Roman"/>
      <w:sz w:val="30"/>
      <w:szCs w:val="24"/>
    </w:rPr>
  </w:style>
  <w:style w:type="paragraph" w:customStyle="1" w:styleId="158">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TOC1"/>
    <w:basedOn w:val="1"/>
    <w:next w:val="1"/>
    <w:qFormat/>
    <w:uiPriority w:val="0"/>
    <w:pPr>
      <w:tabs>
        <w:tab w:val="right" w:leader="dot" w:pos="9060"/>
      </w:tabs>
      <w:snapToGrid w:val="0"/>
      <w:spacing w:line="360" w:lineRule="auto"/>
      <w:jc w:val="left"/>
    </w:pPr>
    <w:rPr>
      <w:rFonts w:ascii="宋体" w:hAnsi="宋体"/>
      <w:kern w:val="0"/>
      <w:sz w:val="24"/>
      <w:szCs w:val="32"/>
    </w:rPr>
  </w:style>
  <w:style w:type="paragraph" w:customStyle="1" w:styleId="160">
    <w:name w:val="Heading5"/>
    <w:basedOn w:val="148"/>
    <w:next w:val="44"/>
    <w:qFormat/>
    <w:uiPriority w:val="0"/>
    <w:pPr>
      <w:numPr>
        <w:ilvl w:val="4"/>
      </w:numPr>
      <w:spacing w:line="240" w:lineRule="exact"/>
    </w:pPr>
  </w:style>
  <w:style w:type="paragraph" w:customStyle="1" w:styleId="161">
    <w:name w:val="UserStyle_61"/>
    <w:basedOn w:val="1"/>
    <w:qFormat/>
    <w:uiPriority w:val="0"/>
    <w:pPr>
      <w:spacing w:before="100" w:after="100"/>
      <w:ind w:left="360" w:right="360"/>
      <w:jc w:val="left"/>
    </w:pPr>
    <w:rPr>
      <w:rFonts w:ascii="Times New Roman" w:hAnsi="Times New Roman"/>
      <w:kern w:val="0"/>
      <w:sz w:val="24"/>
      <w:szCs w:val="20"/>
    </w:rPr>
  </w:style>
  <w:style w:type="paragraph" w:customStyle="1" w:styleId="162">
    <w:name w:val="UserStyle_56"/>
    <w:qFormat/>
    <w:uiPriority w:val="0"/>
    <w:pPr>
      <w:textAlignment w:val="baseline"/>
    </w:pPr>
    <w:rPr>
      <w:rFonts w:ascii="等线" w:hAnsi="等线" w:eastAsia="等线" w:cs="Times New Roman"/>
      <w:lang w:val="en-US" w:eastAsia="zh-CN" w:bidi="ar-SA"/>
    </w:rPr>
  </w:style>
  <w:style w:type="paragraph" w:customStyle="1" w:styleId="163">
    <w:name w:val="正题"/>
    <w:basedOn w:val="119"/>
    <w:next w:val="119"/>
    <w:qFormat/>
    <w:uiPriority w:val="0"/>
    <w:pPr>
      <w:ind w:firstLine="0" w:firstLineChars="0"/>
      <w:jc w:val="center"/>
    </w:pPr>
    <w:rPr>
      <w:rFonts w:eastAsia="黑体"/>
      <w:b/>
      <w:sz w:val="36"/>
      <w:szCs w:val="36"/>
    </w:rPr>
  </w:style>
  <w:style w:type="paragraph" w:customStyle="1" w:styleId="164">
    <w:name w:val="Heading7"/>
    <w:basedOn w:val="1"/>
    <w:next w:val="44"/>
    <w:qFormat/>
    <w:uiPriority w:val="0"/>
    <w:pPr>
      <w:keepNext/>
      <w:keepLines/>
      <w:numPr>
        <w:ilvl w:val="6"/>
        <w:numId w:val="1"/>
      </w:numPr>
      <w:spacing w:before="240" w:after="64" w:line="320" w:lineRule="auto"/>
    </w:pPr>
    <w:rPr>
      <w:rFonts w:ascii="Times New Roman" w:hAnsi="Times New Roman"/>
      <w:sz w:val="24"/>
      <w:szCs w:val="20"/>
    </w:rPr>
  </w:style>
  <w:style w:type="paragraph" w:customStyle="1" w:styleId="165">
    <w:name w:val="TOC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customStyle="1" w:styleId="166">
    <w:name w:val="页脚 New New New"/>
    <w:basedOn w:val="1"/>
    <w:qFormat/>
    <w:uiPriority w:val="0"/>
    <w:pPr>
      <w:widowControl w:val="0"/>
      <w:tabs>
        <w:tab w:val="center" w:pos="4153"/>
        <w:tab w:val="right" w:pos="8306"/>
      </w:tabs>
      <w:snapToGrid w:val="0"/>
      <w:jc w:val="left"/>
      <w:textAlignment w:val="auto"/>
    </w:pPr>
    <w:rPr>
      <w:rFonts w:ascii="Times New Roman" w:hAnsi="Times New Roman"/>
      <w:sz w:val="18"/>
      <w:szCs w:val="18"/>
    </w:rPr>
  </w:style>
  <w:style w:type="paragraph" w:customStyle="1" w:styleId="167">
    <w:name w:val="UserStyle_68"/>
    <w:basedOn w:val="1"/>
    <w:qFormat/>
    <w:uiPriority w:val="0"/>
    <w:pPr>
      <w:numPr>
        <w:ilvl w:val="0"/>
        <w:numId w:val="1"/>
      </w:numPr>
    </w:pPr>
    <w:rPr>
      <w:rFonts w:ascii="Times New Roman" w:hAnsi="Times New Roman"/>
      <w:sz w:val="24"/>
      <w:szCs w:val="24"/>
    </w:rPr>
  </w:style>
  <w:style w:type="paragraph" w:customStyle="1" w:styleId="168">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69">
    <w:name w:val="UserStyle_73"/>
    <w:basedOn w:val="149"/>
    <w:qFormat/>
    <w:uiPriority w:val="0"/>
    <w:pPr>
      <w:keepNext/>
      <w:keepLines/>
      <w:spacing w:before="0" w:after="0"/>
      <w:ind w:left="1469" w:right="1542"/>
    </w:pPr>
    <w:rPr>
      <w:rFonts w:hAnsi="Times New Roman"/>
      <w:kern w:val="2"/>
      <w:sz w:val="44"/>
      <w:szCs w:val="21"/>
    </w:rPr>
  </w:style>
  <w:style w:type="paragraph" w:customStyle="1" w:styleId="170">
    <w:name w:val="封二"/>
    <w:basedOn w:val="119"/>
    <w:next w:val="119"/>
    <w:qFormat/>
    <w:uiPriority w:val="0"/>
    <w:pPr>
      <w:ind w:firstLine="0" w:firstLineChars="0"/>
      <w:jc w:val="center"/>
    </w:pPr>
    <w:rPr>
      <w:rFonts w:eastAsia="黑体"/>
      <w:b/>
      <w:sz w:val="36"/>
      <w:szCs w:val="36"/>
    </w:rPr>
  </w:style>
  <w:style w:type="paragraph" w:customStyle="1" w:styleId="171">
    <w:name w:val="UserStyle_70"/>
    <w:basedOn w:val="1"/>
    <w:qFormat/>
    <w:uiPriority w:val="0"/>
    <w:pPr>
      <w:spacing w:line="360" w:lineRule="auto"/>
      <w:jc w:val="center"/>
    </w:pPr>
    <w:rPr>
      <w:rFonts w:ascii="黑体" w:hAnsi="Times New Roman" w:eastAsia="黑体"/>
      <w:kern w:val="0"/>
      <w:sz w:val="24"/>
      <w:szCs w:val="20"/>
    </w:rPr>
  </w:style>
  <w:style w:type="paragraph" w:customStyle="1" w:styleId="172">
    <w:name w:val="UserStyle_60"/>
    <w:qFormat/>
    <w:uiPriority w:val="0"/>
    <w:pPr>
      <w:jc w:val="both"/>
      <w:textAlignment w:val="baseline"/>
    </w:pPr>
    <w:rPr>
      <w:rFonts w:ascii="Times New Roman" w:hAnsi="Times New Roman" w:eastAsia="宋体" w:cs="Times New Roman"/>
      <w:kern w:val="2"/>
      <w:sz w:val="21"/>
      <w:szCs w:val="22"/>
      <w:lang w:val="en-US" w:eastAsia="zh-CN" w:bidi="ar-SA"/>
    </w:rPr>
  </w:style>
  <w:style w:type="table" w:customStyle="1" w:styleId="173">
    <w:name w:val="TableGrid"/>
    <w:basedOn w:val="174"/>
    <w:qFormat/>
    <w:uiPriority w:val="0"/>
  </w:style>
  <w:style w:type="table" w:customStyle="1" w:styleId="174">
    <w:name w:val="TableNormal"/>
    <w:qFormat/>
    <w:uiPriority w:val="0"/>
    <w:tblPr>
      <w:tblCellMar>
        <w:top w:w="0" w:type="dxa"/>
        <w:left w:w="0" w:type="dxa"/>
        <w:bottom w:w="0" w:type="dxa"/>
        <w:right w:w="0" w:type="dxa"/>
      </w:tblCellMar>
    </w:tblPr>
  </w:style>
  <w:style w:type="paragraph" w:customStyle="1" w:styleId="175">
    <w:name w:val="修订1"/>
    <w:hidden/>
    <w:unhideWhenUsed/>
    <w:qFormat/>
    <w:uiPriority w:val="99"/>
    <w:rPr>
      <w:rFonts w:ascii="Calibri" w:hAnsi="Calibri" w:eastAsia="宋体" w:cs="Times New Roman"/>
      <w:kern w:val="2"/>
      <w:sz w:val="21"/>
      <w:szCs w:val="22"/>
      <w:lang w:val="en-US" w:eastAsia="zh-CN" w:bidi="ar-SA"/>
    </w:rPr>
  </w:style>
  <w:style w:type="character" w:customStyle="1" w:styleId="176">
    <w:name w:val="未处理的提及1"/>
    <w:basedOn w:val="26"/>
    <w:semiHidden/>
    <w:unhideWhenUsed/>
    <w:qFormat/>
    <w:uiPriority w:val="99"/>
    <w:rPr>
      <w:color w:val="605E5C"/>
      <w:shd w:val="clear" w:color="auto" w:fill="E1DFDD"/>
    </w:rPr>
  </w:style>
  <w:style w:type="paragraph" w:customStyle="1" w:styleId="177">
    <w:name w:val="修订2"/>
    <w:hidden/>
    <w:semiHidden/>
    <w:qFormat/>
    <w:uiPriority w:val="99"/>
    <w:rPr>
      <w:rFonts w:ascii="Calibri" w:hAnsi="Calibri" w:eastAsia="宋体" w:cs="Times New Roman"/>
      <w:kern w:val="2"/>
      <w:sz w:val="21"/>
      <w:szCs w:val="22"/>
      <w:lang w:val="en-US" w:eastAsia="zh-CN" w:bidi="ar-SA"/>
    </w:rPr>
  </w:style>
  <w:style w:type="paragraph" w:customStyle="1" w:styleId="178">
    <w:name w:val="修订3"/>
    <w:hidden/>
    <w:semiHidden/>
    <w:qFormat/>
    <w:uiPriority w:val="99"/>
    <w:rPr>
      <w:rFonts w:ascii="Calibri" w:hAnsi="Calibri" w:eastAsia="宋体" w:cs="Times New Roman"/>
      <w:kern w:val="2"/>
      <w:sz w:val="21"/>
      <w:szCs w:val="22"/>
      <w:lang w:val="en-US" w:eastAsia="zh-CN" w:bidi="ar-SA"/>
    </w:rPr>
  </w:style>
  <w:style w:type="paragraph" w:styleId="179">
    <w:name w:val="List Paragraph"/>
    <w:basedOn w:val="1"/>
    <w:qFormat/>
    <w:uiPriority w:val="99"/>
    <w:pPr>
      <w:ind w:firstLine="420" w:firstLineChars="200"/>
    </w:pPr>
  </w:style>
  <w:style w:type="paragraph" w:customStyle="1" w:styleId="180">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16975-A37C-464E-953D-38F112B899A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33135</Words>
  <Characters>34967</Characters>
  <Lines>397</Lines>
  <Paragraphs>111</Paragraphs>
  <TotalTime>1</TotalTime>
  <ScaleCrop>false</ScaleCrop>
  <LinksUpToDate>false</LinksUpToDate>
  <CharactersWithSpaces>36117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2025-05-14T03:48:00Z</dcterms:created>
  <dc:creator>Administrator</dc:creator>
  <cp:lastModifiedBy>AA</cp:lastModifiedBy>
  <cp:lastPrinted>2022-07-18T02:40:00Z</cp:lastPrinted>
  <dcterms:modified xsi:type="dcterms:W3CDTF">2025-05-14T07:29:41Z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307DD6F0E84A4E23A27B01F4C49A67AA_13</vt:lpwstr>
  </property>
  <property fmtid="{D5CDD505-2E9C-101B-9397-08002B2CF9AE}" pid="4" name="KSOTemplateDocerSaveRecord">
    <vt:lpwstr>eyJoZGlkIjoiOGVkZTY0ZWJkZjY1NzZmNmI5M2ZiMjBhYTA1YzE2MjMiLCJ1c2VySWQiOiI1ODI3NjI3ODcifQ==</vt:lpwstr>
  </property>
</Properties>
</file>