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B2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6"/>
          <w:szCs w:val="36"/>
          <w:highlight w:val="none"/>
          <w:u w:val="none"/>
        </w:rPr>
      </w:pPr>
      <w:r>
        <w:rPr>
          <w:rStyle w:val="20"/>
          <w:rFonts w:hint="eastAsia" w:ascii="宋体" w:hAnsi="宋体" w:eastAsia="宋体" w:cs="宋体"/>
          <w:b/>
          <w:bCs/>
          <w:i w:val="0"/>
          <w:iCs w:val="0"/>
          <w:caps w:val="0"/>
          <w:color w:val="auto"/>
          <w:spacing w:val="0"/>
          <w:kern w:val="0"/>
          <w:sz w:val="36"/>
          <w:szCs w:val="36"/>
          <w:highlight w:val="none"/>
          <w:u w:val="none"/>
          <w:shd w:val="clear" w:fill="FFFFFF"/>
          <w:lang w:val="en-US" w:eastAsia="zh-CN" w:bidi="ar"/>
        </w:rPr>
        <w:t>广州空港经济区机场高速以西、白云六线两侧地块内部配套道路项目（一期工程）施工总承包补充公告</w:t>
      </w:r>
    </w:p>
    <w:p w14:paraId="6BCB21C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auto"/>
          <w:spacing w:val="0"/>
          <w:sz w:val="24"/>
          <w:szCs w:val="24"/>
          <w:highlight w:val="none"/>
          <w:u w:val="none"/>
        </w:rPr>
      </w:pPr>
      <w:r>
        <w:rPr>
          <w:rFonts w:hint="eastAsia" w:ascii="宋体" w:hAnsi="宋体" w:eastAsia="宋体" w:cs="宋体"/>
          <w:i w:val="0"/>
          <w:iCs w:val="0"/>
          <w:caps w:val="0"/>
          <w:color w:val="auto"/>
          <w:spacing w:val="0"/>
          <w:kern w:val="0"/>
          <w:sz w:val="24"/>
          <w:szCs w:val="24"/>
          <w:highlight w:val="none"/>
          <w:u w:val="none"/>
          <w:shd w:val="clear" w:fill="FFFFFF"/>
          <w:lang w:val="en-US" w:eastAsia="zh-CN" w:bidi="ar"/>
        </w:rPr>
        <w:t> </w:t>
      </w:r>
    </w:p>
    <w:p w14:paraId="33AB1C6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广州空港经济区机场高速以西、白云六线两侧地块内部配套道路项目（一期工程）施工总承包（项目编号：JG2025-1921）已于2025年5月1日</w:t>
      </w:r>
      <w:r>
        <w:rPr>
          <w:rFonts w:hint="eastAsia" w:ascii="宋体" w:hAnsi="宋体" w:eastAsia="宋体" w:cs="宋体"/>
          <w:i w:val="0"/>
          <w:iCs w:val="0"/>
          <w:caps w:val="0"/>
          <w:color w:val="auto"/>
          <w:spacing w:val="0"/>
          <w:sz w:val="21"/>
          <w:szCs w:val="21"/>
          <w:shd w:val="clear" w:fill="FFFFFF"/>
        </w:rPr>
        <w:t>在广州交易集团有限公司（广州公共资源交易中心）网站、广东省招标投标监管网和中国招标投标公共服务平台</w:t>
      </w: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发布招标公告，现对原招标文件作如下修改调整，如招标文件内容与本补充公告内容存在不一致的，以本补充公告内容为准，原招标文件中其他内容不变。</w:t>
      </w:r>
    </w:p>
    <w:p w14:paraId="3E2CD3D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auto"/>
          <w:spacing w:val="0"/>
          <w:sz w:val="21"/>
          <w:szCs w:val="21"/>
          <w:highlight w:val="none"/>
          <w:u w:val="none"/>
          <w:shd w:val="clear" w:fill="FFFFFF"/>
        </w:rPr>
      </w:pPr>
    </w:p>
    <w:p w14:paraId="43E8250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default" w:ascii="宋体" w:hAnsi="宋体" w:eastAsia="宋体" w:cs="宋体"/>
          <w:i w:val="0"/>
          <w:iCs w:val="0"/>
          <w:caps w:val="0"/>
          <w:color w:val="auto"/>
          <w:spacing w:val="0"/>
          <w:sz w:val="21"/>
          <w:szCs w:val="21"/>
          <w:highlight w:val="none"/>
          <w:u w:val="none"/>
          <w:shd w:val="clear" w:fill="FFFFFF"/>
          <w:lang w:val="en-US" w:eastAsia="zh-CN"/>
        </w:rPr>
      </w:pPr>
      <w:r>
        <w:rPr>
          <w:rFonts w:hint="eastAsia" w:ascii="宋体" w:hAnsi="宋体" w:eastAsia="宋体" w:cs="宋体"/>
          <w:i w:val="0"/>
          <w:iCs w:val="0"/>
          <w:caps w:val="0"/>
          <w:color w:val="auto"/>
          <w:spacing w:val="0"/>
          <w:sz w:val="21"/>
          <w:szCs w:val="21"/>
          <w:highlight w:val="none"/>
          <w:u w:val="none"/>
          <w:shd w:val="clear" w:fill="FFFFFF"/>
        </w:rPr>
        <w:t>一、</w:t>
      </w:r>
      <w:r>
        <w:rPr>
          <w:rFonts w:hint="eastAsia" w:ascii="宋体" w:hAnsi="宋体" w:eastAsia="宋体" w:cs="宋体"/>
          <w:i w:val="0"/>
          <w:iCs w:val="0"/>
          <w:caps w:val="0"/>
          <w:color w:val="auto"/>
          <w:spacing w:val="0"/>
          <w:sz w:val="21"/>
          <w:szCs w:val="21"/>
          <w:highlight w:val="none"/>
          <w:u w:val="none"/>
          <w:shd w:val="clear" w:fill="FFFFFF"/>
          <w:lang w:val="en-US" w:eastAsia="zh-CN"/>
        </w:rPr>
        <w:t>对招标文件修改如下：</w:t>
      </w:r>
    </w:p>
    <w:tbl>
      <w:tblPr>
        <w:tblStyle w:val="17"/>
        <w:tblW w:w="9795" w:type="dxa"/>
        <w:tblInd w:w="-5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19"/>
        <w:gridCol w:w="1995"/>
        <w:gridCol w:w="3585"/>
        <w:gridCol w:w="3396"/>
      </w:tblGrid>
      <w:tr w14:paraId="2A08B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4" w:hRule="atLeast"/>
        </w:trPr>
        <w:tc>
          <w:tcPr>
            <w:tcW w:w="819"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2ADA3F6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序号</w:t>
            </w:r>
          </w:p>
        </w:tc>
        <w:tc>
          <w:tcPr>
            <w:tcW w:w="1995"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02CACDA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b/>
                <w:bCs/>
                <w:i w:val="0"/>
                <w:iCs w:val="0"/>
                <w:caps w:val="0"/>
                <w:color w:val="auto"/>
                <w:spacing w:val="0"/>
                <w:kern w:val="0"/>
                <w:sz w:val="21"/>
                <w:szCs w:val="21"/>
                <w:u w:val="none"/>
                <w:lang w:val="en-US" w:eastAsia="zh-CN" w:bidi="ar"/>
              </w:rPr>
              <w:t>条款号</w:t>
            </w:r>
          </w:p>
        </w:tc>
        <w:tc>
          <w:tcPr>
            <w:tcW w:w="3585"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2B5543B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b/>
                <w:bCs/>
                <w:i w:val="0"/>
                <w:iCs w:val="0"/>
                <w:caps w:val="0"/>
                <w:color w:val="auto"/>
                <w:spacing w:val="0"/>
                <w:kern w:val="0"/>
                <w:sz w:val="21"/>
                <w:szCs w:val="21"/>
                <w:u w:val="none"/>
                <w:lang w:val="en-US" w:eastAsia="zh-CN" w:bidi="ar"/>
              </w:rPr>
              <w:t>原文</w:t>
            </w:r>
          </w:p>
        </w:tc>
        <w:tc>
          <w:tcPr>
            <w:tcW w:w="3396"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6B39028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b/>
                <w:bCs/>
                <w:i w:val="0"/>
                <w:iCs w:val="0"/>
                <w:caps w:val="0"/>
                <w:color w:val="auto"/>
                <w:spacing w:val="0"/>
                <w:kern w:val="0"/>
                <w:sz w:val="21"/>
                <w:szCs w:val="21"/>
                <w:u w:val="none"/>
                <w:lang w:val="en-US" w:eastAsia="zh-CN" w:bidi="ar"/>
              </w:rPr>
              <w:t>现文</w:t>
            </w:r>
          </w:p>
        </w:tc>
      </w:tr>
      <w:tr w14:paraId="731B73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203E6F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1</w:t>
            </w: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78C87C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招标文件 第一章 投标须知</w:t>
            </w:r>
          </w:p>
          <w:p w14:paraId="46B5A4C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一、</w:t>
            </w: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投标须知前附表</w:t>
            </w:r>
          </w:p>
          <w:p w14:paraId="7EAFB53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条款号2.2工期要求</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2EF3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施工总工期：427天。 暂定从2025年 5月30 日开始施工，2026年7月30日竣工。其中，纵二路及横三路2025年9月30日完工并具备通车条件。</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B256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b/>
                <w:bCs/>
                <w:color w:val="auto"/>
                <w:szCs w:val="21"/>
                <w:highlight w:val="none"/>
                <w:u w:val="single"/>
              </w:rPr>
              <w:t>施工总工期：</w:t>
            </w:r>
            <w:r>
              <w:rPr>
                <w:rFonts w:hint="eastAsia" w:ascii="宋体" w:hAnsi="宋体" w:eastAsia="宋体" w:cs="宋体"/>
                <w:b/>
                <w:bCs/>
                <w:color w:val="auto"/>
                <w:szCs w:val="21"/>
                <w:highlight w:val="none"/>
                <w:u w:val="single"/>
                <w:lang w:val="en-US" w:eastAsia="zh-CN"/>
              </w:rPr>
              <w:t>427日历</w:t>
            </w:r>
            <w:r>
              <w:rPr>
                <w:rFonts w:hint="eastAsia" w:ascii="宋体" w:hAnsi="宋体" w:eastAsia="宋体" w:cs="宋体"/>
                <w:b/>
                <w:bCs/>
                <w:color w:val="auto"/>
                <w:szCs w:val="21"/>
                <w:highlight w:val="none"/>
                <w:u w:val="single"/>
              </w:rPr>
              <w:t>天。 暂定从2025年</w:t>
            </w:r>
            <w:r>
              <w:rPr>
                <w:rFonts w:hint="eastAsia" w:ascii="宋体" w:hAnsi="宋体" w:eastAsia="宋体" w:cs="宋体"/>
                <w:b/>
                <w:bCs/>
                <w:color w:val="auto"/>
                <w:szCs w:val="21"/>
                <w:highlight w:val="none"/>
                <w:u w:val="single"/>
                <w:lang w:val="en-US" w:eastAsia="zh-CN"/>
              </w:rPr>
              <w:t>6</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15</w:t>
            </w:r>
            <w:r>
              <w:rPr>
                <w:rFonts w:hint="eastAsia" w:ascii="宋体" w:hAnsi="宋体" w:eastAsia="宋体" w:cs="宋体"/>
                <w:b/>
                <w:bCs/>
                <w:color w:val="auto"/>
                <w:szCs w:val="21"/>
                <w:highlight w:val="none"/>
                <w:u w:val="single"/>
              </w:rPr>
              <w:t>日开始施工，2026年</w:t>
            </w:r>
            <w:r>
              <w:rPr>
                <w:rFonts w:hint="eastAsia" w:ascii="宋体" w:hAnsi="宋体" w:eastAsia="宋体" w:cs="宋体"/>
                <w:b/>
                <w:bCs/>
                <w:color w:val="auto"/>
                <w:szCs w:val="21"/>
                <w:highlight w:val="none"/>
                <w:u w:val="single"/>
                <w:lang w:val="en-US" w:eastAsia="zh-CN"/>
              </w:rPr>
              <w:t xml:space="preserve">  8</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15</w:t>
            </w:r>
            <w:r>
              <w:rPr>
                <w:rFonts w:hint="eastAsia" w:ascii="宋体" w:hAnsi="宋体" w:eastAsia="宋体" w:cs="宋体"/>
                <w:b/>
                <w:bCs/>
                <w:color w:val="auto"/>
                <w:szCs w:val="21"/>
                <w:highlight w:val="none"/>
                <w:u w:val="single"/>
              </w:rPr>
              <w:t>日竣工。</w:t>
            </w:r>
          </w:p>
        </w:tc>
      </w:tr>
      <w:tr w14:paraId="22A7C2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A2E6FD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2</w:t>
            </w: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A8FB40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招标文件 第一章 投标须知</w:t>
            </w:r>
          </w:p>
          <w:p w14:paraId="5EBE1897">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一、</w:t>
            </w: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投标须知前附表</w:t>
            </w:r>
          </w:p>
          <w:p w14:paraId="2C6F676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项目29第一阶段各分值的权重</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692B0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技术标得分×技术标得分权重（90%）+企业信用评价分数×企业信用评价权重（10%）</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39A3C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bCs/>
                <w:color w:val="auto"/>
                <w:szCs w:val="21"/>
                <w:highlight w:val="none"/>
                <w:u w:val="single"/>
              </w:rPr>
            </w:pPr>
            <w:r>
              <w:rPr>
                <w:rFonts w:hint="eastAsia" w:ascii="宋体" w:hAnsi="宋体"/>
                <w:color w:val="auto"/>
                <w:szCs w:val="21"/>
                <w:highlight w:val="none"/>
                <w:u w:val="single"/>
              </w:rPr>
              <w:t>技术标得分×技术标得分权重</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0%）</w:t>
            </w:r>
          </w:p>
        </w:tc>
      </w:tr>
      <w:tr w14:paraId="6E7C9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AD6992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EF479F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招标文件 第一章 投标须知</w:t>
            </w:r>
          </w:p>
          <w:p w14:paraId="53F2E4F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一、</w:t>
            </w: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投标须知前附表</w:t>
            </w:r>
          </w:p>
          <w:p w14:paraId="2AD9827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项目30企业信用评价分数</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9F36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本项目的企业信用评价分数，以</w:t>
            </w:r>
            <w:r>
              <w:rPr>
                <w:rFonts w:hint="eastAsia" w:ascii="宋体" w:hAnsi="宋体" w:eastAsia="宋体" w:cs="宋体"/>
                <w:color w:val="auto"/>
                <w:sz w:val="21"/>
                <w:szCs w:val="21"/>
                <w:u w:val="single"/>
              </w:rPr>
              <w:t xml:space="preserve"> 施工企业  </w:t>
            </w:r>
            <w:r>
              <w:rPr>
                <w:rFonts w:hint="eastAsia" w:ascii="宋体" w:hAnsi="宋体" w:eastAsia="宋体" w:cs="宋体"/>
                <w:color w:val="auto"/>
                <w:sz w:val="21"/>
                <w:szCs w:val="21"/>
                <w:u w:val="none"/>
              </w:rPr>
              <w:t>为准。</w:t>
            </w:r>
          </w:p>
          <w:p w14:paraId="70B04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single"/>
              </w:rPr>
              <w:t>注：以投标截止当月广州市交通建设项目企业信息库（网址：https://112.94.68.79:8088/entHome/index）-行业信用评价排名-施工企业分数为准。</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5B75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Theme="minorEastAsia"/>
                <w:color w:val="auto"/>
                <w:szCs w:val="21"/>
                <w:highlight w:val="none"/>
                <w:u w:val="single"/>
                <w:lang w:val="en-US" w:eastAsia="zh-CN"/>
              </w:rPr>
            </w:pPr>
            <w:r>
              <w:rPr>
                <w:rFonts w:hint="eastAsia" w:ascii="宋体" w:hAnsi="宋体"/>
                <w:color w:val="auto"/>
                <w:szCs w:val="21"/>
                <w:highlight w:val="none"/>
                <w:u w:val="single"/>
              </w:rPr>
              <w:t>本款不适用</w:t>
            </w:r>
            <w:r>
              <w:rPr>
                <w:rFonts w:hint="eastAsia" w:ascii="宋体" w:hAnsi="宋体" w:cs="仿宋_GB2312"/>
                <w:color w:val="auto"/>
                <w:szCs w:val="21"/>
                <w:highlight w:val="none"/>
                <w:u w:val="single"/>
              </w:rPr>
              <w:t>。</w:t>
            </w:r>
          </w:p>
        </w:tc>
      </w:tr>
      <w:tr w14:paraId="61FB99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72C98F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BCAE8F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招标文件 第一章 投标须知</w:t>
            </w:r>
          </w:p>
          <w:p w14:paraId="1731008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一、</w:t>
            </w: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投标须知前附表</w:t>
            </w:r>
          </w:p>
          <w:p w14:paraId="7AF3EAD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条款号29.1履约担保</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7711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是否要求投标人提交履约担保：</w:t>
            </w:r>
          </w:p>
          <w:p w14:paraId="2D40A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□不要求</w:t>
            </w:r>
          </w:p>
          <w:p w14:paraId="28450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■要求：</w:t>
            </w:r>
          </w:p>
          <w:p w14:paraId="6FBD7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履约保证金的金额：</w:t>
            </w:r>
            <w:r>
              <w:rPr>
                <w:rFonts w:hint="eastAsia" w:ascii="宋体" w:hAnsi="宋体" w:eastAsia="宋体" w:cs="宋体"/>
                <w:color w:val="auto"/>
                <w:sz w:val="21"/>
                <w:szCs w:val="21"/>
                <w:u w:val="single"/>
              </w:rPr>
              <w:t>中标人提供的履约保证金为中标价款的10%。（如小微）</w:t>
            </w:r>
          </w:p>
          <w:p w14:paraId="1A9D4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履约保证金的形式：详见合同。</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65396A3">
            <w:pPr>
              <w:spacing w:line="276" w:lineRule="auto"/>
              <w:rPr>
                <w:rFonts w:hint="eastAsia" w:ascii="宋体" w:hAnsi="宋体" w:cs="宋体"/>
                <w:color w:val="auto"/>
                <w:highlight w:val="none"/>
              </w:rPr>
            </w:pPr>
            <w:r>
              <w:rPr>
                <w:rFonts w:hint="eastAsia" w:ascii="宋体" w:hAnsi="宋体" w:cs="宋体"/>
                <w:color w:val="auto"/>
                <w:highlight w:val="none"/>
              </w:rPr>
              <w:t>是否要求投标人提交履约担保：</w:t>
            </w:r>
          </w:p>
          <w:p w14:paraId="0AD1D552">
            <w:pPr>
              <w:spacing w:line="276" w:lineRule="auto"/>
              <w:rPr>
                <w:rFonts w:hint="eastAsia" w:ascii="宋体" w:hAnsi="宋体" w:cs="宋体"/>
                <w:color w:val="auto"/>
                <w:highlight w:val="none"/>
              </w:rPr>
            </w:pPr>
            <w:r>
              <w:rPr>
                <w:rFonts w:hint="eastAsia" w:ascii="宋体" w:hAnsi="宋体" w:cs="宋体"/>
                <w:color w:val="auto"/>
                <w:highlight w:val="none"/>
              </w:rPr>
              <w:t>□不要求</w:t>
            </w:r>
          </w:p>
          <w:p w14:paraId="084E64ED">
            <w:pPr>
              <w:spacing w:line="276" w:lineRule="auto"/>
              <w:rPr>
                <w:rFonts w:hint="eastAsia" w:ascii="宋体" w:hAnsi="宋体" w:cs="宋体"/>
                <w:color w:val="auto"/>
                <w:highlight w:val="none"/>
              </w:rPr>
            </w:pPr>
            <w:r>
              <w:rPr>
                <w:rFonts w:hint="eastAsia" w:ascii="宋体" w:hAnsi="宋体" w:cs="宋体"/>
                <w:color w:val="auto"/>
                <w:highlight w:val="none"/>
              </w:rPr>
              <w:t>■要求：</w:t>
            </w:r>
          </w:p>
          <w:p w14:paraId="324A9904">
            <w:pPr>
              <w:spacing w:line="276" w:lineRule="auto"/>
              <w:rPr>
                <w:rFonts w:hint="eastAsia" w:ascii="宋体" w:hAnsi="宋体" w:cs="宋体"/>
                <w:color w:val="auto"/>
                <w:highlight w:val="none"/>
              </w:rPr>
            </w:pPr>
            <w:r>
              <w:rPr>
                <w:rFonts w:hint="eastAsia" w:ascii="宋体" w:hAnsi="宋体" w:cs="宋体"/>
                <w:color w:val="auto"/>
                <w:highlight w:val="none"/>
              </w:rPr>
              <w:t>履约保证金的金额：</w:t>
            </w:r>
            <w:r>
              <w:rPr>
                <w:rFonts w:hint="eastAsia" w:ascii="宋体" w:hAnsi="宋体" w:cs="宋体"/>
                <w:color w:val="auto"/>
                <w:highlight w:val="none"/>
                <w:u w:val="single"/>
              </w:rPr>
              <w:t>中标人提供的履约保证金为中标价款的</w:t>
            </w:r>
            <w:r>
              <w:rPr>
                <w:rFonts w:ascii="宋体" w:hAnsi="宋体" w:cs="宋体"/>
                <w:color w:val="auto"/>
                <w:highlight w:val="none"/>
                <w:u w:val="single"/>
              </w:rPr>
              <w:t>10%。</w:t>
            </w:r>
            <w:r>
              <w:rPr>
                <w:rFonts w:ascii="宋体" w:hAnsi="宋体" w:cs="宋体"/>
                <w:b/>
                <w:bCs/>
                <w:color w:val="auto"/>
                <w:sz w:val="21"/>
                <w:szCs w:val="21"/>
                <w:highlight w:val="none"/>
                <w:u w:val="single"/>
              </w:rPr>
              <w:t>（若中标人为中小企业的，金额为</w:t>
            </w:r>
            <w:r>
              <w:rPr>
                <w:rFonts w:hint="eastAsia" w:ascii="宋体" w:hAnsi="宋体" w:cs="宋体"/>
                <w:b/>
                <w:bCs/>
                <w:color w:val="auto"/>
                <w:sz w:val="21"/>
                <w:szCs w:val="21"/>
                <w:highlight w:val="none"/>
                <w:u w:val="single"/>
              </w:rPr>
              <w:t>中标价款的</w:t>
            </w:r>
            <w:r>
              <w:rPr>
                <w:rFonts w:ascii="宋体" w:hAnsi="宋体" w:cs="宋体"/>
                <w:b/>
                <w:bCs/>
                <w:color w:val="auto"/>
                <w:sz w:val="21"/>
                <w:szCs w:val="21"/>
                <w:highlight w:val="none"/>
                <w:u w:val="single"/>
              </w:rPr>
              <w:t>5</w:t>
            </w:r>
            <w:r>
              <w:rPr>
                <w:rFonts w:hint="eastAsia" w:ascii="宋体" w:hAnsi="宋体" w:cs="宋体"/>
                <w:b/>
                <w:bCs/>
                <w:color w:val="auto"/>
                <w:sz w:val="21"/>
                <w:szCs w:val="21"/>
                <w:highlight w:val="none"/>
                <w:u w:val="single"/>
              </w:rPr>
              <w:t>%</w:t>
            </w:r>
            <w:r>
              <w:rPr>
                <w:rFonts w:ascii="宋体" w:hAnsi="宋体" w:cs="宋体"/>
                <w:b/>
                <w:bCs/>
                <w:color w:val="auto"/>
                <w:sz w:val="21"/>
                <w:szCs w:val="21"/>
                <w:highlight w:val="none"/>
                <w:u w:val="single"/>
              </w:rPr>
              <w:t>）</w:t>
            </w:r>
            <w:r>
              <w:rPr>
                <w:rFonts w:hint="eastAsia" w:ascii="宋体" w:hAnsi="宋体" w:cs="宋体"/>
                <w:b/>
                <w:bCs/>
                <w:color w:val="auto"/>
                <w:sz w:val="21"/>
                <w:szCs w:val="21"/>
                <w:highlight w:val="none"/>
                <w:u w:val="single"/>
              </w:rPr>
              <w:t>。</w:t>
            </w:r>
          </w:p>
          <w:p w14:paraId="0B3E2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bCs/>
                <w:color w:val="auto"/>
                <w:szCs w:val="21"/>
                <w:highlight w:val="none"/>
                <w:u w:val="single"/>
              </w:rPr>
            </w:pPr>
            <w:r>
              <w:rPr>
                <w:rFonts w:hint="eastAsia"/>
                <w:color w:val="auto"/>
                <w:highlight w:val="none"/>
              </w:rPr>
              <w:t>履约保证金的形式：详见合同。</w:t>
            </w:r>
          </w:p>
        </w:tc>
      </w:tr>
      <w:tr w14:paraId="3CA2D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C8A044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2</w:t>
            </w: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AAEF587">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招标文件 第二章 开标、评标及定标办法</w:t>
            </w:r>
          </w:p>
          <w:p w14:paraId="6EB86572">
            <w:pPr>
              <w:pStyle w:val="1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开标、评标及定标办法修改表</w:t>
            </w:r>
          </w:p>
          <w:p w14:paraId="1FD2C43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pPr>
            <w:r>
              <w:rPr>
                <w:rFonts w:hint="default" w:ascii="宋体" w:hAnsi="宋体" w:eastAsia="宋体" w:cs="宋体"/>
                <w:i w:val="0"/>
                <w:iCs w:val="0"/>
                <w:caps w:val="0"/>
                <w:color w:val="auto"/>
                <w:spacing w:val="0"/>
                <w:kern w:val="0"/>
                <w:sz w:val="21"/>
                <w:szCs w:val="21"/>
                <w:highlight w:val="none"/>
                <w:u w:val="none"/>
                <w:shd w:val="clear" w:fill="FFFFFF"/>
                <w:lang w:val="en-US" w:eastAsia="zh-CN" w:bidi="ar"/>
              </w:rPr>
              <w:t>42.3.3</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8990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42.3.3评标委员会按照“第一阶段得分= </w:t>
            </w:r>
            <w:r>
              <w:rPr>
                <w:rFonts w:hint="eastAsia" w:ascii="宋体" w:hAnsi="宋体"/>
                <w:b/>
                <w:bCs/>
                <w:color w:val="auto"/>
                <w:szCs w:val="21"/>
                <w:u w:val="single"/>
              </w:rPr>
              <w:t>技术标得分×技术标得分权重（90%）+企业信用评价分数×企业信用评价权重（10%）</w:t>
            </w:r>
            <w:r>
              <w:rPr>
                <w:rFonts w:hint="eastAsia" w:ascii="宋体" w:hAnsi="宋体" w:eastAsia="宋体" w:cs="宋体"/>
                <w:color w:val="auto"/>
                <w:sz w:val="21"/>
                <w:szCs w:val="21"/>
                <w:u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r>
              <w:rPr>
                <w:rFonts w:hint="eastAsia" w:ascii="宋体" w:hAnsi="宋体" w:eastAsia="宋体" w:cs="宋体"/>
                <w:strike/>
                <w:dstrike w:val="0"/>
                <w:color w:val="auto"/>
                <w:sz w:val="21"/>
                <w:szCs w:val="21"/>
                <w:u w:val="none"/>
              </w:rPr>
              <w:t>（适用于进行了技术标评分的）（建议进入第二阶段评审家数≥7家，当N个标段同时招标且不允许兼中时建议≥N+7家）</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8550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bCs/>
                <w:color w:val="auto"/>
                <w:szCs w:val="21"/>
                <w:highlight w:val="none"/>
                <w:u w:val="single"/>
              </w:rPr>
            </w:pPr>
            <w:r>
              <w:rPr>
                <w:rFonts w:hint="eastAsia" w:ascii="宋体" w:hAnsi="宋体" w:eastAsia="宋体" w:cs="宋体"/>
                <w:color w:val="auto"/>
                <w:sz w:val="21"/>
                <w:szCs w:val="21"/>
                <w:u w:val="none"/>
              </w:rPr>
              <w:t xml:space="preserve">42.3.3评标委员会按照“第一阶段得分= </w:t>
            </w:r>
            <w:r>
              <w:rPr>
                <w:rFonts w:hint="eastAsia" w:ascii="宋体" w:hAnsi="宋体"/>
                <w:b/>
                <w:bCs/>
                <w:color w:val="auto"/>
                <w:szCs w:val="21"/>
                <w:u w:val="single"/>
              </w:rPr>
              <w:t>技术标得分×技术标得分权重（</w:t>
            </w:r>
            <w:r>
              <w:rPr>
                <w:rFonts w:hint="eastAsia" w:ascii="宋体" w:hAnsi="宋体"/>
                <w:b/>
                <w:bCs/>
                <w:color w:val="auto"/>
                <w:szCs w:val="21"/>
                <w:u w:val="single"/>
                <w:lang w:val="en-US" w:eastAsia="zh-CN"/>
              </w:rPr>
              <w:t>10</w:t>
            </w:r>
            <w:r>
              <w:rPr>
                <w:rFonts w:hint="eastAsia" w:ascii="宋体" w:hAnsi="宋体"/>
                <w:b/>
                <w:bCs/>
                <w:color w:val="auto"/>
                <w:szCs w:val="21"/>
                <w:u w:val="single"/>
              </w:rPr>
              <w:t>0%）</w:t>
            </w:r>
            <w:r>
              <w:rPr>
                <w:rFonts w:hint="eastAsia" w:ascii="宋体" w:hAnsi="宋体" w:eastAsia="宋体" w:cs="宋体"/>
                <w:color w:val="auto"/>
                <w:sz w:val="21"/>
                <w:szCs w:val="21"/>
                <w:u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r>
              <w:rPr>
                <w:rFonts w:hint="eastAsia" w:ascii="宋体" w:hAnsi="宋体" w:eastAsia="宋体" w:cs="宋体"/>
                <w:strike/>
                <w:dstrike w:val="0"/>
                <w:color w:val="auto"/>
                <w:sz w:val="21"/>
                <w:szCs w:val="21"/>
                <w:u w:val="none"/>
              </w:rPr>
              <w:t>（适用于进行了技术标评分的）（建议进入第二阶段评审家数≥7家，当N个标段同时招标且不允许兼中时建议≥N+7家）</w:t>
            </w:r>
          </w:p>
        </w:tc>
      </w:tr>
      <w:tr w14:paraId="25D0D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92"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6CF1199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CC1680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招标文件</w:t>
            </w:r>
          </w:p>
          <w:p w14:paraId="7A07D33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附表四《技术标详细审查评分表》</w:t>
            </w:r>
          </w:p>
          <w:p w14:paraId="51E3336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90CF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详见原招标文件</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60D1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u w:val="single"/>
                <w:lang w:val="en-US" w:eastAsia="zh-CN" w:bidi="ar-SA"/>
              </w:rPr>
              <w:t>详见本补充公告附件一</w:t>
            </w:r>
          </w:p>
        </w:tc>
      </w:tr>
    </w:tbl>
    <w:p w14:paraId="15D1B2E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auto"/>
          <w:spacing w:val="0"/>
          <w:sz w:val="21"/>
          <w:szCs w:val="21"/>
          <w:u w:val="none"/>
          <w:lang w:val="en-US" w:eastAsia="zh-CN"/>
        </w:rPr>
      </w:pPr>
      <w:r>
        <w:rPr>
          <w:rFonts w:hint="eastAsia" w:ascii="宋体" w:hAnsi="宋体" w:eastAsia="宋体" w:cs="宋体"/>
          <w:i w:val="0"/>
          <w:iCs w:val="0"/>
          <w:caps w:val="0"/>
          <w:color w:val="auto"/>
          <w:spacing w:val="0"/>
          <w:sz w:val="21"/>
          <w:szCs w:val="21"/>
          <w:u w:val="none"/>
          <w:lang w:val="en-US" w:eastAsia="zh-CN"/>
        </w:rPr>
        <w:t>二、</w:t>
      </w:r>
      <w:r>
        <w:rPr>
          <w:rFonts w:hint="eastAsia" w:ascii="宋体" w:hAnsi="宋体" w:eastAsia="宋体" w:cs="宋体"/>
          <w:i w:val="0"/>
          <w:iCs w:val="0"/>
          <w:caps w:val="0"/>
          <w:color w:val="auto"/>
          <w:spacing w:val="0"/>
          <w:sz w:val="21"/>
          <w:szCs w:val="21"/>
          <w:u w:val="none"/>
        </w:rPr>
        <w:t>本招标项目的《招标文件》、《招标文件GZZB》</w:t>
      </w:r>
      <w:r>
        <w:rPr>
          <w:rFonts w:hint="eastAsia" w:ascii="宋体" w:hAnsi="宋体" w:eastAsia="宋体" w:cs="宋体"/>
          <w:i w:val="0"/>
          <w:iCs w:val="0"/>
          <w:caps w:val="0"/>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lang w:val="en-US" w:eastAsia="zh-CN"/>
        </w:rPr>
        <w:t>施工合同</w:t>
      </w:r>
      <w:r>
        <w:rPr>
          <w:rFonts w:hint="eastAsia" w:ascii="宋体" w:hAnsi="宋体" w:eastAsia="宋体" w:cs="宋体"/>
          <w:i w:val="0"/>
          <w:iCs w:val="0"/>
          <w:caps w:val="0"/>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rPr>
        <w:t>以本次补充公告发布的为准，详见本补充公告附件。</w:t>
      </w:r>
    </w:p>
    <w:p w14:paraId="52BDAF9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auto"/>
          <w:spacing w:val="0"/>
          <w:sz w:val="21"/>
          <w:szCs w:val="21"/>
          <w:highlight w:val="none"/>
          <w:u w:val="none"/>
          <w:shd w:val="clear" w:fill="FFFFFF"/>
          <w:lang w:val="en-US" w:eastAsia="zh-CN"/>
        </w:rPr>
      </w:pPr>
    </w:p>
    <w:p w14:paraId="277FCC3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lang w:val="en-US" w:eastAsia="zh-CN"/>
        </w:rPr>
        <w:t>三</w:t>
      </w:r>
      <w:r>
        <w:rPr>
          <w:rFonts w:hint="eastAsia" w:ascii="宋体" w:hAnsi="宋体" w:eastAsia="宋体" w:cs="宋体"/>
          <w:i w:val="0"/>
          <w:iCs w:val="0"/>
          <w:caps w:val="0"/>
          <w:color w:val="auto"/>
          <w:spacing w:val="0"/>
          <w:sz w:val="21"/>
          <w:szCs w:val="21"/>
          <w:highlight w:val="none"/>
          <w:u w:val="none"/>
          <w:shd w:val="clear" w:fill="FFFFFF"/>
        </w:rPr>
        <w:t>、</w:t>
      </w:r>
      <w:r>
        <w:rPr>
          <w:rFonts w:hint="eastAsia" w:ascii="宋体" w:hAnsi="宋体" w:eastAsia="宋体" w:cs="宋体"/>
          <w:i w:val="0"/>
          <w:iCs w:val="0"/>
          <w:caps w:val="0"/>
          <w:color w:val="auto"/>
          <w:spacing w:val="0"/>
          <w:sz w:val="21"/>
          <w:szCs w:val="21"/>
          <w:u w:val="none"/>
        </w:rPr>
        <w:t>本项目原定的递交投标文件时间及开标时间和场地安排等作相应调整。具体时间和场地安排请各投标人密切留意广州交易集团有限公司（广州公共资源交易中心）公布的本项目的日程安排，投标人可登录广州交易集团有限公司（广州公共资源交易中心）网站首页，点击“交易业务-建设工程”专栏中的“项目查询（日程安排、答疑纪要）”，输入项目编号或项目名称查询最新信息。</w:t>
      </w:r>
    </w:p>
    <w:p w14:paraId="5F5C6FC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auto"/>
          <w:spacing w:val="0"/>
          <w:sz w:val="21"/>
          <w:szCs w:val="21"/>
          <w:highlight w:val="none"/>
          <w:u w:val="none"/>
          <w:shd w:val="clear" w:fill="FFFFFF"/>
          <w:lang w:val="en-US" w:eastAsia="zh-CN"/>
        </w:rPr>
      </w:pPr>
    </w:p>
    <w:p w14:paraId="2007C47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lang w:val="en-US" w:eastAsia="zh-CN"/>
        </w:rPr>
        <w:t>四</w:t>
      </w:r>
      <w:r>
        <w:rPr>
          <w:rFonts w:hint="eastAsia" w:ascii="宋体" w:hAnsi="宋体" w:eastAsia="宋体" w:cs="宋体"/>
          <w:i w:val="0"/>
          <w:iCs w:val="0"/>
          <w:caps w:val="0"/>
          <w:color w:val="auto"/>
          <w:spacing w:val="0"/>
          <w:sz w:val="21"/>
          <w:szCs w:val="21"/>
          <w:highlight w:val="none"/>
          <w:u w:val="none"/>
          <w:shd w:val="clear" w:fill="FFFFFF"/>
        </w:rPr>
        <w:t>、原招标文件的内容与本补充公告发布的内容不一致之处的，以本补充公告内容为准，本补充公告为招标文件的组成部分，如对同一事项的表述与之前所发出的招标文件不符，则以本补充公告为准，其他内容不变。</w:t>
      </w:r>
    </w:p>
    <w:p w14:paraId="310E78B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rPr>
        <w:t> </w:t>
      </w:r>
    </w:p>
    <w:p w14:paraId="2AEFBF2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rPr>
        <w:t>广州空港建设运营集团有限公司</w:t>
      </w:r>
    </w:p>
    <w:p w14:paraId="0028499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lang w:val="en-US" w:eastAsia="zh-CN"/>
        </w:rPr>
        <w:t>日期：</w:t>
      </w:r>
      <w:r>
        <w:rPr>
          <w:rFonts w:hint="eastAsia" w:ascii="宋体" w:hAnsi="宋体" w:eastAsia="宋体" w:cs="宋体"/>
          <w:i w:val="0"/>
          <w:iCs w:val="0"/>
          <w:caps w:val="0"/>
          <w:color w:val="auto"/>
          <w:spacing w:val="0"/>
          <w:sz w:val="21"/>
          <w:szCs w:val="21"/>
          <w:highlight w:val="none"/>
          <w:u w:val="none"/>
          <w:shd w:val="clear" w:fill="FFFFFF"/>
        </w:rPr>
        <w:t>202</w:t>
      </w:r>
      <w:r>
        <w:rPr>
          <w:rFonts w:hint="eastAsia" w:ascii="宋体" w:hAnsi="宋体" w:eastAsia="宋体" w:cs="宋体"/>
          <w:i w:val="0"/>
          <w:iCs w:val="0"/>
          <w:caps w:val="0"/>
          <w:color w:val="auto"/>
          <w:spacing w:val="0"/>
          <w:sz w:val="21"/>
          <w:szCs w:val="21"/>
          <w:highlight w:val="none"/>
          <w:u w:val="none"/>
          <w:shd w:val="clear" w:fill="FFFFFF"/>
          <w:lang w:val="en-US" w:eastAsia="zh-CN"/>
        </w:rPr>
        <w:t>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eastAsia="宋体" w:cs="宋体"/>
          <w:i w:val="0"/>
          <w:iCs w:val="0"/>
          <w:caps w:val="0"/>
          <w:color w:val="auto"/>
          <w:spacing w:val="0"/>
          <w:sz w:val="21"/>
          <w:szCs w:val="21"/>
          <w:highlight w:val="none"/>
          <w:u w:val="none"/>
          <w:shd w:val="clear" w:fill="FFFFFF"/>
          <w:lang w:val="en-US" w:eastAsia="zh-CN"/>
        </w:rPr>
        <w:t>5</w:t>
      </w:r>
      <w:r>
        <w:rPr>
          <w:rFonts w:hint="eastAsia" w:ascii="宋体" w:hAnsi="宋体" w:eastAsia="宋体" w:cs="宋体"/>
          <w:i w:val="0"/>
          <w:iCs w:val="0"/>
          <w:caps w:val="0"/>
          <w:color w:val="auto"/>
          <w:spacing w:val="0"/>
          <w:sz w:val="21"/>
          <w:szCs w:val="21"/>
          <w:highlight w:val="none"/>
          <w:u w:val="none"/>
          <w:shd w:val="clear" w:fill="FFFFFF"/>
        </w:rPr>
        <w:t>月</w:t>
      </w:r>
      <w:r>
        <w:rPr>
          <w:rFonts w:hint="eastAsia" w:ascii="宋体" w:hAnsi="宋体" w:eastAsia="宋体" w:cs="宋体"/>
          <w:i w:val="0"/>
          <w:iCs w:val="0"/>
          <w:caps w:val="0"/>
          <w:color w:val="auto"/>
          <w:spacing w:val="0"/>
          <w:sz w:val="21"/>
          <w:szCs w:val="21"/>
          <w:highlight w:val="none"/>
          <w:u w:val="none"/>
          <w:shd w:val="clear" w:fill="FFFFFF"/>
          <w:lang w:val="en-US" w:eastAsia="zh-CN"/>
        </w:rPr>
        <w:t>14</w:t>
      </w:r>
      <w:bookmarkStart w:id="2" w:name="_GoBack"/>
      <w:bookmarkEnd w:id="2"/>
      <w:r>
        <w:rPr>
          <w:rFonts w:hint="eastAsia" w:ascii="宋体" w:hAnsi="宋体" w:eastAsia="宋体" w:cs="宋体"/>
          <w:i w:val="0"/>
          <w:iCs w:val="0"/>
          <w:caps w:val="0"/>
          <w:color w:val="auto"/>
          <w:spacing w:val="0"/>
          <w:sz w:val="21"/>
          <w:szCs w:val="21"/>
          <w:highlight w:val="none"/>
          <w:u w:val="none"/>
          <w:shd w:val="clear" w:fill="FFFFFF"/>
        </w:rPr>
        <w:t>日</w:t>
      </w:r>
    </w:p>
    <w:p w14:paraId="0FA6A80C">
      <w:pPr>
        <w:rPr>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14:paraId="3DCDE569">
      <w:pPr>
        <w:pStyle w:val="9"/>
        <w:rPr>
          <w:rFonts w:hint="default" w:eastAsiaTheme="minorEastAsia"/>
          <w:color w:val="auto"/>
          <w:highlight w:val="none"/>
          <w:lang w:val="en-US" w:eastAsia="zh-CN"/>
        </w:rPr>
      </w:pPr>
      <w:bookmarkStart w:id="0" w:name="_Toc194440088"/>
      <w:bookmarkStart w:id="1" w:name="_Toc161237394"/>
      <w:r>
        <w:rPr>
          <w:rFonts w:hint="eastAsia"/>
          <w:color w:val="auto"/>
          <w:highlight w:val="none"/>
          <w:lang w:val="en-US" w:eastAsia="zh-CN"/>
        </w:rPr>
        <w:t>附件一：</w:t>
      </w:r>
    </w:p>
    <w:p w14:paraId="3A6FFC56">
      <w:pPr>
        <w:pStyle w:val="9"/>
        <w:rPr>
          <w:rFonts w:hint="eastAsia"/>
          <w:color w:val="auto"/>
          <w:highlight w:val="none"/>
        </w:rPr>
      </w:pPr>
      <w:r>
        <w:rPr>
          <w:rFonts w:hint="eastAsia"/>
          <w:color w:val="auto"/>
          <w:highlight w:val="none"/>
        </w:rPr>
        <w:t>附表四</w:t>
      </w:r>
      <w:bookmarkEnd w:id="0"/>
      <w:bookmarkEnd w:id="1"/>
    </w:p>
    <w:p w14:paraId="3DB78D0B">
      <w:pPr>
        <w:jc w:val="cente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技术标详细审查评分表</w:t>
      </w:r>
    </w:p>
    <w:p w14:paraId="3A64017F">
      <w:pPr>
        <w:widowControl/>
        <w:shd w:val="clear" w:color="auto" w:fill="FFFFFF"/>
        <w:rPr>
          <w:rFonts w:hint="eastAsia" w:ascii="宋体" w:hAnsi="宋体" w:cs="宋体"/>
          <w:color w:val="auto"/>
          <w:szCs w:val="21"/>
          <w:highlight w:val="none"/>
        </w:rPr>
      </w:pPr>
      <w:r>
        <w:rPr>
          <w:rFonts w:hint="eastAsia" w:ascii="宋体" w:hAnsi="宋体" w:cs="宋体"/>
          <w:color w:val="auto"/>
          <w:szCs w:val="21"/>
          <w:highlight w:val="none"/>
        </w:rPr>
        <w:t>工程名称：</w:t>
      </w:r>
    </w:p>
    <w:p w14:paraId="25D1AE16">
      <w:pPr>
        <w:ind w:firstLine="424" w:firstLineChars="202"/>
        <w:rPr>
          <w:rFonts w:hint="eastAsia" w:ascii="宋体" w:hAnsi="宋体"/>
          <w:color w:val="auto"/>
          <w:szCs w:val="21"/>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106"/>
        <w:gridCol w:w="833"/>
        <w:gridCol w:w="11149"/>
      </w:tblGrid>
      <w:tr w14:paraId="3583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Align w:val="center"/>
          </w:tcPr>
          <w:p w14:paraId="2F6DA9BD">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评分项目</w:t>
            </w:r>
          </w:p>
        </w:tc>
        <w:tc>
          <w:tcPr>
            <w:tcW w:w="1134" w:type="dxa"/>
            <w:vAlign w:val="center"/>
          </w:tcPr>
          <w:p w14:paraId="181475FD">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评分内容</w:t>
            </w:r>
          </w:p>
        </w:tc>
        <w:tc>
          <w:tcPr>
            <w:tcW w:w="851" w:type="dxa"/>
            <w:vAlign w:val="center"/>
          </w:tcPr>
          <w:p w14:paraId="1EDBB36C">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11764" w:type="dxa"/>
            <w:vAlign w:val="center"/>
          </w:tcPr>
          <w:p w14:paraId="360F3E1A">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2BF5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14:paraId="10D902E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一、企业资信（20分）</w:t>
            </w:r>
          </w:p>
        </w:tc>
        <w:tc>
          <w:tcPr>
            <w:tcW w:w="1134" w:type="dxa"/>
            <w:vAlign w:val="center"/>
          </w:tcPr>
          <w:p w14:paraId="5C3D18D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851" w:type="dxa"/>
            <w:vAlign w:val="center"/>
          </w:tcPr>
          <w:p w14:paraId="3B32059F">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1764" w:type="dxa"/>
            <w:vAlign w:val="center"/>
          </w:tcPr>
          <w:p w14:paraId="0409BF61">
            <w:pPr>
              <w:spacing w:line="276" w:lineRule="auto"/>
              <w:rPr>
                <w:rFonts w:hint="eastAsia" w:ascii="宋体" w:hAnsi="宋体"/>
                <w:color w:val="auto"/>
                <w:szCs w:val="21"/>
                <w:highlight w:val="none"/>
              </w:rPr>
            </w:pPr>
            <w:r>
              <w:rPr>
                <w:rFonts w:hint="eastAsia" w:ascii="宋体" w:hAnsi="宋体"/>
                <w:color w:val="auto"/>
                <w:szCs w:val="21"/>
                <w:highlight w:val="none"/>
              </w:rPr>
              <w:t>投标人自202</w:t>
            </w:r>
            <w:r>
              <w:rPr>
                <w:rFonts w:hint="eastAsia" w:ascii="宋体" w:hAnsi="宋体"/>
                <w:color w:val="auto"/>
                <w:szCs w:val="21"/>
                <w:highlight w:val="none"/>
                <w:lang w:val="en-US" w:eastAsia="zh-CN"/>
              </w:rPr>
              <w:t>0</w:t>
            </w:r>
            <w:r>
              <w:rPr>
                <w:rFonts w:hint="eastAsia" w:ascii="宋体" w:hAnsi="宋体"/>
                <w:color w:val="auto"/>
                <w:szCs w:val="21"/>
                <w:highlight w:val="none"/>
              </w:rPr>
              <w:t>年1月1日至投标截止时间止，完成过质量合格的类似工程业绩，每项得</w:t>
            </w:r>
            <w:r>
              <w:rPr>
                <w:rFonts w:hint="eastAsia" w:ascii="宋体" w:hAnsi="宋体"/>
                <w:color w:val="auto"/>
                <w:szCs w:val="21"/>
                <w:highlight w:val="none"/>
                <w:lang w:val="en-US" w:eastAsia="zh-CN"/>
              </w:rPr>
              <w:t>1</w:t>
            </w:r>
            <w:r>
              <w:rPr>
                <w:rFonts w:hint="eastAsia" w:ascii="宋体" w:hAnsi="宋体"/>
                <w:color w:val="auto"/>
                <w:szCs w:val="21"/>
                <w:highlight w:val="none"/>
              </w:rPr>
              <w:t>分，最多得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14:paraId="49BC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49239E39">
            <w:pPr>
              <w:spacing w:line="276" w:lineRule="auto"/>
              <w:jc w:val="center"/>
              <w:rPr>
                <w:rFonts w:hint="eastAsia" w:ascii="宋体" w:hAnsi="宋体" w:cs="宋体"/>
                <w:color w:val="auto"/>
                <w:szCs w:val="21"/>
                <w:highlight w:val="none"/>
              </w:rPr>
            </w:pPr>
          </w:p>
        </w:tc>
        <w:tc>
          <w:tcPr>
            <w:tcW w:w="1134" w:type="dxa"/>
            <w:vAlign w:val="center"/>
          </w:tcPr>
          <w:p w14:paraId="2B03A1D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工程获奖</w:t>
            </w:r>
          </w:p>
        </w:tc>
        <w:tc>
          <w:tcPr>
            <w:tcW w:w="851" w:type="dxa"/>
            <w:vAlign w:val="center"/>
          </w:tcPr>
          <w:p w14:paraId="3B0F6206">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1764" w:type="dxa"/>
            <w:vAlign w:val="center"/>
          </w:tcPr>
          <w:p w14:paraId="1E2DCFE1">
            <w:pPr>
              <w:spacing w:line="276" w:lineRule="auto"/>
              <w:rPr>
                <w:rFonts w:hint="eastAsia" w:ascii="宋体" w:hAnsi="宋体"/>
                <w:color w:val="auto"/>
                <w:szCs w:val="21"/>
                <w:highlight w:val="none"/>
              </w:rPr>
            </w:pPr>
            <w:r>
              <w:rPr>
                <w:rFonts w:hint="eastAsia" w:ascii="宋体" w:hAnsi="宋体"/>
                <w:color w:val="auto"/>
                <w:szCs w:val="21"/>
                <w:highlight w:val="none"/>
              </w:rPr>
              <w:t>投标人自20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年1月1日至投标截止时间止，承建的市政公用工程施工业绩</w:t>
            </w:r>
            <w:r>
              <w:rPr>
                <w:rFonts w:hint="eastAsia" w:ascii="宋体" w:hAnsi="宋体"/>
                <w:color w:val="auto"/>
                <w:szCs w:val="21"/>
                <w:highlight w:val="none"/>
                <w:lang w:eastAsia="zh-CN"/>
              </w:rPr>
              <w:t>，</w:t>
            </w:r>
            <w:r>
              <w:rPr>
                <w:rFonts w:hint="eastAsia" w:ascii="宋体" w:hAnsi="宋体"/>
                <w:color w:val="auto"/>
                <w:szCs w:val="21"/>
                <w:highlight w:val="none"/>
              </w:rPr>
              <w:t>获得过国家级工程质量奖项得</w:t>
            </w:r>
            <w:r>
              <w:rPr>
                <w:rFonts w:hint="eastAsia" w:ascii="宋体" w:hAnsi="宋体"/>
                <w:color w:val="auto"/>
                <w:szCs w:val="21"/>
                <w:highlight w:val="none"/>
                <w:lang w:val="en-US" w:eastAsia="zh-CN"/>
              </w:rPr>
              <w:t>2</w:t>
            </w:r>
            <w:r>
              <w:rPr>
                <w:rFonts w:hint="eastAsia" w:ascii="宋体" w:hAnsi="宋体"/>
                <w:color w:val="auto"/>
                <w:szCs w:val="21"/>
                <w:highlight w:val="none"/>
              </w:rPr>
              <w:t>分；省级工程质量奖项每项得</w:t>
            </w:r>
            <w:r>
              <w:rPr>
                <w:rFonts w:hint="eastAsia" w:ascii="宋体" w:hAnsi="宋体"/>
                <w:color w:val="auto"/>
                <w:szCs w:val="21"/>
                <w:highlight w:val="none"/>
                <w:lang w:val="en-US" w:eastAsia="zh-CN"/>
              </w:rPr>
              <w:t>1</w:t>
            </w:r>
            <w:r>
              <w:rPr>
                <w:rFonts w:hint="eastAsia" w:ascii="宋体" w:hAnsi="宋体"/>
                <w:color w:val="auto"/>
                <w:szCs w:val="21"/>
                <w:highlight w:val="none"/>
              </w:rPr>
              <w:t>分；市级（含副省级）工程质量奖项每项得</w:t>
            </w:r>
            <w:r>
              <w:rPr>
                <w:rFonts w:hint="eastAsia" w:ascii="宋体" w:hAnsi="宋体"/>
                <w:color w:val="auto"/>
                <w:szCs w:val="21"/>
                <w:highlight w:val="none"/>
                <w:lang w:val="en-US" w:eastAsia="zh-CN"/>
              </w:rPr>
              <w:t>0.5</w:t>
            </w:r>
            <w:r>
              <w:rPr>
                <w:rFonts w:hint="eastAsia" w:ascii="宋体" w:hAnsi="宋体"/>
                <w:color w:val="auto"/>
                <w:szCs w:val="21"/>
                <w:highlight w:val="none"/>
              </w:rPr>
              <w:t>分，最多得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14:paraId="7E3F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6D4120C2">
            <w:pPr>
              <w:spacing w:line="276" w:lineRule="auto"/>
              <w:jc w:val="center"/>
              <w:rPr>
                <w:rFonts w:hint="eastAsia" w:ascii="宋体" w:hAnsi="宋体" w:cs="宋体"/>
                <w:color w:val="auto"/>
                <w:szCs w:val="21"/>
                <w:highlight w:val="none"/>
              </w:rPr>
            </w:pPr>
          </w:p>
        </w:tc>
        <w:tc>
          <w:tcPr>
            <w:tcW w:w="1134" w:type="dxa"/>
            <w:vAlign w:val="center"/>
          </w:tcPr>
          <w:p w14:paraId="2C1FA6A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工程研发能力</w:t>
            </w:r>
          </w:p>
        </w:tc>
        <w:tc>
          <w:tcPr>
            <w:tcW w:w="851" w:type="dxa"/>
            <w:vAlign w:val="center"/>
          </w:tcPr>
          <w:p w14:paraId="174A91D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764" w:type="dxa"/>
            <w:vAlign w:val="center"/>
          </w:tcPr>
          <w:p w14:paraId="271D2A7C">
            <w:pPr>
              <w:autoSpaceDE w:val="0"/>
              <w:autoSpaceDN w:val="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至投标截止时间止，</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主编或参编工程相关</w:t>
            </w:r>
            <w:r>
              <w:rPr>
                <w:rFonts w:hint="eastAsia" w:ascii="宋体" w:hAnsi="宋体" w:eastAsia="宋体" w:cs="宋体"/>
                <w:color w:val="auto"/>
                <w:sz w:val="21"/>
                <w:szCs w:val="21"/>
                <w:highlight w:val="none"/>
              </w:rPr>
              <w:t>国家或行业标准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每项</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省级地方标准的，每项得0.5分；市级地方标准的，每项得0.2分。</w:t>
            </w:r>
            <w:r>
              <w:rPr>
                <w:rFonts w:hint="eastAsia" w:ascii="宋体" w:hAnsi="宋体" w:cs="宋体"/>
                <w:color w:val="auto"/>
                <w:szCs w:val="21"/>
                <w:highlight w:val="none"/>
              </w:rPr>
              <w:t>本小项最高得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olor w:val="auto"/>
                <w:szCs w:val="21"/>
                <w:highlight w:val="none"/>
              </w:rPr>
              <w:t>没有不得分。</w:t>
            </w:r>
          </w:p>
          <w:p w14:paraId="74AA58BE">
            <w:pPr>
              <w:spacing w:line="276" w:lineRule="auto"/>
              <w:rPr>
                <w:rFonts w:hint="eastAsia" w:ascii="宋体" w:hAnsi="宋体"/>
                <w:color w:val="auto"/>
                <w:szCs w:val="21"/>
                <w:highlight w:val="none"/>
              </w:rPr>
            </w:pPr>
            <w:r>
              <w:rPr>
                <w:rFonts w:hint="eastAsia" w:ascii="宋体" w:hAnsi="宋体" w:eastAsia="宋体" w:cs="宋体"/>
                <w:b/>
                <w:bCs/>
                <w:color w:val="auto"/>
                <w:szCs w:val="21"/>
                <w:highlight w:val="none"/>
                <w:u w:val="single"/>
              </w:rPr>
              <w:t>2、投标人自202</w:t>
            </w:r>
            <w:r>
              <w:rPr>
                <w:rFonts w:hint="eastAsia" w:ascii="宋体" w:hAnsi="宋体" w:eastAsia="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年1月1日至投标截止时间止（以获奖证书颁发时间）获得过工程建设类工法：获得省级（或以上）行业行政主管部门或相关行业协会颁发的，每项得0.</w:t>
            </w:r>
            <w:r>
              <w:rPr>
                <w:rFonts w:hint="eastAsia" w:ascii="宋体" w:hAnsi="宋体" w:eastAsia="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分；获得市级（含副省级）行业行政主管部门或相关行业协会颁发的，每项得0.</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分；最多得3分。</w:t>
            </w:r>
          </w:p>
        </w:tc>
      </w:tr>
      <w:tr w14:paraId="0FFA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2A678DB8">
            <w:pPr>
              <w:spacing w:line="276" w:lineRule="auto"/>
              <w:jc w:val="center"/>
              <w:rPr>
                <w:rFonts w:hint="eastAsia" w:ascii="宋体" w:hAnsi="宋体" w:cs="宋体"/>
                <w:color w:val="auto"/>
                <w:szCs w:val="21"/>
                <w:highlight w:val="none"/>
              </w:rPr>
            </w:pPr>
          </w:p>
        </w:tc>
        <w:tc>
          <w:tcPr>
            <w:tcW w:w="1134" w:type="dxa"/>
            <w:vAlign w:val="center"/>
          </w:tcPr>
          <w:p w14:paraId="3DF55EE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tc>
        <w:tc>
          <w:tcPr>
            <w:tcW w:w="851" w:type="dxa"/>
            <w:vAlign w:val="center"/>
          </w:tcPr>
          <w:p w14:paraId="510816E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764" w:type="dxa"/>
            <w:vAlign w:val="center"/>
          </w:tcPr>
          <w:p w14:paraId="09BCEF83">
            <w:pPr>
              <w:spacing w:line="276" w:lineRule="auto"/>
              <w:rPr>
                <w:rFonts w:hint="eastAsia" w:ascii="宋体" w:hAnsi="宋体"/>
                <w:color w:val="auto"/>
                <w:szCs w:val="21"/>
                <w:highlight w:val="none"/>
              </w:rPr>
            </w:pPr>
            <w:r>
              <w:rPr>
                <w:rFonts w:hint="eastAsia" w:ascii="宋体" w:hAnsi="宋体"/>
                <w:color w:val="auto"/>
                <w:szCs w:val="21"/>
                <w:highlight w:val="none"/>
              </w:rPr>
              <w:t>投标人获得市级或以上行业行政主管部门或相关行业协会颁发的企业诚信评价或信用等级评价最高等级且在有效期内，得4分</w:t>
            </w:r>
            <w:r>
              <w:rPr>
                <w:rFonts w:hint="eastAsia" w:ascii="宋体" w:hAnsi="宋体"/>
                <w:color w:val="auto"/>
                <w:szCs w:val="21"/>
                <w:highlight w:val="none"/>
                <w:lang w:eastAsia="zh-CN"/>
              </w:rPr>
              <w:t>；</w:t>
            </w:r>
            <w:r>
              <w:rPr>
                <w:rFonts w:hint="eastAsia" w:ascii="宋体" w:hAnsi="宋体"/>
                <w:color w:val="auto"/>
                <w:szCs w:val="21"/>
                <w:highlight w:val="none"/>
              </w:rPr>
              <w:t>第二等级得2分</w:t>
            </w:r>
            <w:r>
              <w:rPr>
                <w:rFonts w:hint="eastAsia" w:ascii="宋体" w:hAnsi="宋体"/>
                <w:color w:val="auto"/>
                <w:szCs w:val="21"/>
                <w:highlight w:val="none"/>
                <w:lang w:eastAsia="zh-CN"/>
              </w:rPr>
              <w:t>；</w:t>
            </w:r>
            <w:r>
              <w:rPr>
                <w:rFonts w:hint="eastAsia" w:ascii="宋体" w:hAnsi="宋体"/>
                <w:color w:val="auto"/>
                <w:szCs w:val="21"/>
                <w:highlight w:val="none"/>
              </w:rPr>
              <w:t>第三等级得1分</w:t>
            </w:r>
            <w:r>
              <w:rPr>
                <w:rFonts w:hint="eastAsia" w:ascii="宋体" w:hAnsi="宋体"/>
                <w:color w:val="auto"/>
                <w:szCs w:val="21"/>
                <w:highlight w:val="none"/>
                <w:lang w:eastAsia="zh-CN"/>
              </w:rPr>
              <w:t>；</w:t>
            </w:r>
            <w:r>
              <w:rPr>
                <w:rFonts w:hint="eastAsia" w:ascii="宋体" w:hAnsi="宋体"/>
                <w:color w:val="auto"/>
                <w:szCs w:val="21"/>
                <w:highlight w:val="none"/>
              </w:rPr>
              <w:t>其他得0分。本小项最多得4分。</w:t>
            </w:r>
          </w:p>
        </w:tc>
      </w:tr>
      <w:tr w14:paraId="1EF3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14:paraId="06FE51E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二、施工组织设计（40分）</w:t>
            </w:r>
          </w:p>
        </w:tc>
        <w:tc>
          <w:tcPr>
            <w:tcW w:w="1134" w:type="dxa"/>
            <w:vAlign w:val="center"/>
          </w:tcPr>
          <w:p w14:paraId="10EB81D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总体施工组织布置及规划</w:t>
            </w:r>
          </w:p>
        </w:tc>
        <w:tc>
          <w:tcPr>
            <w:tcW w:w="851" w:type="dxa"/>
            <w:vAlign w:val="center"/>
          </w:tcPr>
          <w:p w14:paraId="7B7BFE2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663B51A7">
            <w:pPr>
              <w:spacing w:line="276"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针对本项目编制的工程概况、总体部署、进度计划、资源配置、总平面布置、质量安全措施、环保节能和风险管理等，总体方案针对性强、规划切合项目实际情况</w:t>
            </w:r>
            <w:r>
              <w:rPr>
                <w:rFonts w:hint="eastAsia" w:ascii="宋体" w:hAnsi="宋体" w:cs="宋体"/>
                <w:color w:val="auto"/>
                <w:kern w:val="0"/>
                <w:szCs w:val="21"/>
                <w:highlight w:val="none"/>
              </w:rPr>
              <w:t>；得10分；</w:t>
            </w:r>
          </w:p>
          <w:p w14:paraId="0C54FB72">
            <w:pPr>
              <w:spacing w:line="276"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良</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针对本项目编制的工程概况、总体部署、进度计划、资源配置、总平面布置、质量安全措施、环保节能和风险管理等，总体方案针对性较强、规划较切合项目实际情况</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p w14:paraId="17DC6A57">
            <w:pPr>
              <w:spacing w:line="276"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一般</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针对本项目编制的工程概况、总体部署、进度计划、资源配置、总平面布置、质量安全措施、环保节能和风险管理等，总体方案针对性一般、规划基本可以切合项目实际情况</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14:paraId="417010D6">
            <w:pPr>
              <w:spacing w:line="276" w:lineRule="auto"/>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其他情况不得分。</w:t>
            </w:r>
          </w:p>
        </w:tc>
      </w:tr>
      <w:tr w14:paraId="31F8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0B61EA06">
            <w:pPr>
              <w:spacing w:line="276" w:lineRule="auto"/>
              <w:jc w:val="center"/>
              <w:rPr>
                <w:rFonts w:hint="eastAsia" w:ascii="宋体" w:hAnsi="宋体" w:cs="宋体"/>
                <w:color w:val="auto"/>
                <w:szCs w:val="21"/>
                <w:highlight w:val="none"/>
              </w:rPr>
            </w:pPr>
          </w:p>
        </w:tc>
        <w:tc>
          <w:tcPr>
            <w:tcW w:w="1134" w:type="dxa"/>
            <w:vAlign w:val="center"/>
          </w:tcPr>
          <w:p w14:paraId="638FBC0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重点、难点</w:t>
            </w:r>
            <w:r>
              <w:rPr>
                <w:rFonts w:hint="eastAsia" w:ascii="宋体" w:hAnsi="宋体" w:cs="宋体"/>
                <w:b/>
                <w:bCs/>
                <w:color w:val="auto"/>
                <w:szCs w:val="21"/>
                <w:highlight w:val="none"/>
                <w:u w:val="single"/>
              </w:rPr>
              <w:t>（进度计划、</w:t>
            </w:r>
            <w:r>
              <w:rPr>
                <w:rFonts w:hint="eastAsia" w:ascii="宋体" w:hAnsi="宋体" w:cs="宋体"/>
                <w:b/>
                <w:bCs/>
                <w:color w:val="auto"/>
                <w:szCs w:val="21"/>
                <w:highlight w:val="none"/>
                <w:u w:val="single"/>
                <w:lang w:val="en-US" w:eastAsia="zh-CN"/>
              </w:rPr>
              <w:t>交通及</w:t>
            </w:r>
            <w:r>
              <w:rPr>
                <w:rFonts w:hint="eastAsia" w:ascii="宋体" w:hAnsi="宋体" w:cs="宋体"/>
                <w:b/>
                <w:bCs/>
                <w:color w:val="auto"/>
                <w:szCs w:val="21"/>
                <w:highlight w:val="none"/>
                <w:u w:val="single"/>
              </w:rPr>
              <w:t>交通疏解）</w:t>
            </w:r>
            <w:r>
              <w:rPr>
                <w:rFonts w:hint="eastAsia" w:ascii="宋体" w:hAnsi="宋体" w:cs="宋体"/>
                <w:color w:val="auto"/>
                <w:szCs w:val="21"/>
                <w:highlight w:val="none"/>
              </w:rPr>
              <w:t>和关键工程的施工方案与技术措施</w:t>
            </w:r>
          </w:p>
        </w:tc>
        <w:tc>
          <w:tcPr>
            <w:tcW w:w="851" w:type="dxa"/>
            <w:vAlign w:val="center"/>
          </w:tcPr>
          <w:p w14:paraId="61565C3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042FB527">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shd w:val="clear" w:color="auto" w:fill="FFFFFF"/>
              </w:rPr>
              <w:t>：</w:t>
            </w:r>
            <w:r>
              <w:rPr>
                <w:rFonts w:hint="eastAsia" w:ascii="宋体" w:hAnsi="宋体" w:cs="宋体"/>
                <w:color w:val="auto"/>
                <w:szCs w:val="21"/>
                <w:highlight w:val="none"/>
                <w:shd w:val="clear" w:color="auto" w:fill="FFFFFF"/>
              </w:rPr>
              <w:t>施工组织方案及施工方法先进且可实施性强，工程重点难点、施工关键技术工艺把握及应用准确，技术措施可以充分保障工程质量、工期和施工安全生产；得10分；</w:t>
            </w:r>
          </w:p>
          <w:p w14:paraId="595C7767">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良</w:t>
            </w:r>
            <w:r>
              <w:rPr>
                <w:rFonts w:hint="eastAsia" w:ascii="宋体" w:hAnsi="宋体" w:cs="宋体"/>
                <w:b/>
                <w:bCs/>
                <w:color w:val="auto"/>
                <w:kern w:val="0"/>
                <w:szCs w:val="21"/>
                <w:highlight w:val="none"/>
              </w:rPr>
              <w:t>】</w:t>
            </w:r>
            <w:r>
              <w:rPr>
                <w:rFonts w:hint="eastAsia" w:ascii="宋体" w:hAnsi="宋体" w:cs="宋体"/>
                <w:b/>
                <w:color w:val="auto"/>
                <w:szCs w:val="21"/>
                <w:highlight w:val="none"/>
                <w:shd w:val="clear" w:color="auto" w:fill="FFFFFF"/>
              </w:rPr>
              <w:t>：</w:t>
            </w:r>
            <w:r>
              <w:rPr>
                <w:rFonts w:hint="eastAsia" w:ascii="宋体" w:hAnsi="宋体" w:cs="宋体"/>
                <w:color w:val="auto"/>
                <w:szCs w:val="21"/>
                <w:highlight w:val="none"/>
                <w:shd w:val="clear" w:color="auto" w:fill="FFFFFF"/>
              </w:rPr>
              <w:t>施工组织方案及施工方法较好且可实施性一般，工程重点难点、施工关键技术工艺把握及应用较好，技术措施能保障工程质量、工期和施工安全生产；得</w:t>
            </w:r>
            <w:r>
              <w:rPr>
                <w:rFonts w:hint="eastAsia" w:ascii="宋体" w:hAnsi="宋体" w:cs="宋体"/>
                <w:color w:val="auto"/>
                <w:szCs w:val="21"/>
                <w:highlight w:val="none"/>
                <w:shd w:val="clear" w:color="auto" w:fill="FFFFFF"/>
                <w:lang w:val="en-US" w:eastAsia="zh-CN"/>
              </w:rPr>
              <w:t>8</w:t>
            </w:r>
            <w:r>
              <w:rPr>
                <w:rFonts w:hint="eastAsia" w:ascii="宋体" w:hAnsi="宋体" w:cs="宋体"/>
                <w:color w:val="auto"/>
                <w:szCs w:val="21"/>
                <w:highlight w:val="none"/>
                <w:shd w:val="clear" w:color="auto" w:fill="FFFFFF"/>
              </w:rPr>
              <w:t>分；</w:t>
            </w:r>
          </w:p>
          <w:p w14:paraId="5125212B">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一般</w:t>
            </w:r>
            <w:r>
              <w:rPr>
                <w:rFonts w:hint="eastAsia" w:ascii="宋体" w:hAnsi="宋体" w:cs="宋体"/>
                <w:b/>
                <w:bCs/>
                <w:color w:val="auto"/>
                <w:kern w:val="0"/>
                <w:szCs w:val="21"/>
                <w:highlight w:val="none"/>
              </w:rPr>
              <w:t>】</w:t>
            </w:r>
            <w:r>
              <w:rPr>
                <w:rFonts w:hint="eastAsia" w:ascii="宋体" w:hAnsi="宋体" w:cs="宋体"/>
                <w:b/>
                <w:color w:val="auto"/>
                <w:szCs w:val="21"/>
                <w:highlight w:val="none"/>
                <w:shd w:val="clear" w:color="auto" w:fill="FFFFFF"/>
              </w:rPr>
              <w:t>：</w:t>
            </w:r>
            <w:r>
              <w:rPr>
                <w:rFonts w:hint="eastAsia" w:ascii="宋体" w:hAnsi="宋体" w:cs="宋体"/>
                <w:color w:val="auto"/>
                <w:szCs w:val="21"/>
                <w:highlight w:val="none"/>
                <w:shd w:val="clear" w:color="auto" w:fill="FFFFFF"/>
              </w:rPr>
              <w:t>施工组织方案或施工方法一般，或工程重点难点、施工关键技术工艺把握及应用基本可行，或技术措施能基本保障工程质量、工期和施工安全生产；得</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分；</w:t>
            </w:r>
          </w:p>
          <w:p w14:paraId="6BFB0849">
            <w:pPr>
              <w:spacing w:line="276" w:lineRule="auto"/>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其他情况不得分。</w:t>
            </w:r>
          </w:p>
        </w:tc>
      </w:tr>
      <w:tr w14:paraId="25C0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08C3DC38">
            <w:pPr>
              <w:spacing w:line="276" w:lineRule="auto"/>
              <w:jc w:val="center"/>
              <w:rPr>
                <w:rFonts w:hint="eastAsia" w:ascii="宋体" w:hAnsi="宋体" w:cs="宋体"/>
                <w:color w:val="auto"/>
                <w:szCs w:val="21"/>
                <w:highlight w:val="none"/>
              </w:rPr>
            </w:pPr>
          </w:p>
        </w:tc>
        <w:tc>
          <w:tcPr>
            <w:tcW w:w="1134" w:type="dxa"/>
            <w:vAlign w:val="center"/>
          </w:tcPr>
          <w:p w14:paraId="5BACE65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施工各项保证措施</w:t>
            </w:r>
          </w:p>
        </w:tc>
        <w:tc>
          <w:tcPr>
            <w:tcW w:w="851" w:type="dxa"/>
            <w:vAlign w:val="center"/>
          </w:tcPr>
          <w:p w14:paraId="5D5702C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19ED08D7">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olor w:val="auto"/>
                <w:szCs w:val="21"/>
                <w:highlight w:val="none"/>
              </w:rPr>
              <w:t>施工现场的安全、质量、安全文明施工保证体系完善，有完善的安全生产、施工质量、文明施工措施方案，得10分；</w:t>
            </w:r>
          </w:p>
          <w:p w14:paraId="5E06E829">
            <w:pPr>
              <w:spacing w:line="276" w:lineRule="auto"/>
              <w:rPr>
                <w:rFonts w:hint="eastAsia" w:ascii="宋体" w:hAnsi="宋体"/>
                <w:color w:val="auto"/>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良</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olor w:val="auto"/>
                <w:szCs w:val="21"/>
                <w:highlight w:val="none"/>
              </w:rPr>
              <w:t>施工现场的安全、质量、安全文明施工保证体系完善，有较完善的安全生产、施工质量、文明施工措施方案，得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14:paraId="72DB58D0">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一般</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shd w:val="clear" w:color="auto" w:fill="FFFFFF"/>
              </w:rPr>
              <w:t>施工现场的安全、质量、安全文明施工保证体系完善，安全生产、施工质量、文明施工措施方案一般，得</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分；</w:t>
            </w:r>
          </w:p>
          <w:p w14:paraId="2192AF7E">
            <w:pPr>
              <w:spacing w:line="276" w:lineRule="auto"/>
              <w:rPr>
                <w:rFonts w:hint="eastAsia" w:ascii="宋体" w:hAnsi="宋体"/>
                <w:color w:val="auto"/>
                <w:szCs w:val="21"/>
                <w:highlight w:val="none"/>
              </w:rPr>
            </w:pPr>
            <w:r>
              <w:rPr>
                <w:rFonts w:hint="eastAsia" w:ascii="宋体" w:hAnsi="宋体" w:cs="宋体"/>
                <w:color w:val="auto"/>
                <w:szCs w:val="21"/>
                <w:highlight w:val="none"/>
                <w:shd w:val="clear" w:color="auto" w:fill="FFFFFF"/>
              </w:rPr>
              <w:t>其他情况不得分。</w:t>
            </w:r>
          </w:p>
        </w:tc>
      </w:tr>
      <w:tr w14:paraId="7EAD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2EFEABCA">
            <w:pPr>
              <w:spacing w:line="276" w:lineRule="auto"/>
              <w:jc w:val="center"/>
              <w:rPr>
                <w:rFonts w:hint="eastAsia" w:ascii="宋体" w:hAnsi="宋体" w:cs="宋体"/>
                <w:color w:val="auto"/>
                <w:szCs w:val="21"/>
                <w:highlight w:val="none"/>
              </w:rPr>
            </w:pPr>
          </w:p>
        </w:tc>
        <w:tc>
          <w:tcPr>
            <w:tcW w:w="1134" w:type="dxa"/>
            <w:vAlign w:val="center"/>
          </w:tcPr>
          <w:p w14:paraId="5302DAE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绿色节能控制措施</w:t>
            </w:r>
          </w:p>
        </w:tc>
        <w:tc>
          <w:tcPr>
            <w:tcW w:w="851" w:type="dxa"/>
            <w:vAlign w:val="center"/>
          </w:tcPr>
          <w:p w14:paraId="5617D71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66C3D6F1">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olor w:val="auto"/>
                <w:szCs w:val="21"/>
                <w:highlight w:val="none"/>
              </w:rPr>
              <w:t>绿色节能控制措施，措施明确、具体可行、针对性强、先进有效、覆盖面广的，并有承诺在施工过程中通过科学管理和先进的技术手段，最大限度地节约资源与减少对环境的负面影响，以达到四节一环保（节能、节地、节水、节材和环境保护）的目标；得10分；</w:t>
            </w:r>
          </w:p>
          <w:p w14:paraId="0DE66F45">
            <w:pPr>
              <w:spacing w:line="276" w:lineRule="auto"/>
              <w:rPr>
                <w:rFonts w:hint="eastAsia" w:ascii="宋体" w:hAnsi="宋体" w:cs="宋体"/>
                <w:color w:val="auto"/>
                <w:szCs w:val="21"/>
                <w:highlight w:val="none"/>
                <w:shd w:val="clear" w:color="auto" w:fill="FFFFFF"/>
              </w:rPr>
            </w:pPr>
            <w:r>
              <w:rPr>
                <w:rFonts w:hint="eastAsia" w:ascii="宋体" w:hAnsi="宋体" w:cs="宋体"/>
                <w:b/>
                <w:bCs/>
                <w:color w:val="auto"/>
                <w:kern w:val="0"/>
                <w:szCs w:val="21"/>
                <w:highlight w:val="none"/>
              </w:rPr>
              <w:t>【良】</w:t>
            </w:r>
            <w:r>
              <w:rPr>
                <w:rFonts w:hint="eastAsia" w:ascii="宋体" w:hAnsi="宋体" w:cs="宋体"/>
                <w:b/>
                <w:bCs/>
                <w:color w:val="auto"/>
                <w:szCs w:val="21"/>
                <w:highlight w:val="none"/>
                <w:shd w:val="clear" w:color="auto" w:fill="FFFFFF"/>
              </w:rPr>
              <w:t>：</w:t>
            </w:r>
            <w:r>
              <w:rPr>
                <w:rFonts w:hint="eastAsia" w:ascii="宋体" w:hAnsi="宋体"/>
                <w:color w:val="auto"/>
                <w:szCs w:val="21"/>
                <w:highlight w:val="none"/>
              </w:rPr>
              <w:t>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14:paraId="448B39CB">
            <w:pPr>
              <w:pStyle w:val="16"/>
              <w:spacing w:after="0" w:line="276" w:lineRule="auto"/>
              <w:ind w:left="0" w:leftChars="0" w:firstLine="0" w:firstLineChars="0"/>
              <w:rPr>
                <w:rFonts w:hint="eastAsia" w:ascii="宋体" w:hAnsi="宋体" w:cs="宋体"/>
                <w:color w:val="auto"/>
                <w:szCs w:val="21"/>
                <w:highlight w:val="none"/>
              </w:rPr>
            </w:pPr>
            <w:r>
              <w:rPr>
                <w:rFonts w:hint="eastAsia" w:ascii="宋体" w:hAnsi="宋体" w:cs="宋体"/>
                <w:b/>
                <w:bCs/>
                <w:color w:val="auto"/>
                <w:kern w:val="0"/>
                <w:szCs w:val="21"/>
                <w:highlight w:val="none"/>
              </w:rPr>
              <w:t>【一般】：</w:t>
            </w:r>
            <w:r>
              <w:rPr>
                <w:rFonts w:hint="eastAsia" w:ascii="宋体" w:hAnsi="宋体" w:cs="宋体"/>
                <w:color w:val="auto"/>
                <w:szCs w:val="21"/>
                <w:highlight w:val="none"/>
              </w:rPr>
              <w:t>绿色节能控制措施，但明确性一般，具体、可行、针对性一般，措施一般的；得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6CC5E54">
            <w:pPr>
              <w:pStyle w:val="16"/>
              <w:spacing w:after="0" w:line="276"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其他情况不得分。</w:t>
            </w:r>
          </w:p>
        </w:tc>
      </w:tr>
      <w:tr w14:paraId="3182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14:paraId="191D66C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三、项目管理机构能力</w:t>
            </w:r>
            <w:r>
              <w:rPr>
                <w:rFonts w:hint="eastAsia" w:ascii="宋体" w:hAnsi="宋体" w:cs="宋体"/>
                <w:color w:val="auto"/>
                <w:szCs w:val="21"/>
                <w:highlight w:val="none"/>
                <w:lang w:eastAsia="zh-CN"/>
              </w:rPr>
              <w:t>（</w:t>
            </w:r>
            <w:r>
              <w:rPr>
                <w:rFonts w:hint="eastAsia" w:ascii="宋体" w:hAnsi="宋体" w:cs="宋体"/>
                <w:color w:val="auto"/>
                <w:szCs w:val="21"/>
                <w:highlight w:val="none"/>
              </w:rPr>
              <w:t>40</w:t>
            </w:r>
            <w:r>
              <w:rPr>
                <w:rFonts w:hint="eastAsia" w:ascii="宋体" w:hAnsi="宋体" w:cs="宋体"/>
                <w:color w:val="auto"/>
                <w:szCs w:val="21"/>
                <w:highlight w:val="none"/>
                <w:lang w:eastAsia="zh-CN"/>
              </w:rPr>
              <w:t>）</w:t>
            </w:r>
          </w:p>
        </w:tc>
        <w:tc>
          <w:tcPr>
            <w:tcW w:w="1134" w:type="dxa"/>
            <w:vAlign w:val="center"/>
          </w:tcPr>
          <w:p w14:paraId="0C4238C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投标人委派的管理团队</w:t>
            </w:r>
          </w:p>
        </w:tc>
        <w:tc>
          <w:tcPr>
            <w:tcW w:w="851" w:type="dxa"/>
            <w:vAlign w:val="center"/>
          </w:tcPr>
          <w:p w14:paraId="11DAD4D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11764" w:type="dxa"/>
            <w:vAlign w:val="center"/>
          </w:tcPr>
          <w:p w14:paraId="24BD5BE0">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一、项目负责人：</w:t>
            </w:r>
          </w:p>
          <w:p w14:paraId="62565A2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1、拟委派的项目负责人具有</w:t>
            </w:r>
            <w:r>
              <w:rPr>
                <w:rFonts w:hint="eastAsia" w:ascii="宋体" w:hAnsi="宋体" w:cs="宋体"/>
                <w:strike w:val="0"/>
                <w:color w:val="auto"/>
                <w:szCs w:val="21"/>
                <w:highlight w:val="none"/>
                <w:lang w:val="en-US" w:eastAsia="zh-CN"/>
              </w:rPr>
              <w:t>工程类</w:t>
            </w:r>
            <w:r>
              <w:rPr>
                <w:rFonts w:hint="eastAsia" w:ascii="宋体" w:hAnsi="宋体" w:cs="宋体"/>
                <w:strike w:val="0"/>
                <w:color w:val="auto"/>
                <w:szCs w:val="21"/>
                <w:highlight w:val="none"/>
              </w:rPr>
              <w:t>相关</w:t>
            </w:r>
            <w:r>
              <w:rPr>
                <w:rFonts w:hint="eastAsia" w:ascii="宋体" w:hAnsi="宋体" w:cs="宋体"/>
                <w:color w:val="auto"/>
                <w:szCs w:val="21"/>
                <w:highlight w:val="none"/>
              </w:rPr>
              <w:t>专业工程师（或以上）技术职称的，得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B6F855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2、拟委派的项目负责人具有10年或以上（含10年）</w:t>
            </w:r>
            <w:r>
              <w:rPr>
                <w:rFonts w:hint="eastAsia" w:ascii="宋体" w:hAnsi="宋体" w:cs="宋体"/>
                <w:color w:val="auto"/>
                <w:szCs w:val="21"/>
                <w:highlight w:val="none"/>
                <w:lang w:val="en-US" w:eastAsia="zh-CN"/>
              </w:rPr>
              <w:t>岗位</w:t>
            </w:r>
            <w:r>
              <w:rPr>
                <w:rFonts w:hint="eastAsia" w:ascii="宋体" w:hAnsi="宋体" w:cs="宋体"/>
                <w:color w:val="auto"/>
                <w:szCs w:val="21"/>
                <w:highlight w:val="none"/>
              </w:rPr>
              <w:t>工作经验，得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分；具有10年（不含10年）以下</w:t>
            </w:r>
            <w:r>
              <w:rPr>
                <w:rFonts w:hint="eastAsia" w:ascii="宋体" w:hAnsi="宋体" w:cs="宋体"/>
                <w:color w:val="auto"/>
                <w:szCs w:val="21"/>
                <w:highlight w:val="none"/>
                <w:lang w:val="en-US" w:eastAsia="zh-CN"/>
              </w:rPr>
              <w:t>岗位</w:t>
            </w:r>
            <w:r>
              <w:rPr>
                <w:rFonts w:hint="eastAsia" w:ascii="宋体" w:hAnsi="宋体" w:cs="宋体"/>
                <w:color w:val="auto"/>
                <w:szCs w:val="21"/>
                <w:highlight w:val="none"/>
              </w:rPr>
              <w:t>工作经验，得0.5分。</w:t>
            </w:r>
          </w:p>
          <w:p w14:paraId="17D85914">
            <w:pPr>
              <w:pStyle w:val="6"/>
              <w:ind w:firstLine="0" w:firstLineChars="0"/>
              <w:rPr>
                <w:rFonts w:hint="default" w:eastAsiaTheme="minorEastAsia"/>
                <w:color w:val="auto"/>
                <w:highlight w:val="none"/>
                <w:lang w:val="en-US" w:eastAsia="zh-CN"/>
              </w:rPr>
            </w:pPr>
            <w:r>
              <w:rPr>
                <w:rFonts w:hint="eastAsia"/>
                <w:color w:val="auto"/>
                <w:highlight w:val="none"/>
              </w:rPr>
              <w:t>3、</w:t>
            </w:r>
            <w:r>
              <w:rPr>
                <w:rFonts w:hint="eastAsia"/>
                <w:color w:val="auto"/>
                <w:szCs w:val="21"/>
                <w:highlight w:val="none"/>
              </w:rPr>
              <w:t>自202</w:t>
            </w:r>
            <w:r>
              <w:rPr>
                <w:rFonts w:hint="eastAsia"/>
                <w:color w:val="auto"/>
                <w:szCs w:val="21"/>
                <w:highlight w:val="none"/>
                <w:lang w:val="en-US" w:eastAsia="zh-CN"/>
              </w:rPr>
              <w:t>0</w:t>
            </w:r>
            <w:r>
              <w:rPr>
                <w:rFonts w:hint="eastAsia"/>
                <w:color w:val="auto"/>
                <w:szCs w:val="21"/>
                <w:highlight w:val="none"/>
              </w:rPr>
              <w:t>年1月1日至投标截止时间止，</w:t>
            </w:r>
            <w:r>
              <w:rPr>
                <w:rFonts w:hint="eastAsia"/>
                <w:color w:val="auto"/>
                <w:highlight w:val="none"/>
              </w:rPr>
              <w:t>拟委派的项目负责人</w:t>
            </w:r>
            <w:r>
              <w:rPr>
                <w:rFonts w:hint="eastAsia"/>
                <w:color w:val="auto"/>
                <w:highlight w:val="none"/>
                <w:lang w:val="en-US" w:eastAsia="zh-CN"/>
              </w:rPr>
              <w:t>承接过的</w:t>
            </w:r>
            <w:r>
              <w:rPr>
                <w:rFonts w:hint="eastAsia"/>
                <w:color w:val="auto"/>
                <w:highlight w:val="none"/>
              </w:rPr>
              <w:t>类似工程</w:t>
            </w:r>
            <w:r>
              <w:rPr>
                <w:rFonts w:hint="eastAsia"/>
                <w:color w:val="auto"/>
                <w:highlight w:val="none"/>
                <w:lang w:val="en-US" w:eastAsia="zh-CN"/>
              </w:rPr>
              <w:t>业绩</w:t>
            </w:r>
            <w:r>
              <w:rPr>
                <w:rFonts w:hint="eastAsia"/>
                <w:color w:val="auto"/>
                <w:highlight w:val="none"/>
                <w:lang w:eastAsia="zh-CN"/>
              </w:rPr>
              <w:t>，</w:t>
            </w:r>
            <w:r>
              <w:rPr>
                <w:rFonts w:hint="eastAsia"/>
                <w:color w:val="auto"/>
                <w:highlight w:val="none"/>
              </w:rPr>
              <w:t>获得过市级</w:t>
            </w:r>
            <w:r>
              <w:rPr>
                <w:rFonts w:hint="eastAsia"/>
                <w:color w:val="auto"/>
                <w:highlight w:val="none"/>
                <w:lang w:eastAsia="zh-CN"/>
              </w:rPr>
              <w:t>质量</w:t>
            </w:r>
            <w:r>
              <w:rPr>
                <w:rFonts w:hint="eastAsia"/>
                <w:color w:val="auto"/>
                <w:highlight w:val="none"/>
              </w:rPr>
              <w:t>奖项的得2分，获得过</w:t>
            </w:r>
            <w:r>
              <w:rPr>
                <w:rFonts w:hint="eastAsia"/>
                <w:color w:val="auto"/>
                <w:highlight w:val="none"/>
                <w:lang w:val="en-US" w:eastAsia="zh-CN"/>
              </w:rPr>
              <w:t>省</w:t>
            </w:r>
            <w:r>
              <w:rPr>
                <w:rFonts w:hint="eastAsia"/>
                <w:color w:val="auto"/>
                <w:highlight w:val="none"/>
              </w:rPr>
              <w:t>级</w:t>
            </w:r>
            <w:r>
              <w:rPr>
                <w:rFonts w:hint="eastAsia"/>
                <w:color w:val="auto"/>
                <w:highlight w:val="none"/>
                <w:lang w:eastAsia="zh-CN"/>
              </w:rPr>
              <w:t>（</w:t>
            </w:r>
            <w:r>
              <w:rPr>
                <w:rFonts w:hint="eastAsia"/>
                <w:color w:val="auto"/>
                <w:highlight w:val="none"/>
                <w:lang w:val="en-US" w:eastAsia="zh-CN"/>
              </w:rPr>
              <w:t>或以上</w:t>
            </w:r>
            <w:r>
              <w:rPr>
                <w:rFonts w:hint="eastAsia"/>
                <w:color w:val="auto"/>
                <w:highlight w:val="none"/>
                <w:lang w:eastAsia="zh-CN"/>
              </w:rPr>
              <w:t>）质量</w:t>
            </w:r>
            <w:r>
              <w:rPr>
                <w:rFonts w:hint="eastAsia"/>
                <w:color w:val="auto"/>
                <w:highlight w:val="none"/>
              </w:rPr>
              <w:t>奖项的得</w:t>
            </w:r>
            <w:r>
              <w:rPr>
                <w:rFonts w:hint="eastAsia"/>
                <w:color w:val="auto"/>
                <w:highlight w:val="none"/>
                <w:lang w:val="en-US" w:eastAsia="zh-CN"/>
              </w:rPr>
              <w:t>5</w:t>
            </w:r>
            <w:r>
              <w:rPr>
                <w:rFonts w:hint="eastAsia"/>
                <w:color w:val="auto"/>
                <w:highlight w:val="none"/>
              </w:rPr>
              <w:t>分。</w:t>
            </w:r>
            <w:r>
              <w:rPr>
                <w:rFonts w:hint="eastAsia"/>
                <w:b/>
                <w:bCs/>
                <w:color w:val="auto"/>
                <w:highlight w:val="none"/>
                <w:u w:val="single"/>
                <w:lang w:val="en-US" w:eastAsia="zh-CN"/>
              </w:rPr>
              <w:t>本小项奖项按最高等级只计算一次，</w:t>
            </w:r>
            <w:r>
              <w:rPr>
                <w:rFonts w:hint="eastAsia" w:ascii="宋体" w:hAnsi="宋体" w:eastAsia="宋体" w:cs="宋体"/>
                <w:b/>
                <w:bCs/>
                <w:color w:val="auto"/>
                <w:szCs w:val="21"/>
                <w:highlight w:val="none"/>
                <w:u w:val="single"/>
              </w:rPr>
              <w:t>最多得</w:t>
            </w:r>
            <w:r>
              <w:rPr>
                <w:rFonts w:hint="eastAsia" w:eastAsia="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分。</w:t>
            </w:r>
          </w:p>
          <w:p w14:paraId="38195C85">
            <w:pPr>
              <w:spacing w:line="276" w:lineRule="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注：1、本项合计最多得8分；2、须提供职称证、毕业证、</w:t>
            </w:r>
            <w:r>
              <w:rPr>
                <w:rFonts w:hint="eastAsia" w:ascii="宋体" w:hAnsi="宋体" w:cs="宋体"/>
                <w:color w:val="auto"/>
                <w:szCs w:val="21"/>
                <w:highlight w:val="none"/>
                <w:u w:val="single"/>
                <w:lang w:val="en-US" w:eastAsia="zh-CN"/>
              </w:rPr>
              <w:t>执业资格证</w:t>
            </w:r>
            <w:r>
              <w:rPr>
                <w:rFonts w:hint="eastAsia"/>
                <w:color w:val="auto"/>
                <w:highlight w:val="none"/>
                <w:u w:val="single"/>
                <w:lang w:eastAsia="zh-CN"/>
              </w:rPr>
              <w:t>、</w:t>
            </w:r>
            <w:r>
              <w:rPr>
                <w:rFonts w:hint="eastAsia" w:ascii="宋体" w:hAnsi="宋体" w:cs="宋体"/>
                <w:color w:val="auto"/>
                <w:szCs w:val="21"/>
                <w:highlight w:val="none"/>
                <w:u w:val="single"/>
                <w:lang w:val="en-US" w:eastAsia="zh-CN"/>
              </w:rPr>
              <w:t>获奖证明</w:t>
            </w:r>
            <w:r>
              <w:rPr>
                <w:rFonts w:hint="eastAsia" w:ascii="宋体" w:hAnsi="宋体" w:cs="宋体"/>
                <w:color w:val="auto"/>
                <w:szCs w:val="21"/>
                <w:highlight w:val="none"/>
                <w:u w:val="single"/>
              </w:rPr>
              <w:t>和社保证明。职称证书按最高级别计分，不累计计算；3、</w:t>
            </w:r>
            <w:r>
              <w:rPr>
                <w:rFonts w:hint="eastAsia" w:ascii="宋体" w:hAnsi="宋体" w:cs="宋体"/>
                <w:color w:val="auto"/>
                <w:szCs w:val="21"/>
                <w:highlight w:val="none"/>
                <w:u w:val="single"/>
                <w:lang w:val="en-US" w:eastAsia="zh-CN"/>
              </w:rPr>
              <w:t>岗位</w:t>
            </w:r>
            <w:r>
              <w:rPr>
                <w:rFonts w:hint="eastAsia" w:ascii="宋体" w:hAnsi="宋体" w:cs="宋体"/>
                <w:color w:val="auto"/>
                <w:szCs w:val="21"/>
                <w:highlight w:val="none"/>
                <w:u w:val="single"/>
              </w:rPr>
              <w:t>工作经验以</w:t>
            </w:r>
            <w:r>
              <w:rPr>
                <w:rFonts w:hint="eastAsia" w:ascii="宋体" w:hAnsi="宋体" w:cs="宋体"/>
                <w:color w:val="auto"/>
                <w:szCs w:val="21"/>
                <w:highlight w:val="none"/>
                <w:u w:val="single"/>
                <w:lang w:val="en-US" w:eastAsia="zh-CN"/>
              </w:rPr>
              <w:t>取得执业资格证书</w:t>
            </w:r>
            <w:r>
              <w:rPr>
                <w:rFonts w:hint="eastAsia" w:ascii="宋体" w:hAnsi="宋体" w:cs="宋体"/>
                <w:color w:val="auto"/>
                <w:szCs w:val="21"/>
                <w:highlight w:val="none"/>
                <w:u w:val="single"/>
              </w:rPr>
              <w:t>日期开始计算至投标截止时间止。4、</w:t>
            </w:r>
            <w:r>
              <w:rPr>
                <w:rFonts w:hint="eastAsia" w:ascii="宋体" w:hAnsi="宋体" w:cs="宋体"/>
                <w:color w:val="auto"/>
                <w:szCs w:val="21"/>
                <w:highlight w:val="none"/>
                <w:u w:val="single"/>
                <w:lang w:val="en-US" w:eastAsia="zh-CN"/>
              </w:rPr>
              <w:t>项目负责人项目获奖材料</w:t>
            </w:r>
            <w:r>
              <w:rPr>
                <w:rFonts w:hint="eastAsia" w:ascii="宋体" w:hAnsi="宋体" w:cs="宋体"/>
                <w:color w:val="auto"/>
                <w:szCs w:val="21"/>
                <w:highlight w:val="none"/>
                <w:u w:val="single"/>
              </w:rPr>
              <w:t>须</w:t>
            </w:r>
            <w:r>
              <w:rPr>
                <w:rFonts w:hint="eastAsia" w:ascii="宋体" w:hAnsi="宋体" w:cs="宋体"/>
                <w:color w:val="auto"/>
                <w:szCs w:val="21"/>
                <w:highlight w:val="none"/>
                <w:u w:val="single"/>
                <w:lang w:val="en-US" w:eastAsia="zh-CN"/>
              </w:rPr>
              <w:t>提供获奖证书，获奖证书不能体现是否其担任项目负责人岗位的</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需提供</w:t>
            </w:r>
            <w:r>
              <w:rPr>
                <w:rFonts w:hint="eastAsia" w:ascii="宋体" w:hAnsi="宋体" w:cs="宋体"/>
                <w:color w:val="auto"/>
                <w:szCs w:val="21"/>
                <w:highlight w:val="none"/>
                <w:u w:val="single"/>
              </w:rPr>
              <w:t>能体现担任该项目项目负责人</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u w:val="single"/>
              </w:rPr>
              <w:t>证明文件</w:t>
            </w:r>
            <w:r>
              <w:rPr>
                <w:rFonts w:hint="eastAsia"/>
                <w:color w:val="auto"/>
                <w:highlight w:val="none"/>
                <w:u w:val="single"/>
              </w:rPr>
              <w:t>（如施工合同、业主证明、评审申请材料、批复文件、竣工验收文件等）</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5、国家级工程质量奖项为国家政府部门或国家级行业协会颁发的工程质量奖项，如市政工程最高水平质量评价奖、中国建设工程鲁班奖、中国土木工程詹天佑奖、国家优质工程奖、国家优质工程金奖。省级或市级工程质量奖项为省级或市级行政主管部门或行业协会颁发的工程质量奖项（包含结构、省级或市级市政优良样板工程、省级或市级市政工程最高质量水平评价）；不包含安全文明、绿色施工、技术创新、QC成果、技术应用类等奖项。</w:t>
            </w:r>
          </w:p>
          <w:p w14:paraId="62296130">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二、技术负责人：</w:t>
            </w:r>
          </w:p>
          <w:p w14:paraId="05B581D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1、拟委派的技术负责人具有</w:t>
            </w:r>
            <w:r>
              <w:rPr>
                <w:rFonts w:hint="eastAsia" w:ascii="宋体" w:hAnsi="宋体" w:cs="宋体"/>
                <w:color w:val="auto"/>
                <w:szCs w:val="21"/>
                <w:highlight w:val="none"/>
                <w:lang w:val="en-US" w:eastAsia="zh-CN"/>
              </w:rPr>
              <w:t>工程类</w:t>
            </w:r>
            <w:r>
              <w:rPr>
                <w:rFonts w:hint="eastAsia" w:ascii="宋体" w:hAnsi="宋体" w:cs="宋体"/>
                <w:color w:val="auto"/>
                <w:szCs w:val="21"/>
                <w:highlight w:val="none"/>
              </w:rPr>
              <w:t>相关专业高级工程师（或以上）技术职称的，得2分。</w:t>
            </w:r>
          </w:p>
          <w:p w14:paraId="4CA81C2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2、拟委派的技术负责人具有10年或以上（含10年）</w:t>
            </w:r>
            <w:r>
              <w:rPr>
                <w:rFonts w:hint="eastAsia" w:ascii="宋体" w:hAnsi="宋体" w:cs="宋体"/>
                <w:color w:val="auto"/>
                <w:szCs w:val="21"/>
                <w:highlight w:val="none"/>
                <w:lang w:val="en-US" w:eastAsia="zh-CN"/>
              </w:rPr>
              <w:t>岗位</w:t>
            </w:r>
            <w:r>
              <w:rPr>
                <w:rFonts w:hint="eastAsia" w:ascii="宋体" w:hAnsi="宋体" w:cs="宋体"/>
                <w:color w:val="auto"/>
                <w:szCs w:val="21"/>
                <w:highlight w:val="none"/>
              </w:rPr>
              <w:t>工作经验，得3分；具有10年（不含10年）以下</w:t>
            </w:r>
            <w:r>
              <w:rPr>
                <w:rFonts w:hint="eastAsia" w:ascii="宋体" w:hAnsi="宋体" w:cs="宋体"/>
                <w:color w:val="auto"/>
                <w:szCs w:val="21"/>
                <w:highlight w:val="none"/>
                <w:lang w:val="en-US" w:eastAsia="zh-CN"/>
              </w:rPr>
              <w:t>岗位</w:t>
            </w:r>
            <w:r>
              <w:rPr>
                <w:rFonts w:hint="eastAsia" w:ascii="宋体" w:hAnsi="宋体" w:cs="宋体"/>
                <w:color w:val="auto"/>
                <w:szCs w:val="21"/>
                <w:highlight w:val="none"/>
              </w:rPr>
              <w:t>工作经验，得1分。</w:t>
            </w:r>
          </w:p>
          <w:p w14:paraId="25DD3F19">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注：1、本项合计最多得5分；2、须提供毕业证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职称证</w:t>
            </w:r>
            <w:r>
              <w:rPr>
                <w:rFonts w:hint="eastAsia" w:ascii="宋体" w:hAnsi="宋体" w:cs="宋体"/>
                <w:color w:val="auto"/>
                <w:szCs w:val="21"/>
                <w:highlight w:val="none"/>
                <w:u w:val="single"/>
              </w:rPr>
              <w:t>和社保证明。职称证书按最高级别计分，不累计计算；3、岗位工作经验以取得</w:t>
            </w:r>
            <w:r>
              <w:rPr>
                <w:rFonts w:hint="eastAsia" w:ascii="宋体" w:hAnsi="宋体" w:cs="宋体"/>
                <w:color w:val="auto"/>
                <w:szCs w:val="21"/>
                <w:highlight w:val="none"/>
                <w:u w:val="single"/>
                <w:lang w:val="en-US" w:eastAsia="zh-CN"/>
              </w:rPr>
              <w:t>职称证</w:t>
            </w:r>
            <w:r>
              <w:rPr>
                <w:rFonts w:hint="eastAsia" w:ascii="宋体" w:hAnsi="宋体" w:cs="宋体"/>
                <w:color w:val="auto"/>
                <w:szCs w:val="21"/>
                <w:highlight w:val="none"/>
                <w:u w:val="single"/>
              </w:rPr>
              <w:t>日期开始计算至投标截止时间止。</w:t>
            </w:r>
          </w:p>
          <w:p w14:paraId="578647B1">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三、安全负责人：</w:t>
            </w:r>
          </w:p>
          <w:p w14:paraId="715A1434">
            <w:pPr>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1、拟委派的安全负责人具有有效期内的注册安全工程师证书，得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14:paraId="140CC431">
            <w:pPr>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拟委派的安全负责人</w:t>
            </w:r>
            <w:r>
              <w:rPr>
                <w:rFonts w:hint="eastAsia" w:ascii="宋体" w:hAnsi="宋体" w:cs="宋体"/>
                <w:color w:val="auto"/>
                <w:kern w:val="0"/>
                <w:szCs w:val="21"/>
                <w:highlight w:val="none"/>
                <w:lang w:val="en-US" w:eastAsia="zh-CN"/>
              </w:rPr>
              <w:t>具有工程类相关专业高级工程师（或以上）技术职称的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14:paraId="3C7A075B">
            <w:pPr>
              <w:spacing w:line="276"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注：1、本项合计最多得4分；2、须提供</w:t>
            </w:r>
            <w:r>
              <w:rPr>
                <w:rFonts w:hint="eastAsia" w:ascii="宋体" w:hAnsi="宋体" w:cs="宋体"/>
                <w:color w:val="auto"/>
                <w:szCs w:val="21"/>
                <w:highlight w:val="none"/>
                <w:u w:val="single"/>
              </w:rPr>
              <w:t>注册证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职称证</w:t>
            </w:r>
            <w:r>
              <w:rPr>
                <w:rFonts w:hint="eastAsia" w:ascii="宋体" w:hAnsi="宋体" w:cs="宋体"/>
                <w:color w:val="auto"/>
                <w:szCs w:val="21"/>
                <w:highlight w:val="none"/>
                <w:u w:val="single"/>
              </w:rPr>
              <w:t>和社保证明</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 xml:space="preserve"> </w:t>
            </w:r>
          </w:p>
          <w:p w14:paraId="780ED8D4">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四、质量负责人：</w:t>
            </w:r>
          </w:p>
          <w:p w14:paraId="71579DB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1、拟委派的质量负责人具有</w:t>
            </w:r>
            <w:r>
              <w:rPr>
                <w:rFonts w:hint="eastAsia" w:ascii="宋体" w:hAnsi="宋体" w:cs="宋体"/>
                <w:color w:val="auto"/>
                <w:szCs w:val="21"/>
                <w:highlight w:val="none"/>
                <w:lang w:val="en-US" w:eastAsia="zh-CN"/>
              </w:rPr>
              <w:t>工程类</w:t>
            </w:r>
            <w:r>
              <w:rPr>
                <w:rFonts w:hint="eastAsia" w:ascii="宋体" w:hAnsi="宋体" w:cs="宋体"/>
                <w:color w:val="auto"/>
                <w:szCs w:val="21"/>
                <w:highlight w:val="none"/>
              </w:rPr>
              <w:t>相关专业高级工程师（或以上）技术职称的，得2分。</w:t>
            </w:r>
          </w:p>
          <w:p w14:paraId="2FA49670">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rPr>
              <w:t>拟委派的质量负责人具有10年或以上（含10年）</w:t>
            </w:r>
            <w:r>
              <w:rPr>
                <w:rFonts w:hint="eastAsia" w:ascii="宋体" w:hAnsi="宋体" w:cs="宋体"/>
                <w:color w:val="auto"/>
                <w:szCs w:val="21"/>
                <w:highlight w:val="none"/>
                <w:lang w:val="en-US" w:eastAsia="zh-CN"/>
              </w:rPr>
              <w:t>岗位</w:t>
            </w:r>
            <w:r>
              <w:rPr>
                <w:rFonts w:hint="eastAsia" w:ascii="宋体" w:hAnsi="宋体" w:cs="宋体"/>
                <w:color w:val="auto"/>
                <w:szCs w:val="21"/>
                <w:highlight w:val="none"/>
              </w:rPr>
              <w:t>工作经验，得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分；具有10年（不含10年）以下</w:t>
            </w:r>
            <w:r>
              <w:rPr>
                <w:rFonts w:hint="eastAsia" w:ascii="宋体" w:hAnsi="宋体" w:cs="宋体"/>
                <w:color w:val="auto"/>
                <w:szCs w:val="21"/>
                <w:highlight w:val="none"/>
                <w:lang w:val="en-US" w:eastAsia="zh-CN"/>
              </w:rPr>
              <w:t>岗位</w:t>
            </w:r>
            <w:r>
              <w:rPr>
                <w:rFonts w:hint="eastAsia" w:ascii="宋体" w:hAnsi="宋体" w:cs="宋体"/>
                <w:color w:val="auto"/>
                <w:szCs w:val="21"/>
                <w:highlight w:val="none"/>
              </w:rPr>
              <w:t>工作经验，得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252E218C">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注：1、本项合计最多得4分；2、须提供毕业证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职称证</w:t>
            </w:r>
            <w:r>
              <w:rPr>
                <w:rFonts w:hint="eastAsia" w:ascii="宋体" w:hAnsi="宋体" w:cs="宋体"/>
                <w:color w:val="auto"/>
                <w:szCs w:val="21"/>
                <w:highlight w:val="none"/>
                <w:u w:val="single"/>
              </w:rPr>
              <w:t>和社保证明；3、岗位工作经验以取得</w:t>
            </w:r>
            <w:r>
              <w:rPr>
                <w:rFonts w:hint="eastAsia" w:ascii="宋体" w:hAnsi="宋体" w:cs="宋体"/>
                <w:color w:val="auto"/>
                <w:szCs w:val="21"/>
                <w:highlight w:val="none"/>
                <w:u w:val="single"/>
                <w:lang w:val="en-US" w:eastAsia="zh-CN"/>
              </w:rPr>
              <w:t>职称证</w:t>
            </w:r>
            <w:r>
              <w:rPr>
                <w:rFonts w:hint="eastAsia" w:ascii="宋体" w:hAnsi="宋体" w:cs="宋体"/>
                <w:color w:val="auto"/>
                <w:szCs w:val="21"/>
                <w:highlight w:val="none"/>
                <w:u w:val="single"/>
              </w:rPr>
              <w:t>日期开始计算至投标截止时间止。</w:t>
            </w:r>
          </w:p>
          <w:p w14:paraId="1F405CEF">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五、造价负责人：</w:t>
            </w:r>
          </w:p>
          <w:p w14:paraId="5AC9D18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1、拟委派的造价负责人具有在有效期内的一级注册造价工程师注册证书，得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13B1F80">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拟委派的造价负责人</w:t>
            </w:r>
            <w:r>
              <w:rPr>
                <w:rFonts w:hint="eastAsia" w:ascii="宋体" w:hAnsi="宋体" w:cs="宋体"/>
                <w:color w:val="auto"/>
                <w:szCs w:val="21"/>
                <w:highlight w:val="none"/>
                <w:lang w:val="en-US" w:eastAsia="zh-CN"/>
              </w:rPr>
              <w:t>具有造价类或经济类相关专业高级工程师（或以上）技术职称的，得2分。</w:t>
            </w:r>
          </w:p>
          <w:p w14:paraId="6C1291D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注：1、本项合计最多得4分；2、须提供注册证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职称证</w:t>
            </w:r>
            <w:r>
              <w:rPr>
                <w:rFonts w:hint="eastAsia" w:ascii="宋体" w:hAnsi="宋体" w:cs="宋体"/>
                <w:color w:val="auto"/>
                <w:szCs w:val="21"/>
                <w:highlight w:val="none"/>
                <w:u w:val="single"/>
              </w:rPr>
              <w:t>和社保证明；3、</w:t>
            </w:r>
            <w:r>
              <w:rPr>
                <w:rFonts w:hint="eastAsia" w:ascii="宋体" w:hAnsi="宋体"/>
                <w:color w:val="auto"/>
                <w:szCs w:val="21"/>
                <w:highlight w:val="none"/>
                <w:u w:val="single"/>
                <w:lang w:val="zh-CN"/>
              </w:rPr>
              <w:t>根据原人事部、原建设部发布的《造价工程师执业资格制度暂行规定》（人发〔1996〕77号）</w:t>
            </w:r>
            <w:r>
              <w:rPr>
                <w:rFonts w:ascii="宋体" w:hAnsi="宋体"/>
                <w:color w:val="auto"/>
                <w:szCs w:val="21"/>
                <w:highlight w:val="none"/>
                <w:u w:val="single"/>
                <w:lang w:val="zh-CN"/>
              </w:rPr>
              <w:t>取得的造价工程师执业资格，并经注册且在有效期内的，等同于一级注册造价工程师。</w:t>
            </w:r>
          </w:p>
        </w:tc>
      </w:tr>
      <w:tr w14:paraId="65DE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28C7B357">
            <w:pPr>
              <w:spacing w:line="276" w:lineRule="auto"/>
              <w:jc w:val="center"/>
              <w:rPr>
                <w:rFonts w:hint="eastAsia" w:ascii="宋体" w:hAnsi="宋体" w:cs="宋体"/>
                <w:color w:val="auto"/>
                <w:szCs w:val="21"/>
                <w:highlight w:val="none"/>
              </w:rPr>
            </w:pPr>
          </w:p>
        </w:tc>
        <w:tc>
          <w:tcPr>
            <w:tcW w:w="1134" w:type="dxa"/>
            <w:shd w:val="clear" w:color="auto" w:fill="auto"/>
            <w:vAlign w:val="center"/>
          </w:tcPr>
          <w:p w14:paraId="53179FC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项目班子述标</w:t>
            </w:r>
          </w:p>
        </w:tc>
        <w:tc>
          <w:tcPr>
            <w:tcW w:w="851" w:type="dxa"/>
            <w:shd w:val="clear" w:color="auto" w:fill="auto"/>
            <w:vAlign w:val="center"/>
          </w:tcPr>
          <w:p w14:paraId="4E7972E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1764" w:type="dxa"/>
            <w:shd w:val="clear" w:color="auto" w:fill="auto"/>
            <w:vAlign w:val="center"/>
          </w:tcPr>
          <w:p w14:paraId="3BD5C15E">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w:t>
            </w:r>
            <w:r>
              <w:rPr>
                <w:rFonts w:hint="eastAsia" w:ascii="宋体" w:hAnsi="宋体" w:cs="宋体"/>
                <w:color w:val="auto"/>
                <w:szCs w:val="21"/>
                <w:highlight w:val="none"/>
              </w:rPr>
              <w:t>述标</w:t>
            </w:r>
            <w:r>
              <w:rPr>
                <w:rFonts w:hint="eastAsia" w:ascii="宋体" w:hAnsi="宋体" w:cs="宋体"/>
                <w:color w:val="auto"/>
                <w:kern w:val="0"/>
                <w:szCs w:val="21"/>
                <w:highlight w:val="none"/>
              </w:rPr>
              <w:t>流程：</w:t>
            </w:r>
          </w:p>
          <w:p w14:paraId="2A126195">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述标</w:t>
            </w:r>
            <w:r>
              <w:rPr>
                <w:rFonts w:hint="eastAsia" w:ascii="宋体" w:hAnsi="宋体" w:cs="宋体"/>
                <w:color w:val="auto"/>
                <w:kern w:val="0"/>
                <w:szCs w:val="21"/>
                <w:highlight w:val="none"/>
              </w:rPr>
              <w:t>人员陈述（包括但不限于以下）：</w:t>
            </w:r>
          </w:p>
          <w:p w14:paraId="2D4F9F0F">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1、对</w:t>
            </w:r>
            <w:r>
              <w:rPr>
                <w:rFonts w:hint="eastAsia" w:ascii="宋体" w:hAnsi="宋体"/>
                <w:color w:val="auto"/>
                <w:szCs w:val="21"/>
                <w:highlight w:val="none"/>
              </w:rPr>
              <w:t>本招</w:t>
            </w:r>
            <w:r>
              <w:rPr>
                <w:rFonts w:hint="eastAsia" w:ascii="宋体" w:hAnsi="宋体" w:cs="宋体"/>
                <w:color w:val="auto"/>
                <w:kern w:val="0"/>
                <w:szCs w:val="21"/>
                <w:highlight w:val="none"/>
              </w:rPr>
              <w:t>标项目的了解情况；</w:t>
            </w:r>
          </w:p>
          <w:p w14:paraId="37E305B6">
            <w:pPr>
              <w:widowControl/>
              <w:spacing w:line="276"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2、本项目施工重点、难点及建议。</w:t>
            </w:r>
          </w:p>
          <w:p w14:paraId="47CFB12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（二）评标标准：</w:t>
            </w:r>
          </w:p>
          <w:p w14:paraId="141703F0">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w:t>
            </w:r>
            <w:r>
              <w:rPr>
                <w:rFonts w:hint="eastAsia" w:ascii="宋体" w:hAnsi="宋体" w:cs="宋体"/>
                <w:b/>
                <w:color w:val="auto"/>
                <w:szCs w:val="21"/>
                <w:highlight w:val="none"/>
              </w:rPr>
              <w:t>优</w:t>
            </w:r>
            <w:r>
              <w:rPr>
                <w:rFonts w:hint="eastAsia" w:ascii="宋体" w:hAnsi="宋体" w:cs="宋体"/>
                <w:b/>
                <w:bCs/>
                <w:color w:val="auto"/>
                <w:kern w:val="0"/>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对项目情况认识清晰，对项目的重点、难点理解到位，应对措施合理健全，对工程质量和工期、安全的保证措施合理可行，述标内容与标书内容一致性高。得15分；</w:t>
            </w:r>
          </w:p>
          <w:p w14:paraId="22B77207">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【良】：</w:t>
            </w:r>
            <w:r>
              <w:rPr>
                <w:rFonts w:hint="eastAsia" w:ascii="宋体" w:hAnsi="宋体" w:cs="宋体"/>
                <w:color w:val="auto"/>
                <w:szCs w:val="21"/>
                <w:highlight w:val="none"/>
              </w:rPr>
              <w:t>对项目情况认识比较清晰，对项目的重点、难点理解比较到位，应对措施较比较合理，对工程质量和工期、安全的保证措施比较合理可行，述标内容与标书内容一致性较高。得8分；</w:t>
            </w:r>
          </w:p>
          <w:p w14:paraId="5E238B35">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【中】：</w:t>
            </w:r>
            <w:r>
              <w:rPr>
                <w:rFonts w:hint="eastAsia" w:ascii="宋体" w:hAnsi="宋体" w:cs="宋体"/>
                <w:color w:val="auto"/>
                <w:szCs w:val="21"/>
                <w:highlight w:val="none"/>
              </w:rPr>
              <w:t>对项目情况认识一般，但重点、难点把握不准，应对措施欠合理，工程质量和工期、安全的保证措施欠合理，述标内容与标书内容一致性一般。得4分；</w:t>
            </w:r>
          </w:p>
          <w:p w14:paraId="5F5ADF4F">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rPr>
              <w:t>【差】：</w:t>
            </w:r>
            <w:r>
              <w:rPr>
                <w:rFonts w:hint="eastAsia" w:ascii="宋体" w:hAnsi="宋体" w:cs="宋体"/>
                <w:color w:val="auto"/>
                <w:szCs w:val="21"/>
                <w:highlight w:val="none"/>
              </w:rPr>
              <w:t>对项目不了解，或述标内容与标书内容不一致。得0分。</w:t>
            </w:r>
          </w:p>
          <w:p w14:paraId="1920928B">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注意事项如下：</w:t>
            </w:r>
          </w:p>
          <w:p w14:paraId="2F400576">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（1）不通过技术标有效性审查的投标人不须参与述标环节。</w:t>
            </w:r>
          </w:p>
          <w:p w14:paraId="3544D76B">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（2）述标人员组成：项目负责人</w:t>
            </w:r>
            <w:r>
              <w:rPr>
                <w:rFonts w:hint="eastAsia" w:ascii="宋体" w:hAnsi="宋体" w:cs="宋体"/>
                <w:color w:val="auto"/>
                <w:szCs w:val="21"/>
                <w:highlight w:val="none"/>
                <w:u w:val="single"/>
              </w:rPr>
              <w:t>或技术负责人其中一人参加</w:t>
            </w:r>
            <w:r>
              <w:rPr>
                <w:rFonts w:hint="eastAsia" w:ascii="宋体" w:hAnsi="宋体"/>
                <w:color w:val="auto"/>
                <w:szCs w:val="21"/>
                <w:highlight w:val="none"/>
                <w:u w:val="single"/>
              </w:rPr>
              <w:t>述标。</w:t>
            </w:r>
          </w:p>
          <w:p w14:paraId="0A9EC4CF">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（3）述标顺序：</w:t>
            </w:r>
            <w:r>
              <w:rPr>
                <w:rFonts w:ascii="宋体" w:hAnsi="宋体"/>
                <w:color w:val="auto"/>
                <w:szCs w:val="21"/>
                <w:highlight w:val="none"/>
                <w:u w:val="single"/>
              </w:rPr>
              <w:t>顺序为“开标</w:t>
            </w:r>
            <w:r>
              <w:rPr>
                <w:rFonts w:hint="eastAsia" w:ascii="宋体" w:hAnsi="宋体"/>
                <w:color w:val="auto"/>
                <w:szCs w:val="21"/>
                <w:highlight w:val="none"/>
                <w:u w:val="single"/>
              </w:rPr>
              <w:t>记录</w:t>
            </w:r>
            <w:r>
              <w:rPr>
                <w:rFonts w:ascii="宋体" w:hAnsi="宋体"/>
                <w:color w:val="auto"/>
                <w:szCs w:val="21"/>
                <w:highlight w:val="none"/>
                <w:u w:val="single"/>
              </w:rPr>
              <w:t>表”由上往下的顺序（即从序号1开始）</w:t>
            </w:r>
            <w:r>
              <w:rPr>
                <w:rFonts w:hint="eastAsia" w:ascii="宋体" w:hAnsi="宋体"/>
                <w:color w:val="auto"/>
                <w:szCs w:val="21"/>
                <w:highlight w:val="none"/>
                <w:u w:val="single"/>
              </w:rPr>
              <w:t>。</w:t>
            </w:r>
          </w:p>
          <w:p w14:paraId="0D39EF28">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（4）述标人员的要求：投标人在参加述标时，应向招标人（招标代理）提供一份加盖公章的法定代表人证明书及授权委托书，并展示讲解人员在本单位</w:t>
            </w:r>
            <w:r>
              <w:rPr>
                <w:rFonts w:ascii="宋体" w:hAnsi="宋体"/>
                <w:color w:val="auto"/>
                <w:szCs w:val="21"/>
                <w:highlight w:val="none"/>
                <w:u w:val="single"/>
              </w:rPr>
              <w:t>2025年</w:t>
            </w:r>
            <w:r>
              <w:rPr>
                <w:rFonts w:hint="eastAsia" w:ascii="宋体" w:hAnsi="宋体"/>
                <w:color w:val="auto"/>
                <w:szCs w:val="21"/>
                <w:highlight w:val="none"/>
                <w:u w:val="single"/>
                <w:lang w:val="en-US" w:eastAsia="zh-CN"/>
              </w:rPr>
              <w:t>4</w:t>
            </w:r>
            <w:r>
              <w:rPr>
                <w:rFonts w:ascii="宋体" w:hAnsi="宋体"/>
                <w:color w:val="auto"/>
                <w:szCs w:val="21"/>
                <w:highlight w:val="none"/>
                <w:u w:val="single"/>
              </w:rPr>
              <w:t>月的有效社保证明复印件并加盖单位公章</w:t>
            </w:r>
            <w:r>
              <w:rPr>
                <w:rFonts w:hint="eastAsia" w:ascii="宋体" w:hAnsi="宋体"/>
                <w:color w:val="auto"/>
                <w:szCs w:val="21"/>
                <w:highlight w:val="none"/>
                <w:u w:val="single"/>
                <w:lang w:eastAsia="zh-CN"/>
              </w:rPr>
              <w:t>）</w:t>
            </w:r>
            <w:r>
              <w:rPr>
                <w:rFonts w:ascii="宋体" w:hAnsi="宋体"/>
                <w:color w:val="auto"/>
                <w:szCs w:val="21"/>
                <w:highlight w:val="none"/>
                <w:u w:val="single"/>
              </w:rPr>
              <w:t>、身份证原件，招标人（招标代理）核对确认身份后再进行</w:t>
            </w:r>
            <w:r>
              <w:rPr>
                <w:rFonts w:hint="eastAsia" w:ascii="宋体" w:hAnsi="宋体"/>
                <w:color w:val="auto"/>
                <w:szCs w:val="21"/>
                <w:highlight w:val="none"/>
                <w:u w:val="single"/>
              </w:rPr>
              <w:t>述标</w:t>
            </w:r>
            <w:r>
              <w:rPr>
                <w:rFonts w:ascii="宋体" w:hAnsi="宋体"/>
                <w:color w:val="auto"/>
                <w:szCs w:val="21"/>
                <w:highlight w:val="none"/>
                <w:u w:val="single"/>
              </w:rPr>
              <w:t>。未能出示前述证明文件的单位不予参加</w:t>
            </w:r>
            <w:r>
              <w:rPr>
                <w:rFonts w:hint="eastAsia" w:ascii="宋体" w:hAnsi="宋体"/>
                <w:color w:val="auto"/>
                <w:szCs w:val="21"/>
                <w:highlight w:val="none"/>
                <w:u w:val="single"/>
              </w:rPr>
              <w:t>述标</w:t>
            </w:r>
            <w:r>
              <w:rPr>
                <w:rFonts w:ascii="宋体" w:hAnsi="宋体"/>
                <w:color w:val="auto"/>
                <w:szCs w:val="21"/>
                <w:highlight w:val="none"/>
                <w:u w:val="single"/>
              </w:rPr>
              <w:t>环节。</w:t>
            </w:r>
          </w:p>
          <w:p w14:paraId="12D32168">
            <w:pPr>
              <w:spacing w:line="276"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5）述标形式与要求：述标环节在评标时进行，具体时间根据评标委员会评审进度而定；招标人（招标代理）在述标开始前通知通过技术标有效性审查的投标人到达述标地点（述标人员应预留出足够的时间，并保持通讯畅通）。</w:t>
            </w:r>
          </w:p>
          <w:p w14:paraId="6E2F5BDC">
            <w:pPr>
              <w:spacing w:line="276" w:lineRule="auto"/>
              <w:rPr>
                <w:rFonts w:hint="eastAsia" w:ascii="宋体" w:hAnsi="宋体" w:cs="宋体"/>
                <w:color w:val="auto"/>
                <w:szCs w:val="21"/>
                <w:highlight w:val="none"/>
              </w:rPr>
            </w:pPr>
            <w:r>
              <w:rPr>
                <w:rFonts w:hint="eastAsia" w:ascii="宋体" w:hAnsi="宋体"/>
                <w:color w:val="auto"/>
                <w:szCs w:val="21"/>
                <w:highlight w:val="none"/>
                <w:u w:val="single"/>
              </w:rPr>
              <w:t>（6）述标时长控制：每家投标人陈述时长不超5分钟。</w:t>
            </w:r>
          </w:p>
        </w:tc>
      </w:tr>
      <w:tr w14:paraId="7472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vAlign w:val="center"/>
          </w:tcPr>
          <w:p w14:paraId="3B02C937">
            <w:pPr>
              <w:spacing w:line="276" w:lineRule="auto"/>
              <w:jc w:val="center"/>
              <w:rPr>
                <w:rFonts w:hint="eastAsia" w:ascii="宋体" w:hAnsi="宋体" w:cs="宋体"/>
                <w:color w:val="auto"/>
                <w:szCs w:val="21"/>
                <w:highlight w:val="none"/>
              </w:rPr>
            </w:pPr>
          </w:p>
        </w:tc>
        <w:tc>
          <w:tcPr>
            <w:tcW w:w="1134" w:type="dxa"/>
            <w:vAlign w:val="center"/>
          </w:tcPr>
          <w:p w14:paraId="6FED34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51" w:type="dxa"/>
            <w:vAlign w:val="center"/>
          </w:tcPr>
          <w:p w14:paraId="784554D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1764" w:type="dxa"/>
            <w:vAlign w:val="center"/>
          </w:tcPr>
          <w:p w14:paraId="76A8BEB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14:paraId="4136BF72">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备注：</w:t>
      </w:r>
    </w:p>
    <w:p w14:paraId="3A417BA7">
      <w:pPr>
        <w:spacing w:line="276"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b/>
          <w:color w:val="auto"/>
          <w:kern w:val="0"/>
          <w:szCs w:val="21"/>
          <w:highlight w:val="none"/>
        </w:rPr>
        <w:t>类似工程业绩：</w:t>
      </w:r>
      <w:r>
        <w:rPr>
          <w:rFonts w:hint="eastAsia" w:ascii="宋体" w:hAnsi="宋体" w:cs="宋体"/>
          <w:bCs/>
          <w:color w:val="auto"/>
          <w:kern w:val="0"/>
          <w:szCs w:val="21"/>
          <w:highlight w:val="none"/>
        </w:rPr>
        <w:t>指</w:t>
      </w:r>
      <w:r>
        <w:rPr>
          <w:rFonts w:hint="eastAsia" w:ascii="宋体" w:hAnsi="宋体"/>
          <w:bCs/>
          <w:color w:val="auto"/>
          <w:szCs w:val="21"/>
          <w:highlight w:val="none"/>
        </w:rPr>
        <w:t>造价大于或等于</w:t>
      </w:r>
      <w:r>
        <w:rPr>
          <w:rFonts w:hint="eastAsia" w:ascii="宋体" w:hAnsi="宋体" w:cs="宋体"/>
          <w:bCs/>
          <w:color w:val="auto"/>
          <w:szCs w:val="21"/>
          <w:highlight w:val="none"/>
          <w:lang w:val="en-US" w:eastAsia="zh-CN"/>
        </w:rPr>
        <w:t>17000</w:t>
      </w:r>
      <w:r>
        <w:rPr>
          <w:rFonts w:hint="eastAsia" w:ascii="宋体" w:hAnsi="宋体" w:cs="宋体"/>
          <w:bCs/>
          <w:color w:val="auto"/>
          <w:szCs w:val="21"/>
          <w:highlight w:val="none"/>
        </w:rPr>
        <w:t>万元的市政公用工程施工总承包</w:t>
      </w:r>
      <w:r>
        <w:rPr>
          <w:rFonts w:hint="eastAsia" w:ascii="宋体" w:hAnsi="宋体" w:cs="宋体"/>
          <w:bCs/>
          <w:color w:val="auto"/>
          <w:kern w:val="0"/>
          <w:szCs w:val="21"/>
          <w:highlight w:val="none"/>
        </w:rPr>
        <w:t>【或工程总承包（即</w:t>
      </w:r>
      <w:r>
        <w:rPr>
          <w:rFonts w:ascii="宋体" w:hAnsi="宋体" w:cs="宋体"/>
          <w:bCs/>
          <w:color w:val="auto"/>
          <w:kern w:val="0"/>
          <w:szCs w:val="21"/>
          <w:highlight w:val="none"/>
        </w:rPr>
        <w:t>EPC）的施工部分】</w:t>
      </w:r>
      <w:r>
        <w:rPr>
          <w:rFonts w:hint="eastAsia" w:ascii="宋体" w:hAnsi="宋体" w:cs="宋体"/>
          <w:bCs/>
          <w:color w:val="auto"/>
          <w:kern w:val="0"/>
          <w:szCs w:val="21"/>
          <w:highlight w:val="none"/>
        </w:rPr>
        <w:t>业绩</w:t>
      </w:r>
      <w:r>
        <w:rPr>
          <w:rFonts w:hint="eastAsia" w:ascii="宋体" w:hAnsi="宋体" w:cs="宋体"/>
          <w:color w:val="auto"/>
          <w:kern w:val="0"/>
          <w:szCs w:val="21"/>
          <w:highlight w:val="none"/>
        </w:rPr>
        <w:t>，业绩需提供①中标通知书或免招标的证明、②施工合同、③竣工验收文件。业绩金额以中标通知书为准，中标通知书上没有金额或免招标的，以施工合同（不含补充合同）为准；完成时间以竣工验收文件为准，验收文件至少具有建设单位、设计、施工和监理单位盖章。如未提供相关证明材料或前述证明材料不能直接反映评分要求的特征和必要信息，该项业绩不予认定。</w:t>
      </w:r>
    </w:p>
    <w:p w14:paraId="3B42FD1B">
      <w:pPr>
        <w:adjustRightInd w:val="0"/>
        <w:snapToGrid w:val="0"/>
        <w:spacing w:line="276" w:lineRule="auto"/>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工程获奖：</w:t>
      </w:r>
      <w:r>
        <w:rPr>
          <w:rFonts w:hint="eastAsia" w:ascii="宋体" w:hAnsi="宋体" w:cs="宋体"/>
          <w:color w:val="auto"/>
          <w:szCs w:val="21"/>
          <w:highlight w:val="none"/>
        </w:rPr>
        <w:t>获奖需提供获奖证书</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。国家级工程质量奖项为国家政府部门或国家级行业协会颁发的工程质量奖项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市政工程最高水平质量评价奖、中国建设工程鲁班奖、中国土木工程詹天佑奖、国家优质工程奖、国家优质工程金奖。省级或市级工程质量奖项为省级或市级行政主管部门或行业协会颁发的工程质量奖项</w:t>
      </w:r>
      <w:r>
        <w:rPr>
          <w:rFonts w:hint="eastAsia" w:ascii="宋体" w:hAnsi="宋体" w:cs="宋体"/>
          <w:color w:val="auto"/>
          <w:szCs w:val="21"/>
          <w:highlight w:val="none"/>
          <w:lang w:val="zh-CN"/>
        </w:rPr>
        <w:t>（</w:t>
      </w:r>
      <w:r>
        <w:rPr>
          <w:rFonts w:hint="eastAsia" w:ascii="宋体" w:hAnsi="宋体" w:cs="宋体"/>
          <w:color w:val="auto"/>
          <w:szCs w:val="21"/>
          <w:highlight w:val="none"/>
          <w:lang w:val="zh-CN" w:eastAsia="zh-CN"/>
        </w:rPr>
        <w:t>包含</w:t>
      </w:r>
      <w:r>
        <w:rPr>
          <w:rFonts w:hint="eastAsia" w:ascii="宋体" w:hAnsi="宋体" w:cs="宋体"/>
          <w:color w:val="auto"/>
          <w:szCs w:val="21"/>
          <w:highlight w:val="none"/>
        </w:rPr>
        <w:t>结构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省级</w:t>
      </w:r>
      <w:r>
        <w:rPr>
          <w:rFonts w:hint="eastAsia" w:ascii="宋体" w:hAnsi="宋体" w:cs="宋体"/>
          <w:color w:val="auto"/>
          <w:szCs w:val="21"/>
          <w:highlight w:val="none"/>
        </w:rPr>
        <w:t>或市级市政优良样板工程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省级</w:t>
      </w:r>
      <w:r>
        <w:rPr>
          <w:rFonts w:hint="eastAsia" w:ascii="宋体" w:hAnsi="宋体" w:cs="宋体"/>
          <w:color w:val="auto"/>
          <w:szCs w:val="21"/>
          <w:highlight w:val="none"/>
          <w:lang w:eastAsia="zh-CN"/>
        </w:rPr>
        <w:t>或市级市政工程最高质量水平评价</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lang w:val="zh-CN"/>
        </w:rPr>
        <w:t>不包含安全文明</w:t>
      </w:r>
      <w:r>
        <w:rPr>
          <w:rFonts w:hint="eastAsia" w:ascii="宋体" w:hAnsi="宋体" w:cs="宋体"/>
          <w:color w:val="auto"/>
          <w:szCs w:val="21"/>
          <w:highlight w:val="none"/>
        </w:rPr>
        <w:t>、</w:t>
      </w:r>
      <w:r>
        <w:rPr>
          <w:rFonts w:hint="eastAsia" w:ascii="宋体" w:hAnsi="宋体" w:cs="宋体"/>
          <w:color w:val="auto"/>
          <w:szCs w:val="21"/>
          <w:highlight w:val="none"/>
          <w:lang w:val="zh-CN"/>
        </w:rPr>
        <w:t>绿色施工、技术创新、QC成果、技术应用类等奖项。</w:t>
      </w:r>
      <w:r>
        <w:rPr>
          <w:rFonts w:hint="eastAsia" w:ascii="宋体" w:hAnsi="宋体" w:cs="宋体"/>
          <w:color w:val="auto"/>
          <w:szCs w:val="21"/>
          <w:highlight w:val="none"/>
        </w:rPr>
        <w:t>参建项目不得分</w:t>
      </w:r>
      <w:r>
        <w:rPr>
          <w:rFonts w:hint="eastAsia" w:ascii="宋体" w:hAnsi="宋体" w:cs="宋体"/>
          <w:color w:val="auto"/>
          <w:szCs w:val="21"/>
          <w:highlight w:val="none"/>
          <w:lang w:val="zh-CN"/>
        </w:rPr>
        <w:t>。</w:t>
      </w:r>
      <w:r>
        <w:rPr>
          <w:rFonts w:hint="eastAsia" w:ascii="宋体" w:hAnsi="宋体" w:cs="宋体"/>
          <w:color w:val="auto"/>
          <w:szCs w:val="21"/>
          <w:highlight w:val="none"/>
        </w:rPr>
        <w:t>如颁发单位为行业协会的，还须提供该协会在“全国社会组织信用信息公示平台”已登记备案的查询信息截图页（网址：https://xxgs.chinanpo.mca.gov.cn/gsxt/newList）。同一项目按最高级别获奖计分，如获得同级别的不同奖项只计分一次。获奖时间以获奖证书发证日期为准。</w:t>
      </w:r>
      <w:r>
        <w:rPr>
          <w:rFonts w:hint="eastAsia" w:ascii="宋体" w:hAnsi="宋体" w:cs="宋体"/>
          <w:color w:val="auto"/>
          <w:kern w:val="0"/>
          <w:szCs w:val="21"/>
          <w:highlight w:val="none"/>
        </w:rPr>
        <w:t>投标人所提供扫描件不符合上述要求的不予认定。</w:t>
      </w:r>
    </w:p>
    <w:p w14:paraId="7CAAA79A">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工程研发能力：</w:t>
      </w:r>
    </w:p>
    <w:p w14:paraId="6F2F5007">
      <w:pPr>
        <w:spacing w:line="27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3.1</w:t>
      </w:r>
      <w:r>
        <w:rPr>
          <w:rFonts w:hint="eastAsia" w:ascii="宋体" w:hAnsi="宋体" w:eastAsia="宋体" w:cs="宋体"/>
          <w:color w:val="auto"/>
          <w:szCs w:val="21"/>
          <w:highlight w:val="none"/>
          <w:lang w:eastAsia="zh-CN"/>
        </w:rPr>
        <w:t>国家或行业标准指</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lang w:eastAsia="zh-CN"/>
        </w:rPr>
        <w:t>中华人民共和国住房和城乡建设部官网（https://www.mohurd.gov.cn/）发布的标准为准，省级地方标准指</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lang w:eastAsia="zh-CN"/>
        </w:rPr>
        <w:t>省级住房和城乡建设</w:t>
      </w:r>
      <w:r>
        <w:rPr>
          <w:rFonts w:hint="eastAsia" w:ascii="宋体" w:hAnsi="宋体" w:eastAsia="宋体" w:cs="宋体"/>
          <w:color w:val="auto"/>
          <w:szCs w:val="21"/>
          <w:highlight w:val="none"/>
          <w:lang w:val="en-US" w:eastAsia="zh-CN"/>
        </w:rPr>
        <w:t>相关部门</w:t>
      </w:r>
      <w:r>
        <w:rPr>
          <w:rFonts w:hint="eastAsia" w:ascii="宋体" w:hAnsi="宋体" w:eastAsia="宋体" w:cs="宋体"/>
          <w:color w:val="auto"/>
          <w:szCs w:val="21"/>
          <w:highlight w:val="none"/>
          <w:lang w:eastAsia="zh-CN"/>
        </w:rPr>
        <w:t>发布的标准</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lang w:eastAsia="zh-CN"/>
        </w:rPr>
        <w:t>准；市级地方标准指在市级住房和城乡建设相关部门发布的标准为准，不包含协会发布的标准，只计算与工程相关的标准。</w:t>
      </w:r>
      <w:r>
        <w:rPr>
          <w:rFonts w:hint="eastAsia" w:ascii="宋体" w:hAnsi="宋体" w:eastAsia="宋体" w:cs="宋体"/>
          <w:color w:val="auto"/>
          <w:szCs w:val="21"/>
          <w:highlight w:val="none"/>
          <w:lang w:val="en-US" w:eastAsia="zh-CN"/>
        </w:rPr>
        <w:t>以标准实施时间为准。</w:t>
      </w:r>
      <w:r>
        <w:rPr>
          <w:rFonts w:hint="eastAsia" w:ascii="宋体" w:hAnsi="宋体" w:eastAsia="宋体" w:cs="宋体"/>
          <w:color w:val="auto"/>
          <w:szCs w:val="21"/>
          <w:highlight w:val="none"/>
          <w:lang w:eastAsia="zh-CN"/>
        </w:rPr>
        <w:t>需提供标准发布公告的网页截图以及关键页（需能体现投标人为主编或参编或起草）清晰扫描件，不符合上述条件或未提供上述资料的不得分。</w:t>
      </w:r>
    </w:p>
    <w:p w14:paraId="0893F93D">
      <w:pPr>
        <w:spacing w:line="360" w:lineRule="auto"/>
        <w:ind w:firstLine="422" w:firstLineChars="200"/>
        <w:rPr>
          <w:rFonts w:hint="eastAsia" w:ascii="宋体" w:hAnsi="宋体" w:cs="宋体"/>
          <w:color w:val="auto"/>
          <w:szCs w:val="21"/>
          <w:highlight w:val="none"/>
        </w:rPr>
      </w:pPr>
      <w:r>
        <w:rPr>
          <w:rFonts w:hint="eastAsia" w:ascii="宋体" w:hAnsi="宋体" w:eastAsia="宋体" w:cs="宋体"/>
          <w:b/>
          <w:bCs/>
          <w:color w:val="auto"/>
          <w:szCs w:val="21"/>
          <w:highlight w:val="none"/>
          <w:u w:val="single"/>
          <w:lang w:val="en-US" w:eastAsia="zh-CN"/>
        </w:rPr>
        <w:t>3.2</w:t>
      </w:r>
      <w:r>
        <w:rPr>
          <w:rFonts w:hint="eastAsia" w:ascii="宋体" w:hAnsi="宋体" w:eastAsia="宋体" w:cs="宋体"/>
          <w:b/>
          <w:bCs/>
          <w:color w:val="auto"/>
          <w:sz w:val="21"/>
          <w:szCs w:val="21"/>
          <w:u w:val="single"/>
        </w:rPr>
        <w:t>工法证书须提供</w:t>
      </w:r>
      <w:r>
        <w:rPr>
          <w:rFonts w:hint="eastAsia" w:ascii="宋体" w:hAnsi="宋体" w:eastAsia="宋体" w:cs="宋体"/>
          <w:b/>
          <w:bCs/>
          <w:color w:val="auto"/>
          <w:szCs w:val="21"/>
          <w:highlight w:val="none"/>
          <w:u w:val="single"/>
          <w:lang w:val="en-US" w:eastAsia="zh-CN"/>
        </w:rPr>
        <w:t>市级（或以上）建设行政主管部门或行业协会(行业协会须在民政管理部门登记备案）或其他工法主管部门颁发的工法证书扫描件，</w:t>
      </w:r>
      <w:r>
        <w:rPr>
          <w:rFonts w:hint="eastAsia" w:ascii="宋体" w:hAnsi="宋体" w:eastAsia="宋体" w:cs="宋体"/>
          <w:b/>
          <w:bCs/>
          <w:color w:val="auto"/>
          <w:sz w:val="21"/>
          <w:szCs w:val="21"/>
          <w:u w:val="single"/>
        </w:rPr>
        <w:t>另须提供（对工法科技成果内容及其应用在具体工程项目所产生的效益进行鉴定）的科学技术成果鉴定证书扫描件，并且在科学技术成果鉴定证书中需明确该工法的研究背景项目为市政类项目，并提供其鉴定证书所对应的工程项目施工许可证（投标人须为该施工许可证中的施工总承包单位），工法科技成果为投标单位子公司名义的不作计算。无法提供以上证明材料或提供的证明材料不符合要求或证明材料未加盖投标人电子印章的不得分。</w:t>
      </w:r>
    </w:p>
    <w:p w14:paraId="51FFE9EE">
      <w:pPr>
        <w:spacing w:line="276" w:lineRule="auto"/>
        <w:ind w:firstLine="420" w:firstLineChars="200"/>
        <w:rPr>
          <w:rFonts w:hint="eastAsia"/>
          <w:color w:val="auto"/>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第三方评价：</w:t>
      </w:r>
      <w:r>
        <w:rPr>
          <w:rFonts w:hint="eastAsia" w:ascii="宋体" w:hAnsi="宋体" w:eastAsia="宋体" w:cs="宋体"/>
          <w:color w:val="auto"/>
          <w:szCs w:val="21"/>
          <w:highlight w:val="none"/>
        </w:rPr>
        <w:t>以投标人所提供施工企业诚信评价或信用等级评价证书扫描件为准，且证书在有效期内。</w:t>
      </w:r>
      <w:r>
        <w:rPr>
          <w:rFonts w:hint="eastAsia" w:ascii="宋体" w:hAnsi="宋体" w:eastAsia="宋体" w:cs="宋体"/>
          <w:color w:val="auto"/>
          <w:szCs w:val="21"/>
          <w:highlight w:val="none"/>
          <w:lang w:val="en-US" w:eastAsia="zh-CN"/>
        </w:rPr>
        <w:t>只计算投标人自身，不计算投标人的子公司、分公司及分支机构。</w:t>
      </w:r>
      <w:r>
        <w:rPr>
          <w:rFonts w:hint="eastAsia" w:ascii="宋体" w:hAnsi="宋体"/>
          <w:color w:val="auto"/>
          <w:szCs w:val="21"/>
          <w:highlight w:val="none"/>
        </w:rPr>
        <w:t>企业获评等级级别判定以评价证书颁发的行政主管部门或协会相关评价办法为准，需提供评价证书颁发的行政主管部门或协会官方网站发布评价办法的网页截图(或网页打印页)或评价办法官方红头文件扫描件(未分等级的按最高等级得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如提供相关行业协会颁发的证书，则须同时提供该行业协会在“中国社会组织政务服务平台”网站(https://chinanpo.mca.gov.cn/)查询结果的网页信息截图，否则不予计分。</w:t>
      </w:r>
    </w:p>
    <w:p w14:paraId="49DC0AB3">
      <w:pPr>
        <w:spacing w:line="276"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bCs/>
          <w:color w:val="auto"/>
          <w:kern w:val="0"/>
          <w:szCs w:val="21"/>
          <w:highlight w:val="none"/>
        </w:rPr>
        <w:t>5、</w:t>
      </w:r>
      <w:r>
        <w:rPr>
          <w:rFonts w:hint="eastAsia" w:ascii="宋体" w:hAnsi="宋体" w:cs="宋体"/>
          <w:b/>
          <w:color w:val="auto"/>
          <w:kern w:val="0"/>
          <w:szCs w:val="21"/>
          <w:highlight w:val="none"/>
        </w:rPr>
        <w:t>项目管理机构：</w:t>
      </w:r>
      <w:r>
        <w:rPr>
          <w:rFonts w:hint="eastAsia" w:ascii="宋体" w:hAnsi="宋体" w:cs="宋体"/>
          <w:bCs/>
          <w:color w:val="auto"/>
          <w:kern w:val="0"/>
          <w:szCs w:val="21"/>
          <w:highlight w:val="none"/>
        </w:rPr>
        <w:t>项目管理机构</w:t>
      </w:r>
      <w:r>
        <w:rPr>
          <w:rFonts w:hint="eastAsia" w:ascii="宋体" w:hAnsi="宋体" w:cs="宋体"/>
          <w:color w:val="auto"/>
          <w:kern w:val="0"/>
          <w:szCs w:val="21"/>
          <w:highlight w:val="none"/>
        </w:rPr>
        <w:t>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Pr>
          <w:rFonts w:hint="eastAsia" w:ascii="宋体" w:hAnsi="宋体" w:cs="宋体"/>
          <w:color w:val="auto"/>
          <w:kern w:val="0"/>
          <w:szCs w:val="21"/>
          <w:highlight w:val="none"/>
          <w:u w:val="single"/>
        </w:rPr>
        <w:t>2025年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rPr>
        <w:t>。投标人不提供相关证件资料的不得分。</w:t>
      </w:r>
    </w:p>
    <w:p w14:paraId="0EBEEC24">
      <w:pPr>
        <w:ind w:firstLine="424" w:firstLineChars="202"/>
        <w:rPr>
          <w:rFonts w:hint="eastAsia" w:ascii="宋体" w:hAnsi="宋体"/>
          <w:color w:val="auto"/>
          <w:szCs w:val="21"/>
        </w:rPr>
      </w:pPr>
      <w:r>
        <w:rPr>
          <w:rFonts w:hint="eastAsia" w:ascii="宋体" w:hAnsi="宋体" w:cs="宋体"/>
          <w:color w:val="auto"/>
          <w:kern w:val="0"/>
          <w:szCs w:val="21"/>
          <w:highlight w:val="none"/>
        </w:rPr>
        <w:t>6、投标人得分为各评委评分汇总后的算术平均值（若分数出现小数点时，保留小数点后二位，第三位小数四舍五入）。</w:t>
      </w:r>
    </w:p>
    <w:p w14:paraId="732A1FF5">
      <w:pPr>
        <w:pStyle w:val="2"/>
        <w:rPr>
          <w:color w:val="auto"/>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C59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9C4C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69C4C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26207"/>
    <w:multiLevelType w:val="singleLevel"/>
    <w:tmpl w:val="20B262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55FE"/>
    <w:rsid w:val="01A7022B"/>
    <w:rsid w:val="02892659"/>
    <w:rsid w:val="0486237A"/>
    <w:rsid w:val="054249A0"/>
    <w:rsid w:val="0808579C"/>
    <w:rsid w:val="09DC0C8E"/>
    <w:rsid w:val="0BDB6CE9"/>
    <w:rsid w:val="0E0C65EE"/>
    <w:rsid w:val="0E3B007E"/>
    <w:rsid w:val="0ECA06C9"/>
    <w:rsid w:val="10923E54"/>
    <w:rsid w:val="11DB5350"/>
    <w:rsid w:val="125347F4"/>
    <w:rsid w:val="125910CE"/>
    <w:rsid w:val="1331204B"/>
    <w:rsid w:val="17373F25"/>
    <w:rsid w:val="19B47531"/>
    <w:rsid w:val="1B177D78"/>
    <w:rsid w:val="1D0E4BF2"/>
    <w:rsid w:val="21AE2AB8"/>
    <w:rsid w:val="23375DC8"/>
    <w:rsid w:val="242157C3"/>
    <w:rsid w:val="252E0198"/>
    <w:rsid w:val="2A1F27A5"/>
    <w:rsid w:val="2A473AAA"/>
    <w:rsid w:val="2CA874E3"/>
    <w:rsid w:val="30F54260"/>
    <w:rsid w:val="31CD2AE7"/>
    <w:rsid w:val="31F105B3"/>
    <w:rsid w:val="32FA5B5D"/>
    <w:rsid w:val="338F44F8"/>
    <w:rsid w:val="33D463AE"/>
    <w:rsid w:val="34313801"/>
    <w:rsid w:val="34AA5361"/>
    <w:rsid w:val="35441312"/>
    <w:rsid w:val="35613C72"/>
    <w:rsid w:val="35B77D36"/>
    <w:rsid w:val="36472584"/>
    <w:rsid w:val="3A63048C"/>
    <w:rsid w:val="3AC74873"/>
    <w:rsid w:val="3B0B5339"/>
    <w:rsid w:val="3B762441"/>
    <w:rsid w:val="3C0B2B89"/>
    <w:rsid w:val="3CB44FCF"/>
    <w:rsid w:val="3D08531B"/>
    <w:rsid w:val="3F520ACF"/>
    <w:rsid w:val="410D1152"/>
    <w:rsid w:val="41D028AB"/>
    <w:rsid w:val="439D67BD"/>
    <w:rsid w:val="464078D3"/>
    <w:rsid w:val="486F1112"/>
    <w:rsid w:val="48E704DA"/>
    <w:rsid w:val="4919075C"/>
    <w:rsid w:val="4B4C1DAE"/>
    <w:rsid w:val="4BA777F0"/>
    <w:rsid w:val="4C1B2975"/>
    <w:rsid w:val="4E992277"/>
    <w:rsid w:val="54F14BBA"/>
    <w:rsid w:val="55256612"/>
    <w:rsid w:val="558646CA"/>
    <w:rsid w:val="5647080A"/>
    <w:rsid w:val="56E843EB"/>
    <w:rsid w:val="57F14F06"/>
    <w:rsid w:val="5A225816"/>
    <w:rsid w:val="5A744696"/>
    <w:rsid w:val="5B631C42"/>
    <w:rsid w:val="600235A9"/>
    <w:rsid w:val="626C5880"/>
    <w:rsid w:val="62B85F80"/>
    <w:rsid w:val="63BA086D"/>
    <w:rsid w:val="652341F0"/>
    <w:rsid w:val="653705B5"/>
    <w:rsid w:val="659550EE"/>
    <w:rsid w:val="66614FDF"/>
    <w:rsid w:val="668A59B6"/>
    <w:rsid w:val="688A2F04"/>
    <w:rsid w:val="69026F3E"/>
    <w:rsid w:val="6A024D1C"/>
    <w:rsid w:val="6B7B4D86"/>
    <w:rsid w:val="6B8E4AB9"/>
    <w:rsid w:val="70585696"/>
    <w:rsid w:val="72F5541E"/>
    <w:rsid w:val="73367E25"/>
    <w:rsid w:val="741144D9"/>
    <w:rsid w:val="74F33BDF"/>
    <w:rsid w:val="75947170"/>
    <w:rsid w:val="75AF5D58"/>
    <w:rsid w:val="77FB20F0"/>
    <w:rsid w:val="78850FF2"/>
    <w:rsid w:val="79586707"/>
    <w:rsid w:val="7BE93669"/>
    <w:rsid w:val="7C943EFA"/>
    <w:rsid w:val="7D5B2611"/>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5"/>
    <w:qFormat/>
    <w:uiPriority w:val="0"/>
    <w:pPr>
      <w:keepNext/>
      <w:keepLines/>
      <w:spacing w:before="340" w:after="330" w:line="576" w:lineRule="auto"/>
      <w:outlineLvl w:val="0"/>
    </w:pPr>
    <w:rPr>
      <w:bCs/>
      <w:kern w:val="44"/>
      <w:sz w:val="44"/>
      <w:szCs w:val="44"/>
    </w:rPr>
  </w:style>
  <w:style w:type="paragraph" w:styleId="7">
    <w:name w:val="heading 2"/>
    <w:basedOn w:val="1"/>
    <w:next w:val="8"/>
    <w:qFormat/>
    <w:uiPriority w:val="0"/>
    <w:pPr>
      <w:keepNext/>
      <w:keepLines/>
      <w:spacing w:line="360" w:lineRule="auto"/>
      <w:jc w:val="center"/>
      <w:outlineLvl w:val="1"/>
    </w:pPr>
    <w:rPr>
      <w:rFonts w:ascii="Cambria" w:hAnsi="Cambria"/>
      <w:b/>
      <w:bCs/>
      <w:kern w:val="0"/>
      <w:sz w:val="30"/>
      <w:szCs w:val="30"/>
      <w:lang w:val="zh-CN"/>
    </w:rPr>
  </w:style>
  <w:style w:type="paragraph" w:styleId="9">
    <w:name w:val="heading 3"/>
    <w:basedOn w:val="1"/>
    <w:next w:val="1"/>
    <w:qFormat/>
    <w:uiPriority w:val="0"/>
    <w:pPr>
      <w:widowControl/>
      <w:spacing w:line="360" w:lineRule="auto"/>
      <w:jc w:val="left"/>
      <w:outlineLvl w:val="2"/>
    </w:pPr>
    <w:rPr>
      <w:rFonts w:ascii="宋体" w:hAnsi="宋体" w:cs="宋体"/>
      <w:kern w:val="0"/>
      <w:sz w:val="24"/>
      <w:szCs w:val="24"/>
    </w:rPr>
  </w:style>
  <w:style w:type="paragraph" w:styleId="10">
    <w:name w:val="heading 4"/>
    <w:basedOn w:val="1"/>
    <w:next w:val="1"/>
    <w:qFormat/>
    <w:uiPriority w:val="0"/>
    <w:pPr>
      <w:autoSpaceDE w:val="0"/>
      <w:autoSpaceDN w:val="0"/>
      <w:adjustRightInd w:val="0"/>
      <w:spacing w:line="360" w:lineRule="auto"/>
      <w:jc w:val="left"/>
      <w:outlineLvl w:val="3"/>
    </w:pPr>
    <w:rPr>
      <w:rFonts w:ascii="宋体" w:hAnsi="宋体"/>
      <w:kern w:val="0"/>
      <w:sz w:val="24"/>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lang w:val="zh-CN"/>
    </w:rPr>
  </w:style>
  <w:style w:type="paragraph" w:styleId="4">
    <w:name w:val="Title"/>
    <w:basedOn w:val="1"/>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rPr>
      <w:rFonts w:ascii="Times New Roman" w:hAnsi="Times New Roman"/>
      <w:szCs w:val="20"/>
    </w:rPr>
  </w:style>
  <w:style w:type="paragraph" w:styleId="6">
    <w:name w:val="Body Text"/>
    <w:basedOn w:val="1"/>
    <w:next w:val="1"/>
    <w:unhideWhenUsed/>
    <w:qFormat/>
    <w:uiPriority w:val="0"/>
    <w:pPr>
      <w:spacing w:line="276" w:lineRule="auto"/>
      <w:ind w:firstLine="309" w:firstLineChars="147"/>
    </w:pPr>
    <w:rPr>
      <w:rFonts w:ascii="宋体" w:hAnsi="宋体"/>
    </w:rPr>
  </w:style>
  <w:style w:type="paragraph" w:styleId="8">
    <w:name w:val="Normal Indent"/>
    <w:basedOn w:val="1"/>
    <w:qFormat/>
    <w:uiPriority w:val="0"/>
    <w:pPr>
      <w:ind w:firstLine="420"/>
    </w:pPr>
    <w:rPr>
      <w:rFonts w:ascii="Times New Roman" w:hAnsi="Times New Roman"/>
      <w:szCs w:val="20"/>
    </w:rPr>
  </w:style>
  <w:style w:type="paragraph" w:styleId="11">
    <w:name w:val="Body Text Indent"/>
    <w:basedOn w:val="1"/>
    <w:qFormat/>
    <w:uiPriority w:val="0"/>
    <w:pPr>
      <w:ind w:firstLine="570"/>
    </w:pPr>
    <w:rPr>
      <w:rFonts w:ascii="Times New Roman" w:hAnsi="Times New Roman"/>
      <w:sz w:val="28"/>
      <w:szCs w:val="20"/>
    </w:rPr>
  </w:style>
  <w:style w:type="paragraph" w:styleId="12">
    <w:name w:val="Date"/>
    <w:basedOn w:val="1"/>
    <w:next w:val="1"/>
    <w:qFormat/>
    <w:uiPriority w:val="0"/>
    <w:rPr>
      <w:rFonts w:ascii="Times New Roman" w:hAnsi="Times New Roman"/>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11"/>
    <w:semiHidden/>
    <w:unhideWhenUsed/>
    <w:qFormat/>
    <w:uiPriority w:val="99"/>
    <w:pPr>
      <w:spacing w:after="120"/>
      <w:ind w:left="420" w:leftChars="200" w:firstLine="420" w:firstLineChars="200"/>
    </w:pPr>
    <w:rPr>
      <w:rFonts w:ascii="Calibri" w:hAnsi="Calibri"/>
      <w:sz w:val="21"/>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1625</Words>
  <Characters>1757</Characters>
  <Lines>0</Lines>
  <Paragraphs>0</Paragraphs>
  <TotalTime>0</TotalTime>
  <ScaleCrop>false</ScaleCrop>
  <LinksUpToDate>false</LinksUpToDate>
  <CharactersWithSpaces>1786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2025-04-11T09:46:00Z</dcterms:created>
  <dc:creator>86157</dc:creator>
  <cp:lastModifiedBy>GDZG</cp:lastModifiedBy>
  <dcterms:modified xsi:type="dcterms:W3CDTF">2025-05-14T05:04:00Z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eyJoZGlkIjoiYjE2N2QzZTJmNDlhNTYxNmY3MWExYjg2MWZkOTQ4M2QiLCJ1c2VySWQiOiIzNDQzMjI4MjgifQ==</vt:lpwstr>
  </property>
  <property fmtid="{D5CDD505-2E9C-101B-9397-08002B2CF9AE}" pid="4" name="ICV">
    <vt:lpwstr>55872940FF76470880D8720829DDDBB0_12</vt:lpwstr>
  </property>
</Properties>
</file>