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color w:val="auto"/>
          <w:sz w:val="28"/>
          <w:szCs w:val="28"/>
          <w:highlight w:val="none"/>
          <w:u w:val="single"/>
          <w:lang w:eastAsia="zh-CN"/>
        </w:rPr>
      </w:pPr>
      <w:r>
        <w:rPr>
          <w:rFonts w:hint="eastAsia" w:ascii="宋体" w:hAnsi="宋体"/>
          <w:b/>
          <w:bCs/>
          <w:color w:val="auto"/>
          <w:sz w:val="28"/>
          <w:szCs w:val="28"/>
          <w:highlight w:val="none"/>
          <w:u w:val="single"/>
          <w:lang w:eastAsia="zh-CN"/>
        </w:rPr>
        <w:t>揭阳大南海石化工业区广大化工公共罐区工程</w:t>
      </w:r>
    </w:p>
    <w:p>
      <w:pPr>
        <w:spacing w:line="240" w:lineRule="auto"/>
        <w:jc w:val="center"/>
        <w:rPr>
          <w:rFonts w:ascii="宋体" w:hAnsi="宋体"/>
          <w:color w:val="auto"/>
          <w:sz w:val="32"/>
          <w:szCs w:val="32"/>
          <w:highlight w:val="none"/>
        </w:rPr>
      </w:pPr>
      <w:r>
        <w:rPr>
          <w:rFonts w:hint="eastAsia" w:ascii="宋体" w:hAnsi="宋体"/>
          <w:b/>
          <w:bCs/>
          <w:color w:val="auto"/>
          <w:sz w:val="28"/>
          <w:szCs w:val="28"/>
          <w:highlight w:val="none"/>
          <w:u w:val="single"/>
          <w:lang w:eastAsia="zh-CN"/>
        </w:rPr>
        <w:t>勘察设计（</w:t>
      </w:r>
      <w:r>
        <w:rPr>
          <w:rFonts w:hint="eastAsia" w:ascii="宋体" w:hAnsi="宋体"/>
          <w:b/>
          <w:bCs/>
          <w:color w:val="auto"/>
          <w:sz w:val="28"/>
          <w:szCs w:val="28"/>
          <w:highlight w:val="none"/>
          <w:u w:val="single"/>
          <w:lang w:val="en-US" w:eastAsia="zh-CN"/>
        </w:rPr>
        <w:t>第二次</w:t>
      </w:r>
      <w:r>
        <w:rPr>
          <w:rFonts w:hint="eastAsia" w:ascii="宋体" w:hAnsi="宋体"/>
          <w:b/>
          <w:bCs/>
          <w:color w:val="auto"/>
          <w:sz w:val="28"/>
          <w:szCs w:val="28"/>
          <w:highlight w:val="none"/>
          <w:u w:val="single"/>
          <w:lang w:eastAsia="zh-CN"/>
        </w:rPr>
        <w:t>）</w:t>
      </w:r>
      <w:r>
        <w:rPr>
          <w:rFonts w:hint="eastAsia" w:ascii="宋体" w:hAnsi="宋体"/>
          <w:b/>
          <w:bCs/>
          <w:color w:val="auto"/>
          <w:sz w:val="28"/>
          <w:szCs w:val="28"/>
          <w:highlight w:val="none"/>
          <w:u w:val="single"/>
        </w:rPr>
        <w:t>招标公告</w:t>
      </w:r>
    </w:p>
    <w:p>
      <w:pPr>
        <w:keepNext/>
        <w:keepLines/>
        <w:widowControl w:val="0"/>
        <w:spacing w:after="0" w:line="360" w:lineRule="auto"/>
        <w:jc w:val="both"/>
        <w:outlineLvl w:val="1"/>
        <w:rPr>
          <w:rFonts w:hint="eastAsia" w:ascii="宋体" w:hAnsi="宋体" w:eastAsia="宋体" w:cs="Times New Roman"/>
          <w:b/>
          <w:bCs/>
          <w:color w:val="auto"/>
          <w:kern w:val="2"/>
          <w:sz w:val="24"/>
          <w:szCs w:val="24"/>
          <w:highlight w:val="none"/>
          <w:lang w:val="en-US" w:eastAsia="zh-CN" w:bidi="ar-SA"/>
        </w:rPr>
      </w:pPr>
      <w:bookmarkStart w:id="0" w:name="_Toc505720172"/>
      <w:r>
        <w:rPr>
          <w:rFonts w:hint="eastAsia" w:ascii="宋体" w:hAnsi="宋体" w:eastAsia="宋体" w:cs="Times New Roman"/>
          <w:b/>
          <w:bCs/>
          <w:color w:val="auto"/>
          <w:kern w:val="2"/>
          <w:sz w:val="24"/>
          <w:szCs w:val="24"/>
          <w:highlight w:val="none"/>
          <w:lang w:val="en-US" w:eastAsia="zh-CN" w:bidi="ar-SA"/>
        </w:rPr>
        <w:t>1. 招标条件</w:t>
      </w:r>
      <w:bookmarkEnd w:id="0"/>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本招标项目</w:t>
      </w:r>
      <w:r>
        <w:rPr>
          <w:rFonts w:hint="eastAsia" w:ascii="宋体" w:hAnsi="宋体"/>
          <w:color w:val="auto"/>
          <w:sz w:val="24"/>
          <w:szCs w:val="24"/>
          <w:highlight w:val="none"/>
          <w:u w:val="single"/>
          <w:lang w:eastAsia="zh-CN"/>
        </w:rPr>
        <w:t>揭阳大南海石化工业区广大化工公共罐区工程</w:t>
      </w:r>
      <w:r>
        <w:rPr>
          <w:rFonts w:hint="eastAsia" w:ascii="宋体" w:hAnsi="宋体"/>
          <w:color w:val="auto"/>
          <w:sz w:val="24"/>
          <w:szCs w:val="24"/>
          <w:highlight w:val="none"/>
          <w:u w:val="none"/>
          <w:lang w:val="en-US" w:eastAsia="zh-CN"/>
        </w:rPr>
        <w:t>已由</w:t>
      </w:r>
      <w:r>
        <w:rPr>
          <w:rFonts w:hint="eastAsia" w:ascii="宋体" w:hAnsi="宋体"/>
          <w:color w:val="auto"/>
          <w:sz w:val="24"/>
          <w:szCs w:val="24"/>
          <w:highlight w:val="none"/>
          <w:u w:val="single"/>
          <w:lang w:val="en-US" w:eastAsia="zh-CN"/>
        </w:rPr>
        <w:t>揭阳市发展和改革局</w:t>
      </w:r>
      <w:r>
        <w:rPr>
          <w:rFonts w:hint="eastAsia" w:ascii="宋体" w:hAnsi="宋体"/>
          <w:color w:val="auto"/>
          <w:sz w:val="24"/>
          <w:szCs w:val="24"/>
          <w:highlight w:val="none"/>
          <w:u w:val="none"/>
          <w:lang w:val="en-US" w:eastAsia="zh-CN"/>
        </w:rPr>
        <w:t>批准建设</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val="en-US" w:eastAsia="zh-CN"/>
        </w:rPr>
        <w:t>项目业主</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揭阳广大化工储运有限公司</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建设</w:t>
      </w:r>
      <w:r>
        <w:rPr>
          <w:rFonts w:hint="eastAsia" w:ascii="宋体" w:hAnsi="宋体"/>
          <w:color w:val="auto"/>
          <w:sz w:val="24"/>
          <w:szCs w:val="24"/>
          <w:highlight w:val="none"/>
        </w:rPr>
        <w:t>资金来自</w:t>
      </w:r>
      <w:r>
        <w:rPr>
          <w:rFonts w:hint="eastAsia" w:ascii="宋体" w:hAnsi="宋体"/>
          <w:color w:val="auto"/>
          <w:sz w:val="24"/>
          <w:szCs w:val="24"/>
          <w:highlight w:val="none"/>
          <w:u w:val="single"/>
          <w:lang w:val="en-US" w:eastAsia="zh-CN"/>
        </w:rPr>
        <w:t>企业自有资金和银行贷款</w:t>
      </w:r>
      <w:r>
        <w:rPr>
          <w:rFonts w:hint="eastAsia" w:ascii="宋体" w:hAnsi="宋体"/>
          <w:color w:val="auto"/>
          <w:sz w:val="24"/>
          <w:szCs w:val="24"/>
          <w:highlight w:val="none"/>
        </w:rPr>
        <w:t>，出资比例为</w:t>
      </w:r>
      <w:r>
        <w:rPr>
          <w:rFonts w:hint="eastAsia" w:ascii="宋体" w:hAnsi="宋体"/>
          <w:color w:val="auto"/>
          <w:sz w:val="24"/>
          <w:szCs w:val="24"/>
          <w:highlight w:val="none"/>
          <w:u w:val="single"/>
          <w:lang w:val="en-US" w:eastAsia="zh-CN"/>
        </w:rPr>
        <w:t>30%企业自有资金和70%银行贷款</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招标人为</w:t>
      </w:r>
      <w:r>
        <w:rPr>
          <w:rFonts w:hint="eastAsia" w:ascii="宋体" w:hAnsi="宋体"/>
          <w:color w:val="auto"/>
          <w:sz w:val="24"/>
          <w:szCs w:val="24"/>
          <w:highlight w:val="none"/>
          <w:u w:val="single"/>
          <w:lang w:eastAsia="zh-CN"/>
        </w:rPr>
        <w:t>揭阳广大化工储运有限公司</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项目已具备招标条件，现对该项目的</w:t>
      </w:r>
      <w:r>
        <w:rPr>
          <w:rFonts w:hint="eastAsia" w:ascii="宋体" w:hAnsi="宋体"/>
          <w:color w:val="auto"/>
          <w:sz w:val="24"/>
          <w:szCs w:val="24"/>
          <w:highlight w:val="none"/>
          <w:u w:val="single"/>
          <w:lang w:val="en-US" w:eastAsia="zh-CN"/>
        </w:rPr>
        <w:t>勘察设计</w:t>
      </w:r>
      <w:r>
        <w:rPr>
          <w:rFonts w:hint="eastAsia" w:ascii="宋体" w:hAnsi="宋体"/>
          <w:color w:val="auto"/>
          <w:sz w:val="24"/>
          <w:szCs w:val="24"/>
          <w:highlight w:val="none"/>
          <w:lang w:val="en-US" w:eastAsia="zh-CN"/>
        </w:rPr>
        <w:t>进行公开招标</w:t>
      </w:r>
      <w:r>
        <w:rPr>
          <w:rFonts w:hint="eastAsia" w:ascii="宋体" w:hAnsi="宋体"/>
          <w:color w:val="auto"/>
          <w:sz w:val="24"/>
          <w:szCs w:val="24"/>
          <w:highlight w:val="none"/>
        </w:rPr>
        <w:t>。</w:t>
      </w:r>
    </w:p>
    <w:p>
      <w:pPr>
        <w:keepNext/>
        <w:keepLines/>
        <w:widowControl w:val="0"/>
        <w:spacing w:after="0" w:line="360" w:lineRule="auto"/>
        <w:jc w:val="both"/>
        <w:outlineLvl w:val="1"/>
        <w:rPr>
          <w:rFonts w:hint="eastAsia" w:ascii="宋体" w:hAnsi="宋体" w:eastAsia="宋体" w:cs="Times New Roman"/>
          <w:b/>
          <w:bCs/>
          <w:color w:val="auto"/>
          <w:kern w:val="2"/>
          <w:sz w:val="24"/>
          <w:szCs w:val="24"/>
          <w:highlight w:val="none"/>
          <w:lang w:val="en-US" w:eastAsia="zh-CN" w:bidi="ar-SA"/>
        </w:rPr>
      </w:pPr>
      <w:bookmarkStart w:id="1" w:name="_Toc505720173"/>
      <w:r>
        <w:rPr>
          <w:rFonts w:hint="eastAsia" w:ascii="宋体" w:hAnsi="宋体" w:eastAsia="宋体" w:cs="Times New Roman"/>
          <w:b/>
          <w:bCs/>
          <w:color w:val="auto"/>
          <w:kern w:val="2"/>
          <w:sz w:val="24"/>
          <w:szCs w:val="24"/>
          <w:highlight w:val="none"/>
          <w:lang w:val="en-US" w:eastAsia="zh-CN" w:bidi="ar-SA"/>
        </w:rPr>
        <w:t>2. 项目概况与招标范围</w:t>
      </w:r>
      <w:bookmarkEnd w:id="1"/>
    </w:p>
    <w:p>
      <w:pPr>
        <w:spacing w:line="360" w:lineRule="auto"/>
        <w:ind w:firstLine="480" w:firstLineChars="200"/>
        <w:jc w:val="lef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val="en-US" w:eastAsia="zh-CN"/>
        </w:rPr>
        <w:t>2.1项目概况</w:t>
      </w:r>
    </w:p>
    <w:p>
      <w:pPr>
        <w:spacing w:line="360" w:lineRule="auto"/>
        <w:ind w:firstLine="480" w:firstLineChars="200"/>
        <w:jc w:val="lef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1</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招标项目名称</w:t>
      </w:r>
      <w:r>
        <w:rPr>
          <w:rFonts w:hint="default" w:ascii="宋体" w:hAnsi="宋体" w:eastAsia="宋体" w:cs="Times New Roman"/>
          <w:color w:val="auto"/>
          <w:sz w:val="24"/>
          <w:szCs w:val="22"/>
          <w:highlight w:val="none"/>
          <w:lang w:val="en-US" w:eastAsia="zh-CN"/>
        </w:rPr>
        <w:t>：</w:t>
      </w:r>
      <w:r>
        <w:rPr>
          <w:rFonts w:hint="eastAsia" w:ascii="宋体" w:hAnsi="宋体"/>
          <w:color w:val="auto"/>
          <w:sz w:val="24"/>
          <w:szCs w:val="24"/>
          <w:highlight w:val="none"/>
          <w:u w:val="single"/>
          <w:lang w:eastAsia="zh-CN"/>
        </w:rPr>
        <w:t>揭阳大南海石化工业区广大化工公共罐区工程</w:t>
      </w:r>
      <w:r>
        <w:rPr>
          <w:rFonts w:hint="eastAsia" w:ascii="宋体" w:hAnsi="宋体" w:eastAsia="宋体" w:cs="Times New Roman"/>
          <w:b w:val="0"/>
          <w:bCs w:val="0"/>
          <w:color w:val="auto"/>
          <w:sz w:val="24"/>
          <w:szCs w:val="22"/>
          <w:highlight w:val="none"/>
          <w:lang w:val="en-US" w:eastAsia="zh-CN"/>
        </w:rPr>
        <w:t>勘察设计（第二次）</w:t>
      </w:r>
    </w:p>
    <w:p>
      <w:pPr>
        <w:overflowPunct/>
        <w:autoSpaceDE/>
        <w:autoSpaceDN/>
        <w:adjustRightIn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ascii="宋体" w:hAnsi="宋体"/>
          <w:color w:val="auto"/>
          <w:sz w:val="24"/>
          <w:szCs w:val="22"/>
          <w:highlight w:val="none"/>
        </w:rPr>
        <w:t>（</w:t>
      </w:r>
      <w:r>
        <w:rPr>
          <w:rFonts w:hint="eastAsia" w:ascii="宋体" w:hAnsi="宋体"/>
          <w:color w:val="auto"/>
          <w:sz w:val="24"/>
          <w:szCs w:val="22"/>
          <w:highlight w:val="none"/>
          <w:lang w:val="en-US" w:eastAsia="zh-CN"/>
        </w:rPr>
        <w:t>2</w:t>
      </w:r>
      <w:r>
        <w:rPr>
          <w:rFonts w:ascii="宋体" w:hAnsi="宋体"/>
          <w:color w:val="auto"/>
          <w:sz w:val="24"/>
          <w:szCs w:val="22"/>
          <w:highlight w:val="none"/>
        </w:rPr>
        <w:t>）招标</w:t>
      </w:r>
      <w:r>
        <w:rPr>
          <w:rFonts w:ascii="宋体" w:hAnsi="宋体" w:eastAsia="宋体" w:cs="Times New Roman"/>
          <w:color w:val="auto"/>
          <w:sz w:val="24"/>
          <w:szCs w:val="22"/>
          <w:highlight w:val="none"/>
        </w:rPr>
        <w:t>项目规模：</w:t>
      </w:r>
      <w:bookmarkStart w:id="2" w:name="OLE_LINK1"/>
      <w:r>
        <w:rPr>
          <w:rFonts w:hint="eastAsia" w:ascii="宋体" w:hAnsi="宋体" w:eastAsia="宋体" w:cs="Times New Roman"/>
          <w:color w:val="auto"/>
          <w:sz w:val="24"/>
          <w:szCs w:val="22"/>
          <w:highlight w:val="none"/>
        </w:rPr>
        <w:t>揭阳大南海石化工业区广大化工公共罐区工程的</w:t>
      </w:r>
      <w:r>
        <w:rPr>
          <w:rFonts w:hint="eastAsia" w:ascii="Times New Roman" w:hAnsi="Times New Roman" w:cs="Times New Roman"/>
          <w:color w:val="auto"/>
          <w:sz w:val="24"/>
          <w:szCs w:val="24"/>
          <w:highlight w:val="none"/>
        </w:rPr>
        <w:t>建设规模为21.</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×10</w:t>
      </w:r>
      <w:r>
        <w:rPr>
          <w:rFonts w:hint="eastAsia" w:ascii="Times New Roman" w:hAnsi="Times New Roman" w:cs="Times New Roman"/>
          <w:color w:val="auto"/>
          <w:sz w:val="24"/>
          <w:szCs w:val="24"/>
          <w:highlight w:val="none"/>
          <w:vertAlign w:val="superscript"/>
        </w:rPr>
        <w:t>4</w:t>
      </w:r>
      <w:r>
        <w:rPr>
          <w:rFonts w:hint="eastAsia" w:ascii="Times New Roman" w:hAnsi="Times New Roman" w:cs="Times New Roman"/>
          <w:color w:val="auto"/>
          <w:sz w:val="24"/>
          <w:szCs w:val="24"/>
          <w:highlight w:val="none"/>
        </w:rPr>
        <w:t>m</w:t>
      </w:r>
      <w:r>
        <w:rPr>
          <w:rFonts w:hint="eastAsia" w:ascii="Times New Roman" w:hAnsi="Times New Roman" w:cs="Times New Roman"/>
          <w:color w:val="auto"/>
          <w:sz w:val="24"/>
          <w:szCs w:val="24"/>
          <w:highlight w:val="none"/>
          <w:vertAlign w:val="superscript"/>
        </w:rPr>
        <w:t>3</w:t>
      </w:r>
      <w:r>
        <w:rPr>
          <w:rFonts w:hint="eastAsia" w:ascii="Times New Roman" w:hAnsi="Times New Roman" w:cs="Times New Roman"/>
          <w:color w:val="auto"/>
          <w:sz w:val="24"/>
          <w:szCs w:val="24"/>
          <w:highlight w:val="none"/>
        </w:rPr>
        <w:t>，共56台储罐，为一级商业储库。库内工程主要为化工品罐区、液氮设施、污水收集设施、事故水池、雨水监控池、汽车装卸车设施、灌装站（预留）、变电所、值班</w:t>
      </w:r>
      <w:r>
        <w:rPr>
          <w:rFonts w:hint="eastAsia" w:ascii="Times New Roman" w:hAnsi="Times New Roman" w:cs="Times New Roman"/>
          <w:color w:val="auto"/>
          <w:sz w:val="24"/>
          <w:szCs w:val="24"/>
          <w:highlight w:val="none"/>
          <w:lang w:val="en-US" w:eastAsia="zh-CN"/>
        </w:rPr>
        <w:t>室</w:t>
      </w:r>
      <w:r>
        <w:rPr>
          <w:rFonts w:hint="eastAsia" w:ascii="Times New Roman" w:hAnsi="Times New Roman" w:cs="Times New Roman"/>
          <w:color w:val="auto"/>
          <w:sz w:val="24"/>
          <w:szCs w:val="24"/>
          <w:highlight w:val="none"/>
        </w:rPr>
        <w:t>、中心控制室等</w:t>
      </w:r>
      <w:r>
        <w:rPr>
          <w:rFonts w:hint="eastAsia" w:ascii="Times New Roman" w:hAnsi="Times New Roman" w:cs="Times New Roman"/>
          <w:color w:val="auto"/>
          <w:sz w:val="24"/>
          <w:szCs w:val="24"/>
          <w:highlight w:val="none"/>
          <w:lang w:eastAsia="zh-CN"/>
        </w:rPr>
        <w:t>，</w:t>
      </w:r>
      <w:r>
        <w:rPr>
          <w:rFonts w:hint="eastAsia"/>
          <w:color w:val="auto"/>
          <w:sz w:val="24"/>
          <w:szCs w:val="24"/>
          <w:highlight w:val="none"/>
        </w:rPr>
        <w:t>同时还包括库外管廊工程内容</w:t>
      </w:r>
      <w:r>
        <w:rPr>
          <w:rFonts w:hint="eastAsia" w:eastAsia="宋体"/>
          <w:color w:val="auto"/>
          <w:sz w:val="24"/>
          <w:szCs w:val="24"/>
          <w:highlight w:val="none"/>
          <w:lang w:eastAsia="zh-CN"/>
        </w:rPr>
        <w:t>。</w:t>
      </w:r>
    </w:p>
    <w:p>
      <w:pPr>
        <w:overflowPunct/>
        <w:autoSpaceDE/>
        <w:autoSpaceDN/>
        <w:adjustRightInd/>
        <w:spacing w:line="360" w:lineRule="auto"/>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项目统一规划，分两期实施。一期工程建设</w:t>
      </w:r>
      <w:r>
        <w:rPr>
          <w:rFonts w:hint="eastAsia" w:ascii="Times New Roman" w:hAnsi="Times New Roman" w:cs="Times New Roman"/>
          <w:color w:val="auto"/>
          <w:sz w:val="24"/>
          <w:szCs w:val="24"/>
          <w:highlight w:val="none"/>
          <w:lang w:val="en-US" w:eastAsia="zh-CN"/>
        </w:rPr>
        <w:t>2.0</w:t>
      </w:r>
      <w:r>
        <w:rPr>
          <w:rFonts w:hint="eastAsia" w:ascii="Times New Roman" w:hAnsi="Times New Roman" w:cs="Times New Roman"/>
          <w:color w:val="auto"/>
          <w:sz w:val="24"/>
          <w:szCs w:val="24"/>
          <w:highlight w:val="none"/>
        </w:rPr>
        <w:t>×10</w:t>
      </w:r>
      <w:r>
        <w:rPr>
          <w:rFonts w:hint="eastAsia" w:ascii="Times New Roman" w:hAnsi="Times New Roman" w:cs="Times New Roman"/>
          <w:color w:val="auto"/>
          <w:sz w:val="24"/>
          <w:szCs w:val="24"/>
          <w:highlight w:val="none"/>
          <w:vertAlign w:val="superscript"/>
        </w:rPr>
        <w:t>4</w:t>
      </w:r>
      <w:r>
        <w:rPr>
          <w:rFonts w:hint="eastAsia" w:ascii="Times New Roman" w:hAnsi="Times New Roman" w:cs="Times New Roman"/>
          <w:color w:val="auto"/>
          <w:sz w:val="24"/>
          <w:szCs w:val="24"/>
          <w:highlight w:val="none"/>
          <w:lang w:val="en-US" w:eastAsia="zh-CN"/>
        </w:rPr>
        <w:t>m³</w:t>
      </w:r>
      <w:r>
        <w:rPr>
          <w:rFonts w:hint="eastAsia" w:ascii="Times New Roman" w:hAnsi="Times New Roman" w:cs="Times New Roman"/>
          <w:color w:val="auto"/>
          <w:sz w:val="24"/>
          <w:szCs w:val="24"/>
          <w:highlight w:val="none"/>
        </w:rPr>
        <w:t>，共</w:t>
      </w:r>
      <w:r>
        <w:rPr>
          <w:rFonts w:hint="eastAsia" w:ascii="Times New Roman" w:hAnsi="Times New Roman" w:cs="Times New Roman"/>
          <w:color w:val="auto"/>
          <w:sz w:val="24"/>
          <w:szCs w:val="24"/>
          <w:highlight w:val="none"/>
          <w:lang w:val="en-US" w:eastAsia="zh-CN"/>
        </w:rPr>
        <w:t>8</w:t>
      </w:r>
      <w:r>
        <w:rPr>
          <w:rFonts w:hint="eastAsia" w:ascii="Times New Roman" w:hAnsi="Times New Roman" w:cs="Times New Roman"/>
          <w:color w:val="auto"/>
          <w:sz w:val="24"/>
          <w:szCs w:val="24"/>
          <w:highlight w:val="none"/>
        </w:rPr>
        <w:t>台储罐，单罐容积为包括</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台3000</w:t>
      </w:r>
      <w:r>
        <w:rPr>
          <w:rFonts w:hint="eastAsia" w:ascii="Times New Roman" w:hAnsi="Times New Roman" w:cs="Times New Roman"/>
          <w:color w:val="auto"/>
          <w:sz w:val="24"/>
          <w:szCs w:val="24"/>
          <w:highlight w:val="none"/>
          <w:lang w:val="en-US" w:eastAsia="zh-CN"/>
        </w:rPr>
        <w:t>m³和4台2000m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，并且建设</w:t>
      </w:r>
      <w:r>
        <w:rPr>
          <w:rFonts w:hint="eastAsia" w:ascii="Times New Roman" w:hAnsi="Times New Roman" w:cs="Times New Roman"/>
          <w:color w:val="auto"/>
          <w:sz w:val="24"/>
          <w:szCs w:val="24"/>
          <w:highlight w:val="none"/>
        </w:rPr>
        <w:t>与之相配套的土建、管道、电气电信、自控、给排水、消防、汽车装卸车设施、配套公用工程</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项目相关的服务设施</w:t>
      </w:r>
      <w:r>
        <w:rPr>
          <w:rFonts w:hint="eastAsia" w:ascii="Times New Roman" w:hAnsi="Times New Roman" w:cs="Times New Roman"/>
          <w:color w:val="auto"/>
          <w:sz w:val="24"/>
          <w:szCs w:val="24"/>
          <w:highlight w:val="none"/>
          <w:lang w:val="en-US" w:eastAsia="zh-CN"/>
        </w:rPr>
        <w:t>以及项目相衔接的管廊</w:t>
      </w:r>
      <w:r>
        <w:rPr>
          <w:rFonts w:hint="eastAsia" w:ascii="Times New Roman" w:hAnsi="Times New Roman" w:cs="Times New Roman"/>
          <w:color w:val="auto"/>
          <w:sz w:val="24"/>
          <w:szCs w:val="24"/>
          <w:highlight w:val="none"/>
        </w:rPr>
        <w:t>等设施</w:t>
      </w:r>
      <w:r>
        <w:rPr>
          <w:rFonts w:ascii="宋体" w:hAnsi="宋体" w:eastAsia="宋体" w:cs="宋体"/>
          <w:color w:val="auto"/>
          <w:sz w:val="24"/>
          <w:szCs w:val="24"/>
          <w:highlight w:val="none"/>
        </w:rPr>
        <w:t>（最终以详细设计文件为准）</w:t>
      </w:r>
      <w:bookmarkEnd w:id="2"/>
      <w:r>
        <w:rPr>
          <w:rFonts w:hint="eastAsia" w:ascii="宋体" w:hAnsi="宋体" w:eastAsia="宋体" w:cs="Times New Roman"/>
          <w:color w:val="auto"/>
          <w:kern w:val="2"/>
          <w:sz w:val="24"/>
          <w:szCs w:val="22"/>
          <w:highlight w:val="none"/>
          <w:lang w:val="en-US" w:eastAsia="zh-CN"/>
        </w:rPr>
        <w:t>。</w:t>
      </w:r>
    </w:p>
    <w:p>
      <w:pPr>
        <w:spacing w:line="360" w:lineRule="auto"/>
        <w:ind w:firstLine="480" w:firstLineChars="200"/>
        <w:jc w:val="left"/>
        <w:rPr>
          <w:rFonts w:hint="eastAsia" w:ascii="宋体" w:hAnsi="宋体" w:eastAsia="宋体"/>
          <w:color w:val="auto"/>
          <w:sz w:val="24"/>
          <w:szCs w:val="22"/>
          <w:highlight w:val="none"/>
          <w:lang w:eastAsia="zh-CN"/>
        </w:rPr>
      </w:pPr>
      <w:r>
        <w:rPr>
          <w:rFonts w:hint="eastAsia" w:ascii="宋体" w:hAnsi="宋体"/>
          <w:color w:val="auto"/>
          <w:sz w:val="24"/>
          <w:szCs w:val="22"/>
          <w:highlight w:val="none"/>
        </w:rPr>
        <w:t>（3）建设地点：</w:t>
      </w:r>
      <w:r>
        <w:rPr>
          <w:rFonts w:hint="eastAsia" w:ascii="宋体" w:hAnsi="宋体" w:eastAsia="宋体" w:cs="Times New Roman"/>
          <w:color w:val="auto"/>
          <w:sz w:val="24"/>
          <w:szCs w:val="22"/>
          <w:highlight w:val="none"/>
        </w:rPr>
        <w:t>揭阳大南海石化工业区</w:t>
      </w:r>
      <w:r>
        <w:rPr>
          <w:rFonts w:hint="eastAsia" w:ascii="宋体" w:hAnsi="宋体"/>
          <w:color w:val="auto"/>
          <w:sz w:val="24"/>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ascii="宋体" w:hAnsi="宋体"/>
          <w:color w:val="auto"/>
          <w:sz w:val="24"/>
          <w:szCs w:val="22"/>
          <w:highlight w:val="none"/>
        </w:rPr>
        <w:t>2.2</w:t>
      </w:r>
      <w:r>
        <w:rPr>
          <w:rFonts w:hint="eastAsia" w:ascii="宋体" w:hAnsi="宋体"/>
          <w:color w:val="auto"/>
          <w:sz w:val="24"/>
          <w:szCs w:val="22"/>
          <w:highlight w:val="none"/>
        </w:rPr>
        <w:t>招标范围：</w:t>
      </w:r>
      <w:r>
        <w:rPr>
          <w:rFonts w:hint="eastAsia" w:eastAsia="宋体" w:cs="Times New Roman"/>
          <w:color w:val="auto"/>
          <w:sz w:val="24"/>
          <w:szCs w:val="24"/>
          <w:highlight w:val="none"/>
          <w:lang w:val="en-US" w:eastAsia="zh-CN"/>
        </w:rPr>
        <w:t>库</w:t>
      </w:r>
      <w:r>
        <w:rPr>
          <w:rFonts w:hint="default" w:ascii="Times New Roman" w:hAnsi="Times New Roman" w:eastAsia="宋体" w:cs="Times New Roman"/>
          <w:color w:val="auto"/>
          <w:sz w:val="24"/>
          <w:szCs w:val="24"/>
          <w:highlight w:val="none"/>
          <w:lang w:val="en-US" w:eastAsia="zh-CN"/>
        </w:rPr>
        <w:t>区（一期）、</w:t>
      </w:r>
      <w:r>
        <w:rPr>
          <w:rFonts w:hint="eastAsia" w:eastAsia="宋体" w:cs="Times New Roman"/>
          <w:color w:val="auto"/>
          <w:sz w:val="24"/>
          <w:szCs w:val="24"/>
          <w:highlight w:val="none"/>
          <w:lang w:val="en-US" w:eastAsia="zh-CN"/>
        </w:rPr>
        <w:t>库区</w:t>
      </w:r>
      <w:r>
        <w:rPr>
          <w:rFonts w:hint="default" w:ascii="Times New Roman" w:hAnsi="Times New Roman" w:eastAsia="宋体" w:cs="Times New Roman"/>
          <w:color w:val="auto"/>
          <w:sz w:val="24"/>
          <w:szCs w:val="24"/>
          <w:highlight w:val="none"/>
          <w:lang w:val="en-US" w:eastAsia="zh-CN"/>
        </w:rPr>
        <w:t>（二期）的相关专业的总体规划设计</w:t>
      </w:r>
      <w:r>
        <w:rPr>
          <w:rFonts w:hint="eastAsia" w:ascii="Times New Roman" w:hAnsi="Times New Roman" w:eastAsia="宋体" w:cs="Times New Roman"/>
          <w:color w:val="auto"/>
          <w:sz w:val="24"/>
          <w:szCs w:val="24"/>
          <w:highlight w:val="none"/>
          <w:lang w:val="en-US" w:eastAsia="zh-CN"/>
        </w:rPr>
        <w:t>及总平面设计</w:t>
      </w:r>
      <w:r>
        <w:rPr>
          <w:rFonts w:hint="eastAsia" w:eastAsia="宋体" w:cs="Times New Roman"/>
          <w:color w:val="auto"/>
          <w:sz w:val="24"/>
          <w:szCs w:val="24"/>
          <w:highlight w:val="none"/>
          <w:lang w:val="en-US" w:eastAsia="zh-CN"/>
        </w:rPr>
        <w:t>；库</w:t>
      </w:r>
      <w:r>
        <w:rPr>
          <w:rFonts w:hint="default" w:ascii="Times New Roman" w:hAnsi="Times New Roman" w:eastAsia="宋体" w:cs="Times New Roman"/>
          <w:color w:val="auto"/>
          <w:sz w:val="24"/>
          <w:szCs w:val="24"/>
          <w:highlight w:val="none"/>
          <w:lang w:val="en-US" w:eastAsia="zh-CN"/>
        </w:rPr>
        <w:t>区（一期）</w:t>
      </w:r>
      <w:r>
        <w:rPr>
          <w:rFonts w:hint="eastAsia" w:ascii="宋体" w:hAnsi="宋体"/>
          <w:color w:val="auto"/>
          <w:sz w:val="24"/>
          <w:szCs w:val="22"/>
          <w:highlight w:val="none"/>
        </w:rPr>
        <w:t>初步设计阶段和施工图设计阶段</w:t>
      </w:r>
      <w:r>
        <w:rPr>
          <w:rFonts w:hint="eastAsia" w:ascii="宋体" w:hAnsi="宋体"/>
          <w:color w:val="auto"/>
          <w:sz w:val="24"/>
          <w:szCs w:val="22"/>
          <w:highlight w:val="none"/>
          <w:lang w:val="en-US" w:eastAsia="zh-CN"/>
        </w:rPr>
        <w:t>的勘察工作；</w:t>
      </w:r>
      <w:r>
        <w:rPr>
          <w:rFonts w:hint="eastAsia" w:eastAsia="宋体" w:cs="Times New Roman"/>
          <w:color w:val="auto"/>
          <w:sz w:val="24"/>
          <w:szCs w:val="24"/>
          <w:highlight w:val="none"/>
          <w:lang w:val="en-US" w:eastAsia="zh-CN"/>
        </w:rPr>
        <w:t>库</w:t>
      </w:r>
      <w:r>
        <w:rPr>
          <w:rFonts w:hint="default" w:ascii="Times New Roman" w:hAnsi="Times New Roman" w:eastAsia="宋体" w:cs="Times New Roman"/>
          <w:color w:val="auto"/>
          <w:sz w:val="24"/>
          <w:szCs w:val="24"/>
          <w:highlight w:val="none"/>
          <w:lang w:val="en-US" w:eastAsia="zh-CN"/>
        </w:rPr>
        <w:t>区（一期）相关专业的规划方案设计、初步</w:t>
      </w:r>
      <w:r>
        <w:rPr>
          <w:rFonts w:hint="default" w:ascii="Times New Roman" w:hAnsi="Times New Roman" w:eastAsia="宋体" w:cs="Times New Roman"/>
          <w:color w:val="auto"/>
          <w:sz w:val="24"/>
          <w:szCs w:val="24"/>
          <w:highlight w:val="none"/>
        </w:rPr>
        <w:t>设计和施工图设计</w:t>
      </w:r>
      <w:r>
        <w:rPr>
          <w:rFonts w:hint="eastAsia" w:eastAsia="宋体" w:cs="Times New Roman"/>
          <w:color w:val="auto"/>
          <w:sz w:val="24"/>
          <w:szCs w:val="24"/>
          <w:highlight w:val="none"/>
          <w:lang w:eastAsia="zh-CN"/>
        </w:rPr>
        <w:t>、</w:t>
      </w:r>
      <w:r>
        <w:rPr>
          <w:rFonts w:hint="eastAsia" w:ascii="宋体" w:hAnsi="宋体"/>
          <w:color w:val="auto"/>
          <w:sz w:val="24"/>
          <w:szCs w:val="22"/>
          <w:highlight w:val="none"/>
        </w:rPr>
        <w:t>专题研究及后续服务（包括配合项目前期报建工作、设计审查的报批并通过主管部门的审查、施工招标阶段配合服务、施工现场配合服务、施工建设期间的服务</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库</w:t>
      </w:r>
      <w:r>
        <w:rPr>
          <w:rFonts w:hint="default" w:ascii="Times New Roman" w:hAnsi="Times New Roman" w:eastAsia="宋体" w:cs="Times New Roman"/>
          <w:color w:val="auto"/>
          <w:sz w:val="24"/>
          <w:szCs w:val="24"/>
          <w:highlight w:val="none"/>
          <w:lang w:val="en-US" w:eastAsia="zh-CN"/>
        </w:rPr>
        <w:t>区（一期）的各专篇（消防设计专篇、安全设施设计专篇、职业病防护设施设计专篇）编制</w:t>
      </w:r>
      <w:r>
        <w:rPr>
          <w:rFonts w:hint="eastAsia" w:eastAsia="宋体" w:cs="Times New Roman"/>
          <w:color w:val="auto"/>
          <w:sz w:val="24"/>
          <w:szCs w:val="24"/>
          <w:highlight w:val="none"/>
          <w:lang w:val="en-US" w:eastAsia="zh-CN"/>
        </w:rPr>
        <w:t>；库</w:t>
      </w:r>
      <w:r>
        <w:rPr>
          <w:rFonts w:hint="default" w:ascii="Times New Roman" w:hAnsi="Times New Roman" w:eastAsia="宋体" w:cs="Times New Roman"/>
          <w:color w:val="auto"/>
          <w:sz w:val="24"/>
          <w:szCs w:val="24"/>
          <w:highlight w:val="none"/>
          <w:lang w:val="en-US" w:eastAsia="zh-CN"/>
        </w:rPr>
        <w:t>区（一期）的</w:t>
      </w:r>
      <w:r>
        <w:rPr>
          <w:rFonts w:hint="default" w:ascii="Times New Roman" w:hAnsi="Times New Roman" w:eastAsia="宋体" w:cs="Times New Roman"/>
          <w:color w:val="auto"/>
          <w:kern w:val="0"/>
          <w:sz w:val="24"/>
          <w:szCs w:val="24"/>
          <w:highlight w:val="none"/>
        </w:rPr>
        <w:t>HAZOP分析报告、Sil定级报告</w:t>
      </w:r>
      <w:r>
        <w:rPr>
          <w:rFonts w:hint="default" w:ascii="Times New Roman" w:hAnsi="Times New Roman" w:eastAsia="宋体" w:cs="Times New Roman"/>
          <w:color w:val="auto"/>
          <w:kern w:val="0"/>
          <w:sz w:val="24"/>
          <w:szCs w:val="24"/>
          <w:highlight w:val="none"/>
          <w:lang w:val="en-US" w:eastAsia="zh-CN"/>
        </w:rPr>
        <w:t>编制</w:t>
      </w:r>
      <w:r>
        <w:rPr>
          <w:rFonts w:hint="eastAsia" w:eastAsia="宋体" w:cs="Times New Roman"/>
          <w:color w:val="auto"/>
          <w:kern w:val="0"/>
          <w:sz w:val="24"/>
          <w:szCs w:val="24"/>
          <w:highlight w:val="none"/>
          <w:lang w:val="en-US" w:eastAsia="zh-CN"/>
        </w:rPr>
        <w:t>；工程</w:t>
      </w:r>
      <w:r>
        <w:rPr>
          <w:rFonts w:hint="eastAsia" w:ascii="宋体" w:hAnsi="宋体"/>
          <w:color w:val="auto"/>
          <w:sz w:val="24"/>
          <w:szCs w:val="22"/>
          <w:highlight w:val="none"/>
        </w:rPr>
        <w:t>施工图预算</w:t>
      </w:r>
      <w:r>
        <w:rPr>
          <w:rFonts w:hint="eastAsia" w:ascii="宋体" w:hAnsi="宋体"/>
          <w:color w:val="auto"/>
          <w:sz w:val="24"/>
          <w:szCs w:val="22"/>
          <w:highlight w:val="none"/>
          <w:lang w:eastAsia="zh-CN"/>
        </w:rPr>
        <w:t>、</w:t>
      </w:r>
      <w:r>
        <w:rPr>
          <w:rFonts w:hint="eastAsia" w:ascii="宋体" w:hAnsi="宋体"/>
          <w:color w:val="auto"/>
          <w:sz w:val="24"/>
          <w:szCs w:val="22"/>
          <w:highlight w:val="none"/>
        </w:rPr>
        <w:t>工程量清单编制</w:t>
      </w:r>
      <w:r>
        <w:rPr>
          <w:rFonts w:hint="eastAsia" w:ascii="宋体" w:hAnsi="宋体"/>
          <w:color w:val="auto"/>
          <w:sz w:val="24"/>
          <w:szCs w:val="22"/>
          <w:highlight w:val="none"/>
          <w:lang w:val="en-US" w:eastAsia="zh-CN"/>
        </w:rPr>
        <w:t>和项目</w:t>
      </w:r>
      <w:r>
        <w:rPr>
          <w:rFonts w:hint="default" w:ascii="Times New Roman" w:hAnsi="Times New Roman" w:eastAsia="宋体" w:cs="Times New Roman"/>
          <w:color w:val="auto"/>
          <w:kern w:val="0"/>
          <w:sz w:val="24"/>
          <w:szCs w:val="24"/>
          <w:highlight w:val="none"/>
          <w:lang w:val="en-US" w:eastAsia="zh-CN"/>
        </w:rPr>
        <w:t>投资概算编制。</w:t>
      </w:r>
      <w:r>
        <w:rPr>
          <w:rFonts w:hint="eastAsia" w:eastAsia="宋体" w:cs="Times New Roman"/>
          <w:color w:val="auto"/>
          <w:kern w:val="0"/>
          <w:sz w:val="24"/>
          <w:szCs w:val="24"/>
          <w:highlight w:val="none"/>
          <w:lang w:val="en-US" w:eastAsia="zh-CN"/>
        </w:rPr>
        <w:t>工程</w:t>
      </w:r>
      <w:r>
        <w:rPr>
          <w:rFonts w:hint="default" w:ascii="Times New Roman" w:hAnsi="Times New Roman" w:eastAsia="宋体" w:cs="Times New Roman"/>
          <w:color w:val="auto"/>
          <w:kern w:val="0"/>
          <w:sz w:val="24"/>
          <w:szCs w:val="24"/>
          <w:highlight w:val="none"/>
          <w:lang w:val="en-US" w:eastAsia="zh-CN"/>
        </w:rPr>
        <w:t>竣工图编制。</w:t>
      </w:r>
    </w:p>
    <w:p>
      <w:pPr>
        <w:spacing w:line="360" w:lineRule="auto"/>
        <w:ind w:firstLine="480" w:firstLineChars="200"/>
        <w:rPr>
          <w:rFonts w:hint="eastAsia" w:ascii="宋体" w:hAnsi="宋体"/>
          <w:color w:val="auto"/>
          <w:sz w:val="24"/>
          <w:szCs w:val="22"/>
          <w:highlight w:val="none"/>
        </w:rPr>
      </w:pPr>
      <w:r>
        <w:rPr>
          <w:rFonts w:ascii="宋体" w:hAnsi="宋体"/>
          <w:color w:val="auto"/>
          <w:sz w:val="24"/>
          <w:szCs w:val="22"/>
          <w:highlight w:val="none"/>
        </w:rPr>
        <w:t>2.3</w:t>
      </w:r>
      <w:r>
        <w:rPr>
          <w:rFonts w:hint="eastAsia" w:ascii="宋体" w:hAnsi="宋体"/>
          <w:color w:val="auto"/>
          <w:sz w:val="24"/>
          <w:szCs w:val="22"/>
          <w:highlight w:val="none"/>
        </w:rPr>
        <w:t>勘察设计</w:t>
      </w:r>
      <w:r>
        <w:rPr>
          <w:rFonts w:hint="eastAsia" w:ascii="宋体" w:hAnsi="宋体"/>
          <w:color w:val="auto"/>
          <w:sz w:val="24"/>
          <w:szCs w:val="22"/>
          <w:highlight w:val="none"/>
          <w:lang w:val="en-US" w:eastAsia="zh-CN"/>
        </w:rPr>
        <w:t>服务期限</w:t>
      </w:r>
      <w:r>
        <w:rPr>
          <w:rFonts w:hint="eastAsia" w:ascii="宋体" w:hAnsi="宋体"/>
          <w:color w:val="auto"/>
          <w:sz w:val="24"/>
          <w:szCs w:val="22"/>
          <w:highlight w:val="none"/>
        </w:rPr>
        <w:t>：</w:t>
      </w:r>
    </w:p>
    <w:p>
      <w:pPr>
        <w:spacing w:line="360" w:lineRule="auto"/>
        <w:ind w:firstLine="480" w:firstLineChars="200"/>
        <w:jc w:val="left"/>
        <w:rPr>
          <w:rFonts w:hint="eastAsia" w:ascii="宋体" w:hAnsi="宋体"/>
          <w:color w:val="auto"/>
          <w:sz w:val="24"/>
          <w:szCs w:val="22"/>
          <w:highlight w:val="none"/>
        </w:rPr>
      </w:pPr>
      <w:r>
        <w:rPr>
          <w:rFonts w:hint="eastAsia" w:ascii="宋体" w:hAnsi="宋体"/>
          <w:color w:val="auto"/>
          <w:sz w:val="24"/>
          <w:szCs w:val="22"/>
          <w:highlight w:val="none"/>
          <w:lang w:val="en-US" w:eastAsia="zh-CN"/>
        </w:rPr>
        <w:t>2.3.1</w:t>
      </w:r>
      <w:r>
        <w:rPr>
          <w:rFonts w:hint="eastAsia" w:ascii="宋体" w:hAnsi="宋体"/>
          <w:color w:val="auto"/>
          <w:sz w:val="24"/>
          <w:szCs w:val="22"/>
          <w:highlight w:val="none"/>
        </w:rPr>
        <w:t>勘察工期：</w:t>
      </w:r>
      <w:r>
        <w:rPr>
          <w:rFonts w:hint="eastAsia" w:ascii="宋体" w:hAnsi="宋体"/>
          <w:b w:val="0"/>
          <w:bCs w:val="0"/>
          <w:color w:val="auto"/>
          <w:sz w:val="24"/>
          <w:szCs w:val="22"/>
          <w:highlight w:val="none"/>
          <w:u w:val="none"/>
          <w:lang w:val="en-US" w:eastAsia="zh-CN"/>
        </w:rPr>
        <w:t>按发包人的进度要求</w:t>
      </w:r>
      <w:r>
        <w:rPr>
          <w:rFonts w:hint="eastAsia" w:ascii="宋体" w:hAnsi="宋体"/>
          <w:b w:val="0"/>
          <w:bCs w:val="0"/>
          <w:color w:val="auto"/>
          <w:sz w:val="24"/>
          <w:szCs w:val="24"/>
          <w:highlight w:val="none"/>
        </w:rPr>
        <w:t>。</w:t>
      </w:r>
    </w:p>
    <w:p>
      <w:pPr>
        <w:spacing w:line="360" w:lineRule="auto"/>
        <w:ind w:firstLine="480" w:firstLineChars="200"/>
        <w:jc w:val="left"/>
        <w:rPr>
          <w:rFonts w:hint="eastAsia" w:ascii="宋体" w:hAnsi="宋体"/>
          <w:color w:val="auto"/>
          <w:sz w:val="24"/>
          <w:szCs w:val="22"/>
          <w:highlight w:val="none"/>
        </w:rPr>
      </w:pPr>
      <w:r>
        <w:rPr>
          <w:rFonts w:hint="eastAsia" w:ascii="宋体" w:hAnsi="宋体"/>
          <w:color w:val="auto"/>
          <w:sz w:val="24"/>
          <w:szCs w:val="22"/>
          <w:highlight w:val="none"/>
        </w:rPr>
        <w:t>2.</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.2设计工期：（1）初步设计阶段设计：设计人于签订设计合同后，</w:t>
      </w:r>
      <w:r>
        <w:rPr>
          <w:rFonts w:hint="eastAsia" w:ascii="宋体" w:hAnsi="宋体"/>
          <w:color w:val="auto"/>
          <w:sz w:val="24"/>
          <w:szCs w:val="22"/>
          <w:highlight w:val="none"/>
          <w:lang w:val="en-US" w:eastAsia="zh-CN"/>
        </w:rPr>
        <w:t>40</w:t>
      </w:r>
      <w:r>
        <w:rPr>
          <w:rFonts w:hint="eastAsia" w:ascii="宋体" w:hAnsi="宋体"/>
          <w:color w:val="auto"/>
          <w:sz w:val="24"/>
          <w:szCs w:val="22"/>
          <w:highlight w:val="none"/>
        </w:rPr>
        <w:t>天内须向招标人提交初步设计文件初稿并交招标人组织审查，初步设计审查完毕后10天内按上级主管部门审查要求提交修改后的正式初步设计文件。</w:t>
      </w:r>
    </w:p>
    <w:p>
      <w:pPr>
        <w:spacing w:line="360" w:lineRule="auto"/>
        <w:ind w:firstLine="480" w:firstLineChars="200"/>
        <w:jc w:val="left"/>
        <w:rPr>
          <w:rFonts w:hint="eastAsia" w:ascii="宋体" w:hAnsi="宋体"/>
          <w:color w:val="auto"/>
          <w:sz w:val="24"/>
          <w:szCs w:val="22"/>
          <w:highlight w:val="none"/>
        </w:rPr>
      </w:pPr>
      <w:r>
        <w:rPr>
          <w:rFonts w:hint="eastAsia" w:ascii="宋体" w:hAnsi="宋体"/>
          <w:color w:val="auto"/>
          <w:sz w:val="24"/>
          <w:szCs w:val="22"/>
          <w:highlight w:val="none"/>
        </w:rPr>
        <w:t>（2）施工图设计阶段设计：</w:t>
      </w:r>
      <w:r>
        <w:rPr>
          <w:rFonts w:hint="eastAsia" w:ascii="宋体" w:hAnsi="宋体"/>
          <w:color w:val="auto"/>
          <w:sz w:val="24"/>
          <w:szCs w:val="22"/>
          <w:highlight w:val="none"/>
          <w:lang w:val="en-US" w:eastAsia="zh-CN"/>
        </w:rPr>
        <w:t>初步设计批复</w:t>
      </w:r>
      <w:r>
        <w:rPr>
          <w:rFonts w:hint="eastAsia" w:ascii="宋体" w:hAnsi="宋体"/>
          <w:color w:val="auto"/>
          <w:sz w:val="24"/>
          <w:szCs w:val="22"/>
          <w:highlight w:val="none"/>
        </w:rPr>
        <w:t>后，</w:t>
      </w:r>
      <w:r>
        <w:rPr>
          <w:rFonts w:hint="eastAsia" w:ascii="宋体" w:hAnsi="宋体"/>
          <w:color w:val="auto"/>
          <w:sz w:val="24"/>
          <w:szCs w:val="22"/>
          <w:highlight w:val="none"/>
          <w:lang w:val="en-US" w:eastAsia="zh-CN"/>
        </w:rPr>
        <w:t>30</w:t>
      </w:r>
      <w:r>
        <w:rPr>
          <w:rFonts w:hint="eastAsia" w:ascii="宋体" w:hAnsi="宋体"/>
          <w:color w:val="auto"/>
          <w:sz w:val="24"/>
          <w:szCs w:val="22"/>
          <w:highlight w:val="none"/>
        </w:rPr>
        <w:t>天内按业主进度要求向招标人提交施工图纸、工程量清单以及施工图预算。</w:t>
      </w:r>
    </w:p>
    <w:p>
      <w:pPr>
        <w:spacing w:line="360" w:lineRule="auto"/>
        <w:ind w:firstLine="480" w:firstLineChars="200"/>
        <w:jc w:val="left"/>
        <w:rPr>
          <w:rFonts w:hint="eastAsia" w:ascii="宋体" w:hAnsi="宋体"/>
          <w:color w:val="auto"/>
          <w:sz w:val="24"/>
          <w:szCs w:val="22"/>
          <w:highlight w:val="none"/>
          <w:u w:val="single"/>
        </w:rPr>
      </w:pPr>
      <w:r>
        <w:rPr>
          <w:rFonts w:hint="eastAsia" w:ascii="宋体" w:hAnsi="宋体"/>
          <w:color w:val="auto"/>
          <w:sz w:val="24"/>
          <w:szCs w:val="22"/>
          <w:highlight w:val="none"/>
        </w:rPr>
        <w:t>（3）施工现场技术服务：项目工程施工开始至竣工验收止</w:t>
      </w:r>
      <w:r>
        <w:rPr>
          <w:rFonts w:hint="eastAsia" w:ascii="宋体" w:hAnsi="宋体"/>
          <w:color w:val="auto"/>
          <w:sz w:val="24"/>
          <w:szCs w:val="22"/>
          <w:highlight w:val="none"/>
          <w:u w:val="none"/>
        </w:rPr>
        <w:t>。</w:t>
      </w:r>
    </w:p>
    <w:p>
      <w:pPr>
        <w:spacing w:line="360" w:lineRule="auto"/>
        <w:jc w:val="left"/>
        <w:rPr>
          <w:rFonts w:ascii="宋体" w:hAnsi="宋体"/>
          <w:color w:val="auto"/>
          <w:sz w:val="24"/>
          <w:szCs w:val="22"/>
          <w:highlight w:val="none"/>
        </w:rPr>
      </w:pPr>
      <w:r>
        <w:rPr>
          <w:rFonts w:hint="eastAsia" w:ascii="宋体" w:hAnsi="宋体"/>
          <w:color w:val="auto"/>
          <w:sz w:val="24"/>
          <w:szCs w:val="22"/>
          <w:highlight w:val="none"/>
        </w:rPr>
        <w:t>2.</w:t>
      </w:r>
      <w:r>
        <w:rPr>
          <w:rFonts w:hint="eastAsia" w:ascii="宋体" w:hAnsi="宋体"/>
          <w:color w:val="auto"/>
          <w:sz w:val="24"/>
          <w:szCs w:val="22"/>
          <w:highlight w:val="none"/>
          <w:lang w:val="en-US" w:eastAsia="zh-CN"/>
        </w:rPr>
        <w:t>4</w:t>
      </w:r>
      <w:r>
        <w:rPr>
          <w:rFonts w:hint="eastAsia" w:ascii="宋体" w:hAnsi="宋体"/>
          <w:color w:val="auto"/>
          <w:sz w:val="24"/>
          <w:szCs w:val="22"/>
          <w:highlight w:val="none"/>
        </w:rPr>
        <w:t xml:space="preserve"> 前期服务机构</w:t>
      </w:r>
    </w:p>
    <w:p>
      <w:pPr>
        <w:spacing w:line="360" w:lineRule="auto"/>
        <w:ind w:firstLine="480" w:firstLineChars="200"/>
        <w:rPr>
          <w:rFonts w:hint="eastAsia" w:ascii="宋体" w:hAnsi="宋体"/>
          <w:b w:val="0"/>
          <w:bCs w:val="0"/>
          <w:color w:val="auto"/>
          <w:sz w:val="24"/>
          <w:szCs w:val="24"/>
          <w:highlight w:val="none"/>
        </w:rPr>
      </w:pPr>
      <w:r>
        <w:rPr>
          <w:rFonts w:hint="eastAsia" w:ascii="宋体" w:hAnsi="宋体"/>
          <w:color w:val="auto"/>
          <w:sz w:val="24"/>
          <w:szCs w:val="22"/>
          <w:highlight w:val="none"/>
        </w:rPr>
        <w:t>2.10.1 机构名称：</w:t>
      </w:r>
      <w:r>
        <w:rPr>
          <w:rFonts w:hint="eastAsia" w:ascii="宋体" w:hAnsi="宋体"/>
          <w:color w:val="auto"/>
          <w:sz w:val="24"/>
          <w:szCs w:val="22"/>
          <w:highlight w:val="none"/>
          <w:u w:val="single"/>
          <w:lang w:val="en-US" w:eastAsia="zh-CN"/>
        </w:rPr>
        <w:t>中石化广州工程有限公司</w:t>
      </w:r>
      <w:r>
        <w:rPr>
          <w:rFonts w:hint="eastAsia" w:ascii="宋体" w:hAnsi="宋体"/>
          <w:color w:val="auto"/>
          <w:sz w:val="24"/>
          <w:szCs w:val="22"/>
          <w:highlight w:val="none"/>
          <w:u w:val="single"/>
        </w:rPr>
        <w:t>（编制可行性研究报告）。</w:t>
      </w:r>
    </w:p>
    <w:p>
      <w:pPr>
        <w:keepNext/>
        <w:keepLines/>
        <w:widowControl w:val="0"/>
        <w:spacing w:after="0" w:line="360" w:lineRule="auto"/>
        <w:jc w:val="both"/>
        <w:outlineLvl w:val="1"/>
        <w:rPr>
          <w:rFonts w:hint="eastAsia" w:ascii="宋体" w:hAnsi="宋体" w:eastAsia="宋体" w:cs="Times New Roman"/>
          <w:b/>
          <w:bCs/>
          <w:color w:val="auto"/>
          <w:kern w:val="2"/>
          <w:sz w:val="24"/>
          <w:szCs w:val="24"/>
          <w:highlight w:val="none"/>
          <w:lang w:val="en-US" w:eastAsia="zh-CN" w:bidi="ar-SA"/>
        </w:rPr>
      </w:pPr>
      <w:bookmarkStart w:id="3" w:name="_Toc505720174"/>
      <w:r>
        <w:rPr>
          <w:rFonts w:hint="eastAsia" w:ascii="宋体" w:hAnsi="宋体" w:eastAsia="宋体" w:cs="Times New Roman"/>
          <w:b/>
          <w:bCs/>
          <w:color w:val="auto"/>
          <w:kern w:val="2"/>
          <w:sz w:val="24"/>
          <w:szCs w:val="24"/>
          <w:highlight w:val="none"/>
          <w:lang w:val="en-US" w:eastAsia="zh-CN" w:bidi="ar-SA"/>
        </w:rPr>
        <w:t>3. 投标人资格要求</w:t>
      </w:r>
      <w:bookmarkEnd w:id="3"/>
    </w:p>
    <w:p>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3.1</w:t>
      </w:r>
      <w:r>
        <w:rPr>
          <w:rFonts w:hint="eastAsia" w:ascii="宋体" w:hAnsi="宋体"/>
          <w:color w:val="auto"/>
          <w:sz w:val="24"/>
          <w:szCs w:val="24"/>
          <w:highlight w:val="none"/>
          <w:lang w:val="en-US" w:eastAsia="zh-CN"/>
        </w:rPr>
        <w:t>投标人具有独立法人资格，持有工商行政管理部门核发的营业执照，按国家法律经营。</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3.2资质要求：</w:t>
      </w:r>
      <w:r>
        <w:rPr>
          <w:rFonts w:hint="eastAsia" w:ascii="宋体" w:hAnsi="宋体"/>
          <w:color w:val="auto"/>
          <w:sz w:val="24"/>
          <w:szCs w:val="24"/>
          <w:highlight w:val="none"/>
        </w:rPr>
        <w:t>本次招标要求投标人</w:t>
      </w:r>
      <w:r>
        <w:rPr>
          <w:rFonts w:hint="eastAsia" w:ascii="宋体" w:hAnsi="宋体"/>
          <w:color w:val="auto"/>
          <w:sz w:val="24"/>
          <w:szCs w:val="24"/>
          <w:highlight w:val="none"/>
          <w:lang w:val="en-US" w:eastAsia="zh-CN"/>
        </w:rPr>
        <w:t>同时具备以下资质：</w:t>
      </w:r>
    </w:p>
    <w:p>
      <w:pPr>
        <w:spacing w:line="360" w:lineRule="auto"/>
        <w:ind w:firstLine="480" w:firstLineChars="200"/>
        <w:rPr>
          <w:rFonts w:hint="eastAsia" w:ascii="宋体" w:hAnsi="宋体"/>
          <w:color w:val="auto"/>
          <w:sz w:val="24"/>
          <w:szCs w:val="24"/>
          <w:highlight w:val="none"/>
          <w:u w:val="none"/>
          <w:lang w:eastAsia="zh-CN"/>
        </w:rPr>
      </w:pPr>
      <w:r>
        <w:rPr>
          <w:rFonts w:hint="eastAsia" w:ascii="宋体" w:hAnsi="宋体"/>
          <w:color w:val="auto"/>
          <w:sz w:val="24"/>
          <w:szCs w:val="24"/>
          <w:highlight w:val="none"/>
          <w:lang w:val="en-US" w:eastAsia="zh-CN"/>
        </w:rPr>
        <w:t>勘察资质要求：</w:t>
      </w:r>
      <w:r>
        <w:rPr>
          <w:rFonts w:hint="eastAsia" w:ascii="宋体" w:hAnsi="宋体"/>
          <w:color w:val="auto"/>
          <w:sz w:val="24"/>
          <w:szCs w:val="24"/>
          <w:highlight w:val="none"/>
          <w:u w:val="none"/>
        </w:rPr>
        <w:t>工程勘察综合甲级资质或工程勘察专业类（岩土工程）甲级资质</w:t>
      </w:r>
      <w:r>
        <w:rPr>
          <w:rFonts w:hint="eastAsia" w:ascii="宋体" w:hAnsi="宋体"/>
          <w:color w:val="auto"/>
          <w:sz w:val="24"/>
          <w:szCs w:val="24"/>
          <w:highlight w:val="none"/>
          <w:u w:val="none"/>
          <w:lang w:eastAsia="zh-CN"/>
        </w:rPr>
        <w:t>；</w:t>
      </w:r>
    </w:p>
    <w:p>
      <w:pPr>
        <w:spacing w:line="360" w:lineRule="auto"/>
        <w:ind w:firstLine="480" w:firstLineChars="200"/>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lang w:val="en-US" w:eastAsia="zh-CN"/>
        </w:rPr>
        <w:t>设计资质要求：同时具备</w:t>
      </w:r>
      <w:r>
        <w:rPr>
          <w:rFonts w:hint="eastAsia" w:ascii="宋体" w:hAnsi="宋体"/>
          <w:color w:val="auto"/>
          <w:sz w:val="24"/>
          <w:szCs w:val="24"/>
          <w:highlight w:val="none"/>
          <w:u w:val="none"/>
        </w:rPr>
        <w:t>（1）工程设计综合甲级资质或化工石化医药行业甲级设计资质</w:t>
      </w:r>
      <w:r>
        <w:rPr>
          <w:rFonts w:hint="eastAsia" w:ascii="宋体" w:hAnsi="宋体"/>
          <w:color w:val="auto"/>
          <w:sz w:val="24"/>
          <w:szCs w:val="24"/>
          <w:highlight w:val="none"/>
          <w:u w:val="none"/>
          <w:lang w:val="en-US" w:eastAsia="zh-CN"/>
        </w:rPr>
        <w:t>或</w:t>
      </w:r>
      <w:r>
        <w:rPr>
          <w:rFonts w:hint="eastAsia" w:ascii="宋体" w:hAnsi="宋体"/>
          <w:color w:val="auto"/>
          <w:sz w:val="24"/>
          <w:szCs w:val="24"/>
          <w:highlight w:val="none"/>
          <w:u w:val="none"/>
        </w:rPr>
        <w:t>化工石化医药行业</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石油及化工产品储运专业</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rPr>
        <w:t>甲级设计资质</w:t>
      </w:r>
      <w:r>
        <w:rPr>
          <w:rFonts w:hint="default" w:ascii="宋体" w:hAnsi="宋体"/>
          <w:color w:val="auto"/>
          <w:sz w:val="24"/>
          <w:szCs w:val="24"/>
          <w:highlight w:val="none"/>
          <w:u w:val="none"/>
          <w:lang w:val="en-US"/>
        </w:rPr>
        <w:t>;</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2</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市场监督部门颁发的《中华人员共和国特种设备生产许可证》（压力管道设计（工业管道(GC1/GC2））。</w:t>
      </w:r>
    </w:p>
    <w:p>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3.3业绩要求：投标人2015年1月1日至今（以合同签订时间为准）承担过1项总储量超过20000m³或以上规模的石油化工仓储工程设计或勘察设计业绩。</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4拟</w:t>
      </w:r>
      <w:r>
        <w:rPr>
          <w:rFonts w:hint="eastAsia" w:ascii="宋体" w:hAnsi="宋体"/>
          <w:color w:val="auto"/>
          <w:sz w:val="24"/>
          <w:szCs w:val="24"/>
          <w:highlight w:val="none"/>
          <w:lang w:eastAsia="zh-CN"/>
        </w:rPr>
        <w:t>委派的项目负责</w:t>
      </w:r>
      <w:r>
        <w:rPr>
          <w:rFonts w:hint="eastAsia" w:ascii="宋体" w:hAnsi="宋体" w:eastAsia="宋体" w:cs="Times New Roman"/>
          <w:color w:val="auto"/>
          <w:sz w:val="24"/>
          <w:szCs w:val="24"/>
          <w:highlight w:val="none"/>
          <w:lang w:eastAsia="zh-CN"/>
        </w:rPr>
        <w:t>人</w:t>
      </w:r>
      <w:r>
        <w:rPr>
          <w:rFonts w:hint="eastAsia" w:ascii="宋体" w:hAnsi="宋体" w:eastAsia="宋体" w:cs="Times New Roman"/>
          <w:color w:val="auto"/>
          <w:sz w:val="24"/>
          <w:szCs w:val="24"/>
          <w:highlight w:val="none"/>
          <w:lang w:val="en-US" w:eastAsia="zh-CN"/>
        </w:rPr>
        <w:t>要求：同时具备注册化工工程师执业资格证书</w:t>
      </w:r>
      <w:r>
        <w:rPr>
          <w:rFonts w:hint="eastAsia" w:ascii="宋体" w:hAnsi="宋体" w:eastAsia="宋体" w:cs="Times New Roman"/>
          <w:strike w:val="0"/>
          <w:color w:val="auto"/>
          <w:sz w:val="24"/>
          <w:szCs w:val="24"/>
          <w:highlight w:val="none"/>
          <w:lang w:val="en-US" w:eastAsia="zh-CN"/>
        </w:rPr>
        <w:t>和石油化工类高级工程师（或以上）职称</w:t>
      </w:r>
      <w:r>
        <w:rPr>
          <w:rFonts w:hint="eastAsia" w:ascii="宋体" w:hAnsi="宋体" w:eastAsia="宋体" w:cs="Times New Roman"/>
          <w:color w:val="auto"/>
          <w:sz w:val="24"/>
          <w:szCs w:val="24"/>
          <w:highlight w:val="none"/>
          <w:lang w:val="en-US" w:eastAsia="zh-CN"/>
        </w:rPr>
        <w:t>。</w:t>
      </w:r>
    </w:p>
    <w:p>
      <w:pPr>
        <w:spacing w:line="360" w:lineRule="auto"/>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4"/>
          <w:highlight w:val="none"/>
          <w:lang w:val="en-US" w:eastAsia="zh-CN"/>
        </w:rPr>
        <w:t>3.5拟</w:t>
      </w:r>
      <w:r>
        <w:rPr>
          <w:rFonts w:hint="eastAsia" w:ascii="宋体" w:hAnsi="宋体"/>
          <w:color w:val="auto"/>
          <w:sz w:val="24"/>
          <w:szCs w:val="24"/>
          <w:highlight w:val="none"/>
          <w:lang w:eastAsia="zh-CN"/>
        </w:rPr>
        <w:t>委派的</w:t>
      </w:r>
      <w:r>
        <w:rPr>
          <w:rFonts w:hint="eastAsia" w:ascii="宋体" w:hAnsi="宋体"/>
          <w:color w:val="auto"/>
          <w:sz w:val="24"/>
          <w:szCs w:val="24"/>
          <w:highlight w:val="none"/>
          <w:lang w:val="en-US" w:eastAsia="zh-CN"/>
        </w:rPr>
        <w:t>其他主要人员要求：拟委派的工程设计负责人</w:t>
      </w:r>
      <w:r>
        <w:rPr>
          <w:rFonts w:hint="eastAsia" w:ascii="宋体" w:hAnsi="宋体" w:eastAsia="宋体" w:cs="Times New Roman"/>
          <w:color w:val="auto"/>
          <w:sz w:val="24"/>
          <w:szCs w:val="24"/>
          <w:highlight w:val="none"/>
          <w:lang w:val="en-US" w:eastAsia="zh-CN"/>
        </w:rPr>
        <w:t>具备注册化工工程师执业资格证书</w:t>
      </w:r>
      <w:r>
        <w:rPr>
          <w:rFonts w:hint="eastAsia" w:ascii="宋体" w:hAnsi="宋体" w:eastAsia="宋体" w:cs="Times New Roman"/>
          <w:strike w:val="0"/>
          <w:color w:val="auto"/>
          <w:sz w:val="24"/>
          <w:szCs w:val="24"/>
          <w:highlight w:val="none"/>
          <w:lang w:val="en-US" w:eastAsia="zh-CN"/>
        </w:rPr>
        <w:t>和高级工程师（或以上）职称</w:t>
      </w:r>
      <w:r>
        <w:rPr>
          <w:rFonts w:hint="eastAsia" w:ascii="宋体" w:hAnsi="宋体" w:eastAsia="宋体" w:cs="Times New Roman"/>
          <w:color w:val="auto"/>
          <w:sz w:val="24"/>
          <w:szCs w:val="24"/>
          <w:highlight w:val="none"/>
          <w:lang w:val="en-US" w:eastAsia="zh-CN"/>
        </w:rPr>
        <w:t>、</w:t>
      </w:r>
      <w:r>
        <w:rPr>
          <w:rFonts w:hint="eastAsia" w:ascii="宋体" w:hAnsi="宋体"/>
          <w:color w:val="auto"/>
          <w:sz w:val="24"/>
          <w:szCs w:val="24"/>
          <w:highlight w:val="none"/>
          <w:lang w:val="en-US" w:eastAsia="zh-CN"/>
        </w:rPr>
        <w:t>拟委派的工程勘察负责人</w:t>
      </w:r>
      <w:r>
        <w:rPr>
          <w:rFonts w:hint="eastAsia" w:ascii="宋体" w:hAnsi="宋体" w:eastAsia="宋体" w:cs="Times New Roman"/>
          <w:color w:val="auto"/>
          <w:sz w:val="24"/>
          <w:szCs w:val="24"/>
          <w:highlight w:val="none"/>
          <w:lang w:val="en-US" w:eastAsia="zh-CN"/>
        </w:rPr>
        <w:t>具备注册土木工程师（岩土）执业资格证书和</w:t>
      </w:r>
      <w:r>
        <w:rPr>
          <w:rFonts w:hint="eastAsia" w:ascii="宋体" w:hAnsi="宋体" w:eastAsia="宋体" w:cs="Times New Roman"/>
          <w:strike w:val="0"/>
          <w:color w:val="auto"/>
          <w:sz w:val="24"/>
          <w:szCs w:val="24"/>
          <w:highlight w:val="none"/>
          <w:lang w:val="en-US" w:eastAsia="zh-CN"/>
        </w:rPr>
        <w:t>高级工程师（或以上）职称</w:t>
      </w:r>
      <w:r>
        <w:rPr>
          <w:rFonts w:hint="eastAsia" w:ascii="宋体" w:hAnsi="宋体" w:eastAsia="宋体" w:cs="Times New Roman"/>
          <w:color w:val="auto"/>
          <w:sz w:val="24"/>
          <w:szCs w:val="24"/>
          <w:highlight w:val="none"/>
          <w:lang w:val="en-US" w:eastAsia="zh-CN"/>
        </w:rPr>
        <w:t>，拟委派的项目负责人、工程设计负责人和工程勘察负责人不能兼任</w:t>
      </w:r>
      <w:r>
        <w:rPr>
          <w:rFonts w:hint="eastAsia" w:ascii="宋体" w:hAnsi="宋体"/>
          <w:color w:val="auto"/>
          <w:sz w:val="24"/>
          <w:szCs w:val="24"/>
          <w:highlight w:val="none"/>
          <w:lang w:eastAsia="zh-CN"/>
        </w:rPr>
        <w:t>。</w:t>
      </w:r>
    </w:p>
    <w:p>
      <w:pPr>
        <w:widowControl w:val="0"/>
        <w:shd w:val="clear" w:color="auto" w:fill="auto"/>
        <w:tabs>
          <w:tab w:val="left" w:leader="underscore" w:pos="2781"/>
        </w:tabs>
        <w:spacing w:before="0" w:line="360" w:lineRule="auto"/>
        <w:ind w:firstLine="480" w:firstLineChars="200"/>
        <w:jc w:val="left"/>
        <w:rPr>
          <w:rFonts w:hint="eastAsia" w:ascii="宋体" w:hAnsi="宋体" w:eastAsia="宋体" w:cs="宋体"/>
          <w:color w:val="auto"/>
          <w:spacing w:val="0"/>
          <w:kern w:val="2"/>
          <w:sz w:val="24"/>
          <w:szCs w:val="22"/>
          <w:highlight w:val="none"/>
          <w:lang w:val="en-US" w:eastAsia="zh-CN" w:bidi="ar-SA"/>
        </w:rPr>
      </w:pPr>
      <w:r>
        <w:rPr>
          <w:rFonts w:hint="eastAsia" w:ascii="宋体" w:hAnsi="宋体" w:eastAsia="宋体" w:cs="宋体"/>
          <w:color w:val="auto"/>
          <w:spacing w:val="0"/>
          <w:kern w:val="2"/>
          <w:sz w:val="24"/>
          <w:szCs w:val="22"/>
          <w:highlight w:val="none"/>
          <w:lang w:val="en-US" w:eastAsia="zh-CN" w:bidi="ar-SA"/>
        </w:rPr>
        <w:t>3.6本次招标</w:t>
      </w:r>
      <w:r>
        <w:rPr>
          <w:rFonts w:hint="eastAsia" w:ascii="宋体" w:hAnsi="宋体" w:eastAsia="宋体" w:cs="宋体"/>
          <w:color w:val="auto"/>
          <w:spacing w:val="0"/>
          <w:kern w:val="2"/>
          <w:sz w:val="24"/>
          <w:szCs w:val="22"/>
          <w:highlight w:val="none"/>
          <w:u w:val="single"/>
          <w:lang w:val="en-US" w:eastAsia="zh-CN" w:bidi="ar-SA"/>
        </w:rPr>
        <w:t>接受</w:t>
      </w:r>
      <w:r>
        <w:rPr>
          <w:rFonts w:hint="eastAsia" w:ascii="宋体" w:hAnsi="宋体" w:eastAsia="宋体" w:cs="宋体"/>
          <w:color w:val="auto"/>
          <w:spacing w:val="0"/>
          <w:kern w:val="2"/>
          <w:sz w:val="24"/>
          <w:szCs w:val="22"/>
          <w:highlight w:val="none"/>
          <w:lang w:val="en-US" w:eastAsia="zh-CN" w:bidi="ar-SA"/>
        </w:rPr>
        <w:t>联合体投标。</w:t>
      </w:r>
      <w:bookmarkStart w:id="4" w:name="_Toc505720175"/>
      <w:r>
        <w:rPr>
          <w:rFonts w:hint="eastAsia" w:ascii="宋体" w:hAnsi="宋体" w:eastAsia="宋体" w:cs="宋体"/>
          <w:color w:val="auto"/>
          <w:spacing w:val="0"/>
          <w:kern w:val="2"/>
          <w:sz w:val="24"/>
          <w:szCs w:val="22"/>
          <w:highlight w:val="none"/>
          <w:lang w:val="en-US" w:eastAsia="zh-CN" w:bidi="ar-SA"/>
        </w:rPr>
        <w:t>联合体投标的，应满足下列要求:</w:t>
      </w:r>
    </w:p>
    <w:p>
      <w:pPr>
        <w:tabs>
          <w:tab w:val="left" w:pos="1014"/>
        </w:tabs>
        <w:spacing w:line="360" w:lineRule="auto"/>
        <w:ind w:firstLine="480" w:firstLineChars="200"/>
        <w:jc w:val="both"/>
        <w:rPr>
          <w:rFonts w:hint="eastAsia" w:ascii="宋体" w:hAnsi="宋体" w:cs="宋体"/>
          <w:color w:val="auto"/>
          <w:spacing w:val="0"/>
          <w:kern w:val="2"/>
          <w:sz w:val="24"/>
          <w:szCs w:val="22"/>
          <w:highlight w:val="none"/>
        </w:rPr>
      </w:pPr>
      <w:r>
        <w:rPr>
          <w:rFonts w:hint="eastAsia" w:ascii="宋体" w:hAnsi="宋体" w:eastAsia="宋体" w:cs="宋体"/>
          <w:color w:val="auto"/>
          <w:spacing w:val="0"/>
          <w:kern w:val="2"/>
          <w:sz w:val="24"/>
          <w:szCs w:val="22"/>
          <w:highlight w:val="none"/>
          <w:lang w:val="en-US" w:eastAsia="zh-CN" w:bidi="ar-SA"/>
        </w:rPr>
        <w:t>（1）联合体各方应按招标文件提供的格式签订联合体协议书，明确联合体牵头人和各方权利义务，并承诺就中标项目向招标人</w:t>
      </w:r>
      <w:r>
        <w:rPr>
          <w:rFonts w:hint="eastAsia" w:ascii="宋体" w:hAnsi="宋体" w:cs="宋体"/>
          <w:color w:val="auto"/>
          <w:spacing w:val="0"/>
          <w:kern w:val="2"/>
          <w:sz w:val="24"/>
          <w:szCs w:val="22"/>
          <w:highlight w:val="none"/>
        </w:rPr>
        <w:t>承担连带责任；</w:t>
      </w:r>
    </w:p>
    <w:p>
      <w:pPr>
        <w:tabs>
          <w:tab w:val="left" w:pos="1014"/>
        </w:tabs>
        <w:spacing w:line="360" w:lineRule="auto"/>
        <w:ind w:firstLine="480" w:firstLineChars="200"/>
        <w:jc w:val="both"/>
        <w:rPr>
          <w:rFonts w:hint="eastAsia" w:ascii="宋体" w:hAnsi="宋体" w:cs="宋体"/>
          <w:color w:val="auto"/>
          <w:spacing w:val="0"/>
          <w:kern w:val="2"/>
          <w:sz w:val="24"/>
          <w:szCs w:val="22"/>
          <w:highlight w:val="none"/>
        </w:rPr>
      </w:pPr>
      <w:r>
        <w:rPr>
          <w:rFonts w:hint="eastAsia" w:ascii="宋体" w:hAnsi="宋体" w:cs="宋体"/>
          <w:color w:val="auto"/>
          <w:spacing w:val="0"/>
          <w:sz w:val="24"/>
          <w:szCs w:val="22"/>
          <w:highlight w:val="none"/>
        </w:rPr>
        <w:t>（</w:t>
      </w:r>
      <w:r>
        <w:rPr>
          <w:rFonts w:hint="eastAsia" w:ascii="宋体" w:hAnsi="宋体" w:cs="宋体"/>
          <w:color w:val="auto"/>
          <w:spacing w:val="0"/>
          <w:sz w:val="24"/>
          <w:szCs w:val="22"/>
          <w:highlight w:val="none"/>
          <w:lang w:val="en-US"/>
        </w:rPr>
        <w:t>2</w:t>
      </w:r>
      <w:r>
        <w:rPr>
          <w:rFonts w:hint="eastAsia" w:ascii="宋体" w:hAnsi="宋体" w:cs="宋体"/>
          <w:color w:val="auto"/>
          <w:spacing w:val="0"/>
          <w:sz w:val="24"/>
          <w:szCs w:val="22"/>
          <w:highlight w:val="none"/>
        </w:rPr>
        <w:t>）</w:t>
      </w:r>
      <w:r>
        <w:rPr>
          <w:rFonts w:ascii="宋体" w:hAnsi="宋体" w:cs="宋体"/>
          <w:color w:val="auto"/>
          <w:spacing w:val="0"/>
          <w:kern w:val="2"/>
          <w:sz w:val="24"/>
          <w:szCs w:val="22"/>
          <w:highlight w:val="none"/>
        </w:rPr>
        <w:t>由同一专业的单位组成的联合体</w:t>
      </w:r>
      <w:r>
        <w:rPr>
          <w:rFonts w:hint="eastAsia" w:ascii="宋体" w:hAnsi="宋体" w:cs="宋体"/>
          <w:color w:val="auto"/>
          <w:spacing w:val="0"/>
          <w:kern w:val="2"/>
          <w:sz w:val="24"/>
          <w:szCs w:val="22"/>
          <w:highlight w:val="none"/>
        </w:rPr>
        <w:t>，按照资质等级较低的单位确定资质等级</w:t>
      </w:r>
      <w:r>
        <w:rPr>
          <w:rFonts w:hint="eastAsia" w:ascii="宋体" w:hAnsi="宋体" w:cs="宋体"/>
          <w:color w:val="auto"/>
          <w:spacing w:val="0"/>
          <w:kern w:val="2"/>
          <w:sz w:val="24"/>
          <w:szCs w:val="22"/>
          <w:highlight w:val="none"/>
          <w:lang w:eastAsia="zh-CN"/>
        </w:rPr>
        <w:t>，</w:t>
      </w:r>
      <w:r>
        <w:rPr>
          <w:rFonts w:hint="eastAsia" w:ascii="宋体" w:hAnsi="宋体" w:cs="宋体"/>
          <w:color w:val="auto"/>
          <w:spacing w:val="0"/>
          <w:kern w:val="2"/>
          <w:sz w:val="24"/>
          <w:szCs w:val="22"/>
          <w:highlight w:val="none"/>
          <w:lang w:val="en-US" w:eastAsia="zh-CN"/>
        </w:rPr>
        <w:t>以设计单位作为牵头单位</w:t>
      </w:r>
      <w:r>
        <w:rPr>
          <w:rFonts w:hint="eastAsia" w:ascii="宋体" w:hAnsi="宋体" w:cs="宋体"/>
          <w:color w:val="auto"/>
          <w:spacing w:val="0"/>
          <w:kern w:val="2"/>
          <w:sz w:val="24"/>
          <w:szCs w:val="22"/>
          <w:highlight w:val="none"/>
        </w:rPr>
        <w:t>；</w:t>
      </w:r>
    </w:p>
    <w:p>
      <w:pPr>
        <w:tabs>
          <w:tab w:val="left" w:pos="1014"/>
        </w:tabs>
        <w:spacing w:line="360" w:lineRule="auto"/>
        <w:ind w:firstLine="480" w:firstLineChars="200"/>
        <w:jc w:val="both"/>
        <w:rPr>
          <w:rFonts w:hint="eastAsia" w:ascii="宋体" w:hAnsi="宋体" w:cs="宋体"/>
          <w:color w:val="auto"/>
          <w:spacing w:val="0"/>
          <w:kern w:val="2"/>
          <w:sz w:val="24"/>
          <w:szCs w:val="22"/>
          <w:highlight w:val="none"/>
        </w:rPr>
      </w:pPr>
      <w:r>
        <w:rPr>
          <w:rFonts w:hint="eastAsia" w:ascii="宋体" w:hAnsi="宋体" w:cs="宋体"/>
          <w:color w:val="auto"/>
          <w:spacing w:val="0"/>
          <w:sz w:val="24"/>
          <w:szCs w:val="22"/>
          <w:highlight w:val="none"/>
        </w:rPr>
        <w:t>（</w:t>
      </w:r>
      <w:r>
        <w:rPr>
          <w:rFonts w:hint="eastAsia" w:ascii="宋体" w:hAnsi="宋体" w:cs="宋体"/>
          <w:color w:val="auto"/>
          <w:spacing w:val="0"/>
          <w:sz w:val="24"/>
          <w:szCs w:val="22"/>
          <w:highlight w:val="none"/>
          <w:lang w:val="en-US"/>
        </w:rPr>
        <w:t>3</w:t>
      </w:r>
      <w:r>
        <w:rPr>
          <w:rFonts w:hint="eastAsia" w:ascii="宋体" w:hAnsi="宋体" w:cs="宋体"/>
          <w:color w:val="auto"/>
          <w:spacing w:val="0"/>
          <w:sz w:val="24"/>
          <w:szCs w:val="22"/>
          <w:highlight w:val="none"/>
        </w:rPr>
        <w:t>）</w:t>
      </w:r>
      <w:r>
        <w:rPr>
          <w:rFonts w:hint="eastAsia" w:ascii="宋体" w:hAnsi="宋体" w:cs="宋体"/>
          <w:color w:val="auto"/>
          <w:spacing w:val="0"/>
          <w:kern w:val="2"/>
          <w:sz w:val="24"/>
          <w:szCs w:val="22"/>
          <w:highlight w:val="none"/>
        </w:rPr>
        <w:t>联合体各方不得再以自己名义单独或参加其他联合体在同一标段中投标；</w:t>
      </w:r>
    </w:p>
    <w:p>
      <w:pPr>
        <w:tabs>
          <w:tab w:val="left" w:pos="1014"/>
        </w:tabs>
        <w:spacing w:line="360" w:lineRule="auto"/>
        <w:ind w:firstLine="480" w:firstLineChars="200"/>
        <w:jc w:val="both"/>
        <w:rPr>
          <w:rFonts w:hint="eastAsia" w:hAnsi="宋体" w:cs="宋体"/>
          <w:color w:val="auto"/>
          <w:spacing w:val="0"/>
          <w:sz w:val="24"/>
          <w:szCs w:val="24"/>
          <w:highlight w:val="none"/>
          <w:lang w:eastAsia="zh-CN"/>
        </w:rPr>
      </w:pPr>
      <w:r>
        <w:rPr>
          <w:rFonts w:hint="eastAsia" w:ascii="宋体" w:hAnsi="宋体" w:eastAsia="宋体" w:cs="宋体"/>
          <w:color w:val="auto"/>
          <w:spacing w:val="0"/>
          <w:sz w:val="24"/>
          <w:szCs w:val="22"/>
          <w:highlight w:val="none"/>
          <w:lang w:eastAsia="zh-CN"/>
        </w:rPr>
        <w:t>（</w:t>
      </w:r>
      <w:r>
        <w:rPr>
          <w:rFonts w:hint="eastAsia" w:ascii="宋体" w:hAnsi="宋体" w:eastAsia="宋体" w:cs="宋体"/>
          <w:color w:val="auto"/>
          <w:spacing w:val="0"/>
          <w:sz w:val="24"/>
          <w:szCs w:val="22"/>
          <w:highlight w:val="none"/>
          <w:lang w:val="en-US" w:eastAsia="zh-CN"/>
        </w:rPr>
        <w:t>4</w:t>
      </w:r>
      <w:r>
        <w:rPr>
          <w:rFonts w:hint="eastAsia" w:ascii="宋体" w:hAnsi="宋体" w:eastAsia="宋体" w:cs="宋体"/>
          <w:color w:val="auto"/>
          <w:spacing w:val="0"/>
          <w:sz w:val="24"/>
          <w:szCs w:val="22"/>
          <w:highlight w:val="none"/>
          <w:lang w:eastAsia="zh-CN"/>
        </w:rPr>
        <w:t>）</w:t>
      </w:r>
      <w:r>
        <w:rPr>
          <w:rFonts w:hint="eastAsia" w:ascii="宋体" w:hAnsi="宋体" w:eastAsia="宋体" w:cs="宋体"/>
          <w:color w:val="auto"/>
          <w:spacing w:val="0"/>
          <w:sz w:val="24"/>
          <w:szCs w:val="22"/>
          <w:highlight w:val="none"/>
        </w:rPr>
        <w:t>联</w:t>
      </w:r>
      <w:r>
        <w:rPr>
          <w:rFonts w:hint="eastAsia" w:hAnsi="宋体" w:cs="宋体"/>
          <w:color w:val="auto"/>
          <w:spacing w:val="0"/>
          <w:sz w:val="24"/>
          <w:szCs w:val="24"/>
          <w:highlight w:val="none"/>
        </w:rPr>
        <w:t>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除联合体协议书，可统一由联合体牵头人签字盖章</w:t>
      </w:r>
      <w:r>
        <w:rPr>
          <w:rFonts w:hint="eastAsia" w:hAnsi="宋体" w:cs="宋体"/>
          <w:color w:val="auto"/>
          <w:spacing w:val="0"/>
          <w:sz w:val="24"/>
          <w:szCs w:val="24"/>
          <w:highlight w:val="none"/>
          <w:lang w:eastAsia="zh-CN"/>
        </w:rPr>
        <w:t>；</w:t>
      </w:r>
    </w:p>
    <w:p>
      <w:pPr>
        <w:tabs>
          <w:tab w:val="left" w:pos="1014"/>
        </w:tabs>
        <w:spacing w:line="360" w:lineRule="auto"/>
        <w:ind w:firstLine="480" w:firstLineChars="200"/>
        <w:jc w:val="both"/>
        <w:rPr>
          <w:rFonts w:hint="eastAsia" w:ascii="Times New Roman" w:hAnsi="宋体" w:cs="宋体"/>
          <w:color w:val="auto"/>
          <w:spacing w:val="0"/>
          <w:kern w:val="0"/>
          <w:sz w:val="24"/>
          <w:szCs w:val="24"/>
          <w:highlight w:val="none"/>
          <w:lang w:eastAsia="zh-CN"/>
        </w:rPr>
      </w:pPr>
      <w:r>
        <w:rPr>
          <w:rFonts w:hint="eastAsia" w:hAnsi="宋体" w:cs="宋体"/>
          <w:color w:val="auto"/>
          <w:spacing w:val="0"/>
          <w:sz w:val="24"/>
          <w:szCs w:val="24"/>
          <w:highlight w:val="none"/>
          <w:lang w:eastAsia="zh-CN"/>
        </w:rPr>
        <w:t>（</w:t>
      </w:r>
      <w:r>
        <w:rPr>
          <w:rFonts w:hint="eastAsia" w:hAnsi="宋体" w:cs="宋体"/>
          <w:color w:val="auto"/>
          <w:spacing w:val="0"/>
          <w:sz w:val="24"/>
          <w:szCs w:val="24"/>
          <w:highlight w:val="none"/>
          <w:lang w:val="en-US" w:eastAsia="zh-CN"/>
        </w:rPr>
        <w:t>5</w:t>
      </w:r>
      <w:r>
        <w:rPr>
          <w:rFonts w:hint="eastAsia" w:hAnsi="宋体" w:cs="宋体"/>
          <w:color w:val="auto"/>
          <w:spacing w:val="0"/>
          <w:sz w:val="24"/>
          <w:szCs w:val="24"/>
          <w:highlight w:val="none"/>
          <w:lang w:eastAsia="zh-CN"/>
        </w:rPr>
        <w:t>）</w:t>
      </w:r>
      <w:r>
        <w:rPr>
          <w:rFonts w:hint="eastAsia" w:ascii="Times New Roman" w:hAnsi="宋体" w:cs="宋体"/>
          <w:color w:val="auto"/>
          <w:spacing w:val="0"/>
          <w:kern w:val="0"/>
          <w:sz w:val="24"/>
          <w:szCs w:val="24"/>
          <w:highlight w:val="none"/>
        </w:rPr>
        <w:t>尽管委任了联合体牵头人，但联合体各成员在投标、签订合同与履行合同过程中，仍负有连带的和各自的法律责任</w:t>
      </w:r>
      <w:r>
        <w:rPr>
          <w:rFonts w:hint="eastAsia" w:ascii="Times New Roman" w:hAnsi="宋体" w:cs="宋体"/>
          <w:color w:val="auto"/>
          <w:spacing w:val="0"/>
          <w:kern w:val="0"/>
          <w:sz w:val="24"/>
          <w:szCs w:val="24"/>
          <w:highlight w:val="none"/>
          <w:lang w:eastAsia="zh-CN"/>
        </w:rPr>
        <w:t>；</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spacing w:val="0"/>
          <w:kern w:val="2"/>
          <w:sz w:val="24"/>
          <w:szCs w:val="22"/>
          <w:highlight w:val="none"/>
        </w:rPr>
        <w:t>（</w:t>
      </w:r>
      <w:r>
        <w:rPr>
          <w:rFonts w:hint="eastAsia" w:ascii="宋体" w:hAnsi="宋体" w:cs="宋体"/>
          <w:color w:val="auto"/>
          <w:spacing w:val="0"/>
          <w:kern w:val="2"/>
          <w:sz w:val="24"/>
          <w:szCs w:val="22"/>
          <w:highlight w:val="none"/>
          <w:lang w:val="en-US"/>
        </w:rPr>
        <w:t>6</w:t>
      </w:r>
      <w:r>
        <w:rPr>
          <w:rFonts w:hint="eastAsia" w:ascii="宋体" w:hAnsi="宋体" w:cs="宋体"/>
          <w:color w:val="auto"/>
          <w:spacing w:val="0"/>
          <w:kern w:val="2"/>
          <w:sz w:val="24"/>
          <w:szCs w:val="22"/>
          <w:highlight w:val="none"/>
        </w:rPr>
        <w:t>）</w:t>
      </w:r>
      <w:r>
        <w:rPr>
          <w:rFonts w:hint="eastAsia" w:hAnsi="宋体" w:cs="宋体"/>
          <w:color w:val="auto"/>
          <w:spacing w:val="0"/>
          <w:sz w:val="24"/>
          <w:szCs w:val="22"/>
          <w:highlight w:val="none"/>
        </w:rPr>
        <w:t>联合体所有成员（含牵头人）数量不得超过</w:t>
      </w:r>
      <w:r>
        <w:rPr>
          <w:rFonts w:hint="eastAsia" w:hAnsi="宋体" w:cs="宋体"/>
          <w:color w:val="auto"/>
          <w:spacing w:val="0"/>
          <w:sz w:val="24"/>
          <w:szCs w:val="22"/>
          <w:highlight w:val="none"/>
          <w:u w:val="single"/>
          <w:lang w:val="en-US"/>
        </w:rPr>
        <w:t xml:space="preserve"> </w:t>
      </w:r>
      <w:r>
        <w:rPr>
          <w:rFonts w:hint="default" w:hAnsi="宋体" w:cs="宋体"/>
          <w:color w:val="auto"/>
          <w:spacing w:val="0"/>
          <w:sz w:val="24"/>
          <w:szCs w:val="22"/>
          <w:highlight w:val="none"/>
          <w:u w:val="single"/>
          <w:lang w:val="en-US" w:eastAsia="zh-CN"/>
        </w:rPr>
        <w:t>2</w:t>
      </w:r>
      <w:r>
        <w:rPr>
          <w:rFonts w:hint="eastAsia" w:hAnsi="宋体" w:cs="宋体"/>
          <w:color w:val="auto"/>
          <w:spacing w:val="0"/>
          <w:sz w:val="24"/>
          <w:szCs w:val="22"/>
          <w:highlight w:val="none"/>
          <w:u w:val="single"/>
          <w:lang w:val="en-US"/>
        </w:rPr>
        <w:t xml:space="preserve"> </w:t>
      </w:r>
      <w:r>
        <w:rPr>
          <w:rFonts w:hint="eastAsia" w:hAnsi="宋体" w:cs="宋体"/>
          <w:color w:val="auto"/>
          <w:spacing w:val="0"/>
          <w:sz w:val="24"/>
          <w:szCs w:val="22"/>
          <w:highlight w:val="none"/>
        </w:rPr>
        <w:t>个；</w:t>
      </w:r>
    </w:p>
    <w:p>
      <w:pPr>
        <w:keepNext/>
        <w:keepLines/>
        <w:widowControl w:val="0"/>
        <w:spacing w:after="0" w:line="360" w:lineRule="auto"/>
        <w:jc w:val="both"/>
        <w:outlineLvl w:val="1"/>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4. 技术成果经济补偿</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b w:val="0"/>
          <w:bCs w:val="0"/>
          <w:color w:val="auto"/>
          <w:sz w:val="24"/>
          <w:szCs w:val="24"/>
          <w:highlight w:val="none"/>
        </w:rPr>
        <w:t>本次招标对未中标人投标文件中的技术成果</w:t>
      </w:r>
      <w:r>
        <w:rPr>
          <w:rFonts w:hint="eastAsia" w:ascii="宋体" w:hAnsi="宋体"/>
          <w:b w:val="0"/>
          <w:bCs w:val="0"/>
          <w:color w:val="auto"/>
          <w:sz w:val="24"/>
          <w:szCs w:val="24"/>
          <w:highlight w:val="none"/>
          <w:u w:val="single"/>
        </w:rPr>
        <w:t>不给予</w:t>
      </w:r>
      <w:r>
        <w:rPr>
          <w:rFonts w:hint="eastAsia" w:ascii="宋体" w:hAnsi="宋体"/>
          <w:b w:val="0"/>
          <w:bCs w:val="0"/>
          <w:color w:val="auto"/>
          <w:sz w:val="24"/>
          <w:szCs w:val="24"/>
          <w:highlight w:val="none"/>
        </w:rPr>
        <w:t>经济补偿</w:t>
      </w:r>
      <w:r>
        <w:rPr>
          <w:rFonts w:hint="eastAsia" w:ascii="宋体" w:hAnsi="宋体"/>
          <w:b w:val="0"/>
          <w:bCs w:val="0"/>
          <w:color w:val="auto"/>
          <w:sz w:val="24"/>
          <w:szCs w:val="24"/>
          <w:highlight w:val="none"/>
          <w:lang w:eastAsia="zh-CN"/>
        </w:rPr>
        <w:t>。</w:t>
      </w:r>
    </w:p>
    <w:p>
      <w:pPr>
        <w:keepNext/>
        <w:keepLines/>
        <w:widowControl w:val="0"/>
        <w:spacing w:after="0" w:line="360" w:lineRule="auto"/>
        <w:jc w:val="both"/>
        <w:outlineLvl w:val="1"/>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5. 招标文件的获取</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highlight w:val="none"/>
        </w:rPr>
      </w:pPr>
      <w:bookmarkStart w:id="5" w:name="_Toc505720176"/>
      <w:r>
        <w:rPr>
          <w:rFonts w:hint="eastAsia" w:ascii="宋体" w:hAnsi="宋体" w:eastAsia="宋体" w:cs="宋体"/>
          <w:color w:val="auto"/>
          <w:sz w:val="24"/>
          <w:szCs w:val="24"/>
          <w:highlight w:val="none"/>
        </w:rPr>
        <w:t>凡有意参加投标者，请于202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2"/>
          <w:highlight w:val="none"/>
          <w:u w:val="none"/>
          <w:lang w:val="en-US" w:eastAsia="zh-CN"/>
        </w:rPr>
        <w:t>5</w:t>
      </w:r>
      <w:r>
        <w:rPr>
          <w:rFonts w:hint="eastAsia" w:ascii="宋体" w:hAnsi="宋体" w:eastAsia="宋体" w:cs="宋体"/>
          <w:color w:val="auto"/>
          <w:sz w:val="24"/>
          <w:szCs w:val="22"/>
          <w:highlight w:val="none"/>
          <w:u w:val="none"/>
        </w:rPr>
        <w:t>月</w:t>
      </w:r>
      <w:r>
        <w:rPr>
          <w:rFonts w:hint="eastAsia" w:ascii="宋体" w:hAnsi="宋体" w:cs="宋体"/>
          <w:color w:val="auto"/>
          <w:sz w:val="24"/>
          <w:szCs w:val="22"/>
          <w:highlight w:val="none"/>
          <w:u w:val="none"/>
          <w:lang w:val="en-US" w:eastAsia="zh-CN"/>
        </w:rPr>
        <w:t>14</w:t>
      </w:r>
      <w:r>
        <w:rPr>
          <w:rFonts w:hint="eastAsia" w:ascii="宋体" w:hAnsi="宋体" w:eastAsia="宋体" w:cs="宋体"/>
          <w:color w:val="auto"/>
          <w:sz w:val="24"/>
          <w:szCs w:val="22"/>
          <w:highlight w:val="none"/>
          <w:u w:val="none"/>
        </w:rPr>
        <w:t>日</w:t>
      </w:r>
      <w:r>
        <w:rPr>
          <w:rFonts w:hint="eastAsia" w:ascii="宋体" w:hAnsi="宋体" w:cs="宋体"/>
          <w:color w:val="auto"/>
          <w:sz w:val="24"/>
          <w:szCs w:val="22"/>
          <w:highlight w:val="none"/>
          <w:u w:val="none"/>
          <w:lang w:val="en-US" w:eastAsia="zh-CN"/>
        </w:rPr>
        <w:t>00</w:t>
      </w:r>
      <w:r>
        <w:rPr>
          <w:rFonts w:hint="eastAsia" w:ascii="宋体" w:hAnsi="宋体" w:eastAsia="宋体" w:cs="宋体"/>
          <w:color w:val="auto"/>
          <w:sz w:val="24"/>
          <w:szCs w:val="22"/>
          <w:highlight w:val="none"/>
          <w:u w:val="none"/>
        </w:rPr>
        <w:t>时</w:t>
      </w:r>
      <w:r>
        <w:rPr>
          <w:rFonts w:hint="eastAsia" w:ascii="宋体" w:hAnsi="宋体" w:cs="宋体"/>
          <w:color w:val="auto"/>
          <w:sz w:val="24"/>
          <w:szCs w:val="22"/>
          <w:highlight w:val="none"/>
          <w:u w:val="none"/>
          <w:lang w:val="en-US" w:eastAsia="zh-CN"/>
        </w:rPr>
        <w:t>00</w:t>
      </w:r>
      <w:r>
        <w:rPr>
          <w:rFonts w:hint="eastAsia" w:ascii="宋体" w:hAnsi="宋体" w:eastAsia="宋体" w:cs="宋体"/>
          <w:color w:val="auto"/>
          <w:sz w:val="24"/>
          <w:szCs w:val="22"/>
          <w:highlight w:val="none"/>
          <w:u w:val="none"/>
        </w:rPr>
        <w:t>分</w:t>
      </w:r>
      <w:r>
        <w:rPr>
          <w:rFonts w:hint="eastAsia" w:ascii="宋体" w:hAnsi="宋体" w:eastAsia="宋体" w:cs="宋体"/>
          <w:color w:val="auto"/>
          <w:sz w:val="24"/>
          <w:szCs w:val="24"/>
          <w:highlight w:val="none"/>
        </w:rPr>
        <w:t>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2"/>
          <w:highlight w:val="none"/>
          <w:u w:val="none"/>
          <w:lang w:val="en-US" w:eastAsia="zh-CN"/>
        </w:rPr>
        <w:t>6</w:t>
      </w:r>
      <w:r>
        <w:rPr>
          <w:rFonts w:hint="eastAsia" w:ascii="宋体" w:hAnsi="宋体" w:eastAsia="宋体" w:cs="宋体"/>
          <w:color w:val="auto"/>
          <w:sz w:val="24"/>
          <w:szCs w:val="22"/>
          <w:highlight w:val="none"/>
          <w:u w:val="none"/>
        </w:rPr>
        <w:t>月</w:t>
      </w:r>
      <w:r>
        <w:rPr>
          <w:rFonts w:hint="eastAsia" w:ascii="宋体" w:hAnsi="宋体" w:eastAsia="宋体" w:cs="宋体"/>
          <w:color w:val="auto"/>
          <w:sz w:val="24"/>
          <w:szCs w:val="22"/>
          <w:highlight w:val="none"/>
          <w:u w:val="none"/>
          <w:lang w:val="en-US" w:eastAsia="zh-CN"/>
        </w:rPr>
        <w:t>3</w:t>
      </w:r>
      <w:r>
        <w:rPr>
          <w:rFonts w:hint="eastAsia" w:ascii="宋体" w:hAnsi="宋体" w:eastAsia="宋体" w:cs="宋体"/>
          <w:color w:val="auto"/>
          <w:sz w:val="24"/>
          <w:szCs w:val="22"/>
          <w:highlight w:val="none"/>
          <w:u w:val="none"/>
        </w:rPr>
        <w:t>日</w:t>
      </w:r>
      <w:r>
        <w:rPr>
          <w:rFonts w:hint="eastAsia" w:ascii="宋体" w:hAnsi="宋体" w:cs="宋体"/>
          <w:color w:val="auto"/>
          <w:sz w:val="24"/>
          <w:szCs w:val="22"/>
          <w:highlight w:val="none"/>
          <w:u w:val="none"/>
          <w:lang w:val="en-US" w:eastAsia="zh-CN"/>
        </w:rPr>
        <w:t>8</w:t>
      </w:r>
      <w:r>
        <w:rPr>
          <w:rFonts w:hint="eastAsia" w:ascii="宋体" w:hAnsi="宋体" w:eastAsia="宋体" w:cs="宋体"/>
          <w:color w:val="auto"/>
          <w:sz w:val="24"/>
          <w:szCs w:val="22"/>
          <w:highlight w:val="none"/>
          <w:u w:val="none"/>
        </w:rPr>
        <w:t>时</w:t>
      </w:r>
      <w:r>
        <w:rPr>
          <w:rFonts w:hint="eastAsia" w:ascii="宋体" w:hAnsi="宋体" w:cs="宋体"/>
          <w:color w:val="auto"/>
          <w:sz w:val="24"/>
          <w:szCs w:val="22"/>
          <w:highlight w:val="none"/>
          <w:u w:val="none"/>
          <w:lang w:val="en-US" w:eastAsia="zh-CN"/>
        </w:rPr>
        <w:t>30</w:t>
      </w:r>
      <w:r>
        <w:rPr>
          <w:rFonts w:hint="eastAsia" w:ascii="宋体" w:hAnsi="宋体" w:eastAsia="宋体" w:cs="宋体"/>
          <w:color w:val="auto"/>
          <w:sz w:val="24"/>
          <w:szCs w:val="22"/>
          <w:highlight w:val="none"/>
          <w:u w:val="none"/>
        </w:rPr>
        <w:t>分</w:t>
      </w:r>
      <w:r>
        <w:rPr>
          <w:rFonts w:hint="eastAsia" w:ascii="宋体" w:hAnsi="宋体" w:eastAsia="宋体" w:cs="宋体"/>
          <w:color w:val="auto"/>
          <w:sz w:val="24"/>
          <w:szCs w:val="24"/>
          <w:highlight w:val="none"/>
        </w:rPr>
        <w:t>（北京时间，下同），登</w:t>
      </w:r>
      <w:r>
        <w:rPr>
          <w:rFonts w:hint="eastAsia" w:ascii="宋体" w:hAnsi="宋体" w:eastAsia="宋体" w:cs="宋体"/>
          <w:color w:val="auto"/>
          <w:sz w:val="24"/>
          <w:szCs w:val="24"/>
          <w:highlight w:val="none"/>
          <w:lang w:val="en-US" w:eastAsia="zh-CN"/>
        </w:rPr>
        <w:t>录</w:t>
      </w:r>
      <w:r>
        <w:rPr>
          <w:rFonts w:hint="eastAsia" w:ascii="宋体" w:hAnsi="宋体" w:eastAsia="宋体" w:cs="宋体"/>
          <w:color w:val="auto"/>
          <w:sz w:val="24"/>
          <w:szCs w:val="24"/>
          <w:highlight w:val="none"/>
        </w:rPr>
        <w:t>广州公共资源交易中心网站（http://www.gzggzy.cn）交易平台（即建设工程新交易系统，下同）选择对应</w:t>
      </w:r>
      <w:r>
        <w:rPr>
          <w:rFonts w:hint="eastAsia" w:ascii="宋体" w:hAnsi="宋体" w:eastAsia="宋体" w:cs="宋体"/>
          <w:color w:val="auto"/>
          <w:sz w:val="24"/>
          <w:szCs w:val="24"/>
          <w:highlight w:val="none"/>
          <w:lang w:val="en-US" w:eastAsia="zh-CN"/>
        </w:rPr>
        <w:t>招标项目</w:t>
      </w:r>
      <w:r>
        <w:rPr>
          <w:rFonts w:hint="eastAsia" w:ascii="宋体" w:hAnsi="宋体" w:eastAsia="宋体" w:cs="宋体"/>
          <w:color w:val="auto"/>
          <w:sz w:val="24"/>
          <w:szCs w:val="24"/>
          <w:highlight w:val="none"/>
        </w:rPr>
        <w:t>进行投标登记，</w:t>
      </w:r>
      <w:r>
        <w:rPr>
          <w:rFonts w:hint="eastAsia" w:ascii="宋体" w:hAnsi="宋体" w:eastAsia="宋体" w:cs="宋体"/>
          <w:color w:val="auto"/>
          <w:sz w:val="24"/>
          <w:szCs w:val="24"/>
          <w:highlight w:val="none"/>
          <w:lang w:val="en-US" w:eastAsia="zh-CN"/>
        </w:rPr>
        <w:t>投标人提交</w:t>
      </w:r>
      <w:r>
        <w:rPr>
          <w:rFonts w:hint="eastAsia" w:ascii="宋体" w:hAnsi="宋体" w:eastAsia="宋体" w:cs="宋体"/>
          <w:color w:val="auto"/>
          <w:sz w:val="24"/>
          <w:szCs w:val="24"/>
          <w:highlight w:val="none"/>
        </w:rPr>
        <w:t>投标登记</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在广州公共</w:t>
      </w:r>
      <w:r>
        <w:rPr>
          <w:rFonts w:hint="eastAsia" w:ascii="宋体" w:hAnsi="宋体" w:eastAsia="宋体" w:cs="宋体"/>
          <w:color w:val="auto"/>
          <w:sz w:val="24"/>
          <w:szCs w:val="24"/>
          <w:highlight w:val="none"/>
          <w:lang w:val="en-US" w:eastAsia="zh-CN"/>
        </w:rPr>
        <w:t>资源</w:t>
      </w:r>
      <w:r>
        <w:rPr>
          <w:rFonts w:hint="eastAsia" w:ascii="宋体" w:hAnsi="宋体" w:eastAsia="宋体" w:cs="宋体"/>
          <w:color w:val="auto"/>
          <w:sz w:val="24"/>
          <w:szCs w:val="24"/>
          <w:highlight w:val="none"/>
        </w:rPr>
        <w:t>交易中心交易平台自行下载招标文件等相关资料。</w:t>
      </w:r>
    </w:p>
    <w:p>
      <w:pPr>
        <w:pStyle w:val="3"/>
        <w:spacing w:after="0"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投标文件的递交</w:t>
      </w:r>
      <w:bookmarkEnd w:id="5"/>
      <w:bookmarkStart w:id="8" w:name="_GoBack"/>
      <w:bookmarkEnd w:id="8"/>
    </w:p>
    <w:p>
      <w:pPr>
        <w:wordWrap w:val="0"/>
        <w:adjustRightInd w:val="0"/>
        <w:snapToGrid w:val="0"/>
        <w:spacing w:line="344" w:lineRule="auto"/>
        <w:ind w:firstLine="420" w:firstLineChars="200"/>
        <w:jc w:val="left"/>
        <w:rPr>
          <w:rFonts w:hint="eastAsia" w:ascii="宋体" w:hAnsi="宋体" w:eastAsia="宋体" w:cs="宋体"/>
          <w:color w:val="auto"/>
          <w:sz w:val="24"/>
          <w:highlight w:val="none"/>
        </w:rPr>
      </w:pPr>
      <w:r>
        <w:rPr>
          <w:rFonts w:hint="eastAsia" w:ascii="宋体" w:hAnsi="宋体"/>
          <w:color w:val="auto"/>
          <w:szCs w:val="24"/>
          <w:highlight w:val="none"/>
          <w:lang w:val="en-US" w:eastAsia="zh-CN"/>
        </w:rPr>
        <w:t>6</w:t>
      </w:r>
      <w:r>
        <w:rPr>
          <w:rFonts w:hint="eastAsia" w:ascii="宋体" w:hAnsi="宋体" w:eastAsia="宋体" w:cs="宋体"/>
          <w:color w:val="auto"/>
          <w:sz w:val="24"/>
          <w:highlight w:val="none"/>
        </w:rPr>
        <w:t>.1投标文件递交的截止时间（投标截止时间，下同）为</w:t>
      </w:r>
      <w:r>
        <w:rPr>
          <w:rFonts w:hint="eastAsia" w:ascii="宋体" w:hAnsi="宋体" w:eastAsia="宋体" w:cs="宋体"/>
          <w:color w:val="auto"/>
          <w:sz w:val="24"/>
          <w:highlight w:val="none"/>
          <w:u w:val="none"/>
        </w:rPr>
        <w:t>202</w:t>
      </w:r>
      <w:r>
        <w:rPr>
          <w:rFonts w:hint="eastAsia" w:ascii="宋体" w:hAnsi="宋体" w:eastAsia="宋体" w:cs="宋体"/>
          <w:color w:val="auto"/>
          <w:sz w:val="24"/>
          <w:highlight w:val="none"/>
          <w:u w:val="none"/>
          <w:lang w:val="en-US" w:eastAsia="zh-CN"/>
        </w:rPr>
        <w:t>5</w:t>
      </w:r>
      <w:r>
        <w:rPr>
          <w:rFonts w:hint="eastAsia" w:ascii="宋体" w:hAnsi="宋体" w:eastAsia="宋体" w:cs="宋体"/>
          <w:color w:val="auto"/>
          <w:sz w:val="24"/>
          <w:highlight w:val="none"/>
          <w:u w:val="none"/>
        </w:rPr>
        <w:t>年</w:t>
      </w:r>
      <w:r>
        <w:rPr>
          <w:rFonts w:hint="eastAsia" w:ascii="宋体" w:hAnsi="宋体" w:cs="宋体"/>
          <w:color w:val="auto"/>
          <w:sz w:val="24"/>
          <w:szCs w:val="22"/>
          <w:highlight w:val="none"/>
          <w:u w:val="none"/>
          <w:lang w:val="en-US" w:eastAsia="zh-CN"/>
        </w:rPr>
        <w:t>6</w:t>
      </w:r>
      <w:r>
        <w:rPr>
          <w:rFonts w:hint="eastAsia" w:ascii="宋体" w:hAnsi="宋体" w:eastAsia="宋体" w:cs="宋体"/>
          <w:color w:val="auto"/>
          <w:sz w:val="24"/>
          <w:szCs w:val="22"/>
          <w:highlight w:val="none"/>
          <w:u w:val="none"/>
        </w:rPr>
        <w:t>月</w:t>
      </w:r>
      <w:r>
        <w:rPr>
          <w:rFonts w:hint="eastAsia" w:ascii="宋体" w:hAnsi="宋体" w:cs="宋体"/>
          <w:color w:val="auto"/>
          <w:sz w:val="24"/>
          <w:szCs w:val="22"/>
          <w:highlight w:val="none"/>
          <w:u w:val="none"/>
          <w:lang w:val="en-US" w:eastAsia="zh-CN"/>
        </w:rPr>
        <w:t>3</w:t>
      </w:r>
      <w:r>
        <w:rPr>
          <w:rFonts w:hint="eastAsia" w:ascii="宋体" w:hAnsi="宋体" w:eastAsia="宋体" w:cs="宋体"/>
          <w:color w:val="auto"/>
          <w:sz w:val="24"/>
          <w:szCs w:val="22"/>
          <w:highlight w:val="none"/>
          <w:u w:val="none"/>
        </w:rPr>
        <w:t>日</w:t>
      </w:r>
      <w:r>
        <w:rPr>
          <w:rFonts w:hint="eastAsia" w:ascii="宋体" w:hAnsi="宋体" w:cs="宋体"/>
          <w:color w:val="auto"/>
          <w:sz w:val="24"/>
          <w:szCs w:val="22"/>
          <w:highlight w:val="none"/>
          <w:u w:val="none"/>
          <w:lang w:val="en-US" w:eastAsia="zh-CN"/>
        </w:rPr>
        <w:t>8</w:t>
      </w:r>
      <w:r>
        <w:rPr>
          <w:rFonts w:hint="eastAsia" w:ascii="宋体" w:hAnsi="宋体" w:eastAsia="宋体" w:cs="宋体"/>
          <w:color w:val="auto"/>
          <w:sz w:val="24"/>
          <w:szCs w:val="22"/>
          <w:highlight w:val="none"/>
          <w:u w:val="none"/>
        </w:rPr>
        <w:t>时</w:t>
      </w:r>
      <w:r>
        <w:rPr>
          <w:rFonts w:hint="eastAsia" w:ascii="宋体" w:hAnsi="宋体" w:cs="宋体"/>
          <w:color w:val="auto"/>
          <w:sz w:val="24"/>
          <w:szCs w:val="22"/>
          <w:highlight w:val="none"/>
          <w:u w:val="none"/>
          <w:lang w:val="en-US" w:eastAsia="zh-CN"/>
        </w:rPr>
        <w:t xml:space="preserve">30 </w:t>
      </w:r>
      <w:r>
        <w:rPr>
          <w:rFonts w:hint="eastAsia" w:ascii="宋体" w:hAnsi="宋体" w:eastAsia="宋体" w:cs="宋体"/>
          <w:color w:val="auto"/>
          <w:sz w:val="24"/>
          <w:szCs w:val="22"/>
          <w:highlight w:val="none"/>
          <w:u w:val="none"/>
        </w:rPr>
        <w:t>分</w:t>
      </w:r>
      <w:r>
        <w:rPr>
          <w:rFonts w:hint="eastAsia" w:ascii="宋体" w:hAnsi="宋体" w:eastAsia="宋体" w:cs="宋体"/>
          <w:color w:val="auto"/>
          <w:sz w:val="24"/>
          <w:highlight w:val="none"/>
          <w:u w:val="none"/>
        </w:rPr>
        <w:t>，投标人应在截止时间前通过广州公共资源交易中心数字交易平台（网址：http://www.gzggzy.cn/）递交电子投标文件。</w:t>
      </w:r>
    </w:p>
    <w:p>
      <w:pPr>
        <w:adjustRightInd w:val="0"/>
        <w:snapToGrid w:val="0"/>
        <w:spacing w:line="344"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投标人应按照</w:t>
      </w:r>
      <w:r>
        <w:rPr>
          <w:rFonts w:hint="eastAsia" w:ascii="宋体" w:hAnsi="宋体" w:eastAsia="宋体" w:cs="宋体"/>
          <w:b/>
          <w:bCs/>
          <w:color w:val="auto"/>
          <w:sz w:val="24"/>
          <w:highlight w:val="none"/>
          <w:u w:val="none"/>
        </w:rPr>
        <w:t>广州交易集团有限公司（广州公共资源交易中心）【建设工程】新数字交易平台操作指引进行操作</w:t>
      </w:r>
      <w:r>
        <w:rPr>
          <w:rFonts w:hint="eastAsia" w:ascii="宋体" w:hAnsi="宋体" w:eastAsia="宋体" w:cs="宋体"/>
          <w:b/>
          <w:bCs/>
          <w:color w:val="auto"/>
          <w:sz w:val="24"/>
          <w:highlight w:val="none"/>
        </w:rPr>
        <w:t>。投标人完成电子投标文件上传后，广州公共资源交易中心数字交易平台即时向投标人发出递交回执通知。递交时间以递交回执通知载明的传输时间为准。</w:t>
      </w:r>
    </w:p>
    <w:p>
      <w:pPr>
        <w:adjustRightInd w:val="0"/>
        <w:snapToGrid w:val="0"/>
        <w:spacing w:line="34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.2递交投标文件U盘（备用）的规定时间</w:t>
      </w:r>
      <w:r>
        <w:rPr>
          <w:rFonts w:hint="eastAsia" w:ascii="宋体" w:hAnsi="宋体" w:eastAsia="宋体" w:cs="宋体"/>
          <w:color w:val="auto"/>
          <w:sz w:val="24"/>
          <w:highlight w:val="none"/>
          <w:u w:val="none"/>
        </w:rPr>
        <w:t>为：202</w:t>
      </w:r>
      <w:r>
        <w:rPr>
          <w:rFonts w:hint="eastAsia" w:ascii="宋体" w:hAnsi="宋体" w:eastAsia="宋体" w:cs="宋体"/>
          <w:color w:val="auto"/>
          <w:sz w:val="24"/>
          <w:highlight w:val="none"/>
          <w:u w:val="none"/>
          <w:lang w:val="en-US" w:eastAsia="zh-CN"/>
        </w:rPr>
        <w:t>5</w:t>
      </w:r>
      <w:r>
        <w:rPr>
          <w:rFonts w:hint="eastAsia" w:ascii="宋体" w:hAnsi="宋体" w:eastAsia="宋体" w:cs="宋体"/>
          <w:color w:val="auto"/>
          <w:sz w:val="24"/>
          <w:highlight w:val="none"/>
          <w:u w:val="none"/>
        </w:rPr>
        <w:t>年</w:t>
      </w:r>
      <w:r>
        <w:rPr>
          <w:rFonts w:hint="eastAsia" w:ascii="宋体" w:hAnsi="宋体" w:cs="宋体"/>
          <w:color w:val="auto"/>
          <w:sz w:val="24"/>
          <w:szCs w:val="22"/>
          <w:highlight w:val="none"/>
          <w:u w:val="none"/>
          <w:lang w:val="en-US" w:eastAsia="zh-CN"/>
        </w:rPr>
        <w:t>6</w:t>
      </w:r>
      <w:r>
        <w:rPr>
          <w:rFonts w:hint="eastAsia" w:ascii="宋体" w:hAnsi="宋体" w:eastAsia="宋体" w:cs="宋体"/>
          <w:color w:val="auto"/>
          <w:sz w:val="24"/>
          <w:szCs w:val="22"/>
          <w:highlight w:val="none"/>
          <w:u w:val="none"/>
        </w:rPr>
        <w:t>月</w:t>
      </w:r>
      <w:r>
        <w:rPr>
          <w:rFonts w:hint="eastAsia" w:ascii="宋体" w:hAnsi="宋体" w:cs="宋体"/>
          <w:color w:val="auto"/>
          <w:sz w:val="24"/>
          <w:szCs w:val="22"/>
          <w:highlight w:val="none"/>
          <w:u w:val="none"/>
          <w:lang w:val="en-US" w:eastAsia="zh-CN"/>
        </w:rPr>
        <w:t>3</w:t>
      </w:r>
      <w:r>
        <w:rPr>
          <w:rFonts w:hint="eastAsia" w:ascii="宋体" w:hAnsi="宋体" w:eastAsia="宋体" w:cs="宋体"/>
          <w:color w:val="auto"/>
          <w:sz w:val="24"/>
          <w:szCs w:val="22"/>
          <w:highlight w:val="none"/>
          <w:u w:val="none"/>
        </w:rPr>
        <w:t>日</w:t>
      </w:r>
      <w:r>
        <w:rPr>
          <w:rFonts w:hint="eastAsia" w:ascii="宋体" w:hAnsi="宋体" w:cs="宋体"/>
          <w:color w:val="auto"/>
          <w:sz w:val="24"/>
          <w:szCs w:val="22"/>
          <w:highlight w:val="none"/>
          <w:u w:val="none"/>
          <w:lang w:val="en-US" w:eastAsia="zh-CN"/>
        </w:rPr>
        <w:t>8</w:t>
      </w:r>
      <w:r>
        <w:rPr>
          <w:rFonts w:hint="eastAsia" w:ascii="宋体" w:hAnsi="宋体" w:eastAsia="宋体" w:cs="宋体"/>
          <w:color w:val="auto"/>
          <w:sz w:val="24"/>
          <w:szCs w:val="22"/>
          <w:highlight w:val="none"/>
          <w:u w:val="none"/>
        </w:rPr>
        <w:t>时</w:t>
      </w:r>
      <w:r>
        <w:rPr>
          <w:rFonts w:hint="eastAsia" w:ascii="宋体" w:hAnsi="宋体" w:cs="宋体"/>
          <w:color w:val="auto"/>
          <w:sz w:val="24"/>
          <w:szCs w:val="22"/>
          <w:highlight w:val="none"/>
          <w:u w:val="none"/>
          <w:lang w:val="en-US" w:eastAsia="zh-CN"/>
        </w:rPr>
        <w:t>15</w:t>
      </w:r>
      <w:r>
        <w:rPr>
          <w:rFonts w:hint="eastAsia" w:ascii="宋体" w:hAnsi="宋体" w:eastAsia="宋体" w:cs="宋体"/>
          <w:color w:val="auto"/>
          <w:sz w:val="24"/>
          <w:szCs w:val="22"/>
          <w:highlight w:val="none"/>
          <w:u w:val="none"/>
        </w:rPr>
        <w:t>分</w:t>
      </w:r>
      <w:r>
        <w:rPr>
          <w:rFonts w:hint="eastAsia" w:ascii="宋体" w:hAnsi="宋体" w:eastAsia="宋体" w:cs="宋体"/>
          <w:color w:val="auto"/>
          <w:sz w:val="24"/>
          <w:highlight w:val="none"/>
          <w:u w:val="none"/>
        </w:rPr>
        <w:t>至202</w:t>
      </w:r>
      <w:r>
        <w:rPr>
          <w:rFonts w:hint="eastAsia" w:ascii="宋体" w:hAnsi="宋体" w:eastAsia="宋体" w:cs="宋体"/>
          <w:color w:val="auto"/>
          <w:sz w:val="24"/>
          <w:highlight w:val="none"/>
          <w:u w:val="none"/>
          <w:lang w:val="en-US" w:eastAsia="zh-CN"/>
        </w:rPr>
        <w:t>5</w:t>
      </w:r>
      <w:r>
        <w:rPr>
          <w:rFonts w:hint="eastAsia" w:ascii="宋体" w:hAnsi="宋体" w:eastAsia="宋体" w:cs="宋体"/>
          <w:color w:val="auto"/>
          <w:sz w:val="24"/>
          <w:highlight w:val="none"/>
          <w:u w:val="none"/>
        </w:rPr>
        <w:t>年</w:t>
      </w:r>
      <w:r>
        <w:rPr>
          <w:rFonts w:hint="eastAsia" w:ascii="宋体" w:hAnsi="宋体" w:cs="宋体"/>
          <w:color w:val="auto"/>
          <w:sz w:val="24"/>
          <w:szCs w:val="22"/>
          <w:highlight w:val="none"/>
          <w:u w:val="none"/>
          <w:lang w:val="en-US" w:eastAsia="zh-CN"/>
        </w:rPr>
        <w:t>6</w:t>
      </w:r>
      <w:r>
        <w:rPr>
          <w:rFonts w:hint="eastAsia" w:ascii="宋体" w:hAnsi="宋体" w:eastAsia="宋体" w:cs="宋体"/>
          <w:color w:val="auto"/>
          <w:sz w:val="24"/>
          <w:szCs w:val="22"/>
          <w:highlight w:val="none"/>
          <w:u w:val="none"/>
        </w:rPr>
        <w:t>月</w:t>
      </w:r>
      <w:r>
        <w:rPr>
          <w:rFonts w:hint="eastAsia" w:ascii="宋体" w:hAnsi="宋体" w:cs="宋体"/>
          <w:color w:val="auto"/>
          <w:sz w:val="24"/>
          <w:szCs w:val="22"/>
          <w:highlight w:val="none"/>
          <w:u w:val="none"/>
          <w:lang w:val="en-US" w:eastAsia="zh-CN"/>
        </w:rPr>
        <w:t>3</w:t>
      </w:r>
      <w:r>
        <w:rPr>
          <w:rFonts w:hint="eastAsia" w:ascii="宋体" w:hAnsi="宋体" w:eastAsia="宋体" w:cs="宋体"/>
          <w:color w:val="auto"/>
          <w:sz w:val="24"/>
          <w:szCs w:val="22"/>
          <w:highlight w:val="none"/>
          <w:u w:val="none"/>
        </w:rPr>
        <w:t>日</w:t>
      </w:r>
      <w:r>
        <w:rPr>
          <w:rFonts w:hint="eastAsia" w:ascii="宋体" w:hAnsi="宋体" w:cs="宋体"/>
          <w:color w:val="auto"/>
          <w:sz w:val="24"/>
          <w:szCs w:val="22"/>
          <w:highlight w:val="none"/>
          <w:u w:val="none"/>
          <w:lang w:val="en-US" w:eastAsia="zh-CN"/>
        </w:rPr>
        <w:t>8</w:t>
      </w:r>
      <w:r>
        <w:rPr>
          <w:rFonts w:hint="eastAsia" w:ascii="宋体" w:hAnsi="宋体" w:eastAsia="宋体" w:cs="宋体"/>
          <w:color w:val="auto"/>
          <w:sz w:val="24"/>
          <w:szCs w:val="22"/>
          <w:highlight w:val="none"/>
          <w:u w:val="none"/>
        </w:rPr>
        <w:t>时</w:t>
      </w:r>
      <w:r>
        <w:rPr>
          <w:rFonts w:hint="eastAsia" w:ascii="宋体" w:hAnsi="宋体" w:cs="宋体"/>
          <w:color w:val="auto"/>
          <w:sz w:val="24"/>
          <w:szCs w:val="22"/>
          <w:highlight w:val="none"/>
          <w:u w:val="none"/>
          <w:lang w:val="en-US" w:eastAsia="zh-CN"/>
        </w:rPr>
        <w:t>30</w:t>
      </w:r>
      <w:r>
        <w:rPr>
          <w:rFonts w:hint="eastAsia" w:ascii="宋体" w:hAnsi="宋体" w:eastAsia="宋体" w:cs="宋体"/>
          <w:color w:val="auto"/>
          <w:sz w:val="24"/>
          <w:szCs w:val="22"/>
          <w:highlight w:val="none"/>
          <w:u w:val="none"/>
        </w:rPr>
        <w:t>分</w:t>
      </w:r>
      <w:r>
        <w:rPr>
          <w:rFonts w:hint="eastAsia" w:ascii="宋体" w:hAnsi="宋体" w:eastAsia="宋体" w:cs="宋体"/>
          <w:color w:val="auto"/>
          <w:sz w:val="24"/>
          <w:highlight w:val="none"/>
          <w:u w:val="none"/>
        </w:rPr>
        <w:t>；地点：广州公共资源交易中心开标室（具体以交易中心公告的开标室为准）。（</w:t>
      </w:r>
      <w:r>
        <w:rPr>
          <w:rFonts w:hint="eastAsia" w:ascii="宋体" w:hAnsi="宋体"/>
          <w:color w:val="auto"/>
          <w:szCs w:val="24"/>
          <w:highlight w:val="none"/>
        </w:rPr>
        <w:t>如投标人选择递交投标文件备用U盘的，应在以上规定的时间和地点递交，也可选择不递交，不递交的风险提示详见投标人须知前附表“9 是否采用电子招标投标”。投标文件备用U盘需按规定封装，投标人将数据刻录到U盘之后，请于投标前自行检查文件是否可以读取</w:t>
      </w:r>
      <w:r>
        <w:rPr>
          <w:rFonts w:hint="eastAsia" w:ascii="宋体" w:hAnsi="宋体" w:eastAsia="宋体" w:cs="宋体"/>
          <w:color w:val="auto"/>
          <w:sz w:val="24"/>
          <w:highlight w:val="none"/>
          <w:u w:val="none"/>
        </w:rPr>
        <w:t>）。投标文件解密</w:t>
      </w:r>
      <w:r>
        <w:rPr>
          <w:rFonts w:hint="eastAsia" w:ascii="宋体" w:hAnsi="宋体" w:eastAsia="宋体" w:cs="宋体"/>
          <w:color w:val="auto"/>
          <w:sz w:val="24"/>
          <w:highlight w:val="none"/>
        </w:rPr>
        <w:t>时间为202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szCs w:val="22"/>
          <w:highlight w:val="none"/>
          <w:u w:val="none"/>
          <w:lang w:val="en-US" w:eastAsia="zh-CN"/>
        </w:rPr>
        <w:t>6</w:t>
      </w:r>
      <w:r>
        <w:rPr>
          <w:rFonts w:hint="eastAsia" w:ascii="宋体" w:hAnsi="宋体" w:eastAsia="宋体" w:cs="宋体"/>
          <w:color w:val="auto"/>
          <w:sz w:val="24"/>
          <w:szCs w:val="22"/>
          <w:highlight w:val="none"/>
          <w:u w:val="none"/>
        </w:rPr>
        <w:t>月</w:t>
      </w:r>
      <w:r>
        <w:rPr>
          <w:rFonts w:hint="eastAsia" w:ascii="宋体" w:hAnsi="宋体" w:cs="宋体"/>
          <w:color w:val="auto"/>
          <w:sz w:val="24"/>
          <w:szCs w:val="22"/>
          <w:highlight w:val="none"/>
          <w:u w:val="none"/>
          <w:lang w:val="en-US" w:eastAsia="zh-CN"/>
        </w:rPr>
        <w:t>3</w:t>
      </w:r>
      <w:r>
        <w:rPr>
          <w:rFonts w:hint="eastAsia" w:ascii="宋体" w:hAnsi="宋体" w:eastAsia="宋体" w:cs="宋体"/>
          <w:color w:val="auto"/>
          <w:sz w:val="24"/>
          <w:szCs w:val="22"/>
          <w:highlight w:val="none"/>
          <w:u w:val="none"/>
        </w:rPr>
        <w:t>日</w:t>
      </w:r>
      <w:r>
        <w:rPr>
          <w:rFonts w:hint="eastAsia" w:ascii="宋体" w:hAnsi="宋体" w:cs="宋体"/>
          <w:color w:val="auto"/>
          <w:sz w:val="24"/>
          <w:szCs w:val="22"/>
          <w:highlight w:val="none"/>
          <w:u w:val="none"/>
          <w:lang w:val="en-US" w:eastAsia="zh-CN"/>
        </w:rPr>
        <w:t>8</w:t>
      </w:r>
      <w:r>
        <w:rPr>
          <w:rFonts w:hint="eastAsia" w:ascii="宋体" w:hAnsi="宋体" w:eastAsia="宋体" w:cs="宋体"/>
          <w:color w:val="auto"/>
          <w:sz w:val="24"/>
          <w:szCs w:val="22"/>
          <w:highlight w:val="none"/>
          <w:u w:val="none"/>
        </w:rPr>
        <w:t>时</w:t>
      </w:r>
      <w:r>
        <w:rPr>
          <w:rFonts w:hint="eastAsia" w:ascii="宋体" w:hAnsi="宋体" w:cs="宋体"/>
          <w:color w:val="auto"/>
          <w:sz w:val="24"/>
          <w:szCs w:val="22"/>
          <w:highlight w:val="none"/>
          <w:u w:val="none"/>
          <w:lang w:val="en-US" w:eastAsia="zh-CN"/>
        </w:rPr>
        <w:t>30</w:t>
      </w:r>
      <w:r>
        <w:rPr>
          <w:rFonts w:hint="eastAsia" w:ascii="宋体" w:hAnsi="宋体" w:eastAsia="宋体" w:cs="宋体"/>
          <w:color w:val="auto"/>
          <w:sz w:val="24"/>
          <w:szCs w:val="22"/>
          <w:highlight w:val="none"/>
          <w:u w:val="none"/>
        </w:rPr>
        <w:t>分</w:t>
      </w:r>
      <w:r>
        <w:rPr>
          <w:rFonts w:hint="eastAsia" w:ascii="宋体" w:hAnsi="宋体" w:eastAsia="宋体" w:cs="宋体"/>
          <w:color w:val="auto"/>
          <w:sz w:val="24"/>
          <w:highlight w:val="none"/>
        </w:rPr>
        <w:t>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szCs w:val="22"/>
          <w:highlight w:val="none"/>
          <w:u w:val="none"/>
          <w:lang w:val="en-US" w:eastAsia="zh-CN"/>
        </w:rPr>
        <w:t>6</w:t>
      </w:r>
      <w:r>
        <w:rPr>
          <w:rFonts w:hint="eastAsia" w:ascii="宋体" w:hAnsi="宋体" w:eastAsia="宋体" w:cs="宋体"/>
          <w:color w:val="auto"/>
          <w:sz w:val="24"/>
          <w:szCs w:val="22"/>
          <w:highlight w:val="none"/>
          <w:u w:val="none"/>
        </w:rPr>
        <w:t>月</w:t>
      </w:r>
      <w:r>
        <w:rPr>
          <w:rFonts w:hint="eastAsia" w:ascii="宋体" w:hAnsi="宋体" w:cs="宋体"/>
          <w:color w:val="auto"/>
          <w:sz w:val="24"/>
          <w:szCs w:val="22"/>
          <w:highlight w:val="none"/>
          <w:u w:val="none"/>
          <w:lang w:val="en-US" w:eastAsia="zh-CN"/>
        </w:rPr>
        <w:t>3</w:t>
      </w:r>
      <w:r>
        <w:rPr>
          <w:rFonts w:hint="eastAsia" w:ascii="宋体" w:hAnsi="宋体" w:eastAsia="宋体" w:cs="宋体"/>
          <w:color w:val="auto"/>
          <w:sz w:val="24"/>
          <w:szCs w:val="22"/>
          <w:highlight w:val="none"/>
          <w:u w:val="none"/>
        </w:rPr>
        <w:t>日</w:t>
      </w:r>
      <w:r>
        <w:rPr>
          <w:rFonts w:hint="eastAsia" w:ascii="宋体" w:hAnsi="宋体" w:cs="宋体"/>
          <w:color w:val="auto"/>
          <w:sz w:val="24"/>
          <w:szCs w:val="22"/>
          <w:highlight w:val="none"/>
          <w:u w:val="none"/>
          <w:lang w:val="en-US" w:eastAsia="zh-CN"/>
        </w:rPr>
        <w:t>9</w:t>
      </w:r>
      <w:r>
        <w:rPr>
          <w:rFonts w:hint="eastAsia" w:ascii="宋体" w:hAnsi="宋体" w:eastAsia="宋体" w:cs="宋体"/>
          <w:color w:val="auto"/>
          <w:sz w:val="24"/>
          <w:szCs w:val="22"/>
          <w:highlight w:val="none"/>
          <w:u w:val="none"/>
        </w:rPr>
        <w:t>时</w:t>
      </w:r>
      <w:r>
        <w:rPr>
          <w:rFonts w:hint="eastAsia" w:ascii="宋体" w:hAnsi="宋体" w:eastAsia="宋体" w:cs="宋体"/>
          <w:color w:val="auto"/>
          <w:sz w:val="24"/>
          <w:szCs w:val="22"/>
          <w:highlight w:val="none"/>
          <w:u w:val="none"/>
          <w:lang w:val="en-US" w:eastAsia="zh-CN"/>
        </w:rPr>
        <w:t>0</w:t>
      </w:r>
      <w:r>
        <w:rPr>
          <w:rFonts w:hint="eastAsia" w:ascii="宋体" w:hAnsi="宋体" w:cs="宋体"/>
          <w:color w:val="auto"/>
          <w:sz w:val="24"/>
          <w:szCs w:val="22"/>
          <w:highlight w:val="none"/>
          <w:u w:val="none"/>
          <w:lang w:val="en-US" w:eastAsia="zh-CN"/>
        </w:rPr>
        <w:t>0</w:t>
      </w:r>
      <w:r>
        <w:rPr>
          <w:rFonts w:hint="eastAsia" w:ascii="宋体" w:hAnsi="宋体" w:eastAsia="宋体" w:cs="宋体"/>
          <w:color w:val="auto"/>
          <w:sz w:val="24"/>
          <w:szCs w:val="22"/>
          <w:highlight w:val="none"/>
          <w:u w:val="none"/>
        </w:rPr>
        <w:t>分</w:t>
      </w:r>
      <w:r>
        <w:rPr>
          <w:rFonts w:hint="eastAsia" w:ascii="宋体" w:hAnsi="宋体" w:eastAsia="宋体" w:cs="宋体"/>
          <w:color w:val="auto"/>
          <w:sz w:val="24"/>
          <w:highlight w:val="none"/>
        </w:rPr>
        <w:t>，投标人应在截止时间前按照广州公共资源交易中心全流程电子化通用系统的相关指南进行操作。</w:t>
      </w:r>
    </w:p>
    <w:p>
      <w:pPr>
        <w:adjustRightInd w:val="0"/>
        <w:snapToGrid w:val="0"/>
        <w:spacing w:line="344"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本招标项目采用电子开标，在新交易平台上公开进行。开标开始时间：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时</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（与投标截止时间为同一时间）。邀请所有投标人准时在线参加开标。投标人参与电子开标的具体操作详见交易平台发布的相关操作指引。</w:t>
      </w:r>
    </w:p>
    <w:p>
      <w:pPr>
        <w:adjustRightInd w:val="0"/>
        <w:snapToGrid w:val="0"/>
        <w:spacing w:line="34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投标截止时间与开标时间是否有变化，请密切留意招标答疑中的相关信息。截标后，开标时间因故推迟的，相关评标信息仍以原定的投标截止时间的信息为准。</w:t>
      </w:r>
    </w:p>
    <w:p>
      <w:pPr>
        <w:spacing w:line="360" w:lineRule="auto"/>
        <w:ind w:firstLine="480" w:firstLineChars="200"/>
        <w:rPr>
          <w:rFonts w:hint="eastAsia" w:ascii="宋体" w:hAnsi="宋体"/>
          <w:color w:val="auto"/>
          <w:sz w:val="24"/>
          <w:szCs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.3逾期送达的投标文件，电子招标投标交易平台将予以拒收</w:t>
      </w:r>
      <w:r>
        <w:rPr>
          <w:rFonts w:hint="eastAsia" w:ascii="宋体" w:hAnsi="宋体"/>
          <w:color w:val="auto"/>
          <w:szCs w:val="24"/>
          <w:highlight w:val="none"/>
        </w:rPr>
        <w:t>。</w:t>
      </w:r>
    </w:p>
    <w:p>
      <w:pPr>
        <w:keepNext/>
        <w:keepLines/>
        <w:widowControl w:val="0"/>
        <w:spacing w:after="0" w:line="360" w:lineRule="auto"/>
        <w:jc w:val="both"/>
        <w:outlineLvl w:val="1"/>
        <w:rPr>
          <w:rFonts w:hint="eastAsia" w:ascii="宋体" w:hAnsi="宋体" w:eastAsia="宋体" w:cs="Times New Roman"/>
          <w:b/>
          <w:bCs/>
          <w:color w:val="auto"/>
          <w:kern w:val="2"/>
          <w:sz w:val="24"/>
          <w:szCs w:val="24"/>
          <w:highlight w:val="none"/>
          <w:lang w:val="en-US" w:eastAsia="zh-CN" w:bidi="ar-SA"/>
        </w:rPr>
      </w:pPr>
      <w:bookmarkStart w:id="6" w:name="_Toc505720177"/>
      <w:r>
        <w:rPr>
          <w:rFonts w:hint="eastAsia" w:ascii="宋体" w:hAnsi="宋体" w:eastAsia="宋体" w:cs="Times New Roman"/>
          <w:b/>
          <w:bCs/>
          <w:color w:val="auto"/>
          <w:kern w:val="2"/>
          <w:sz w:val="24"/>
          <w:szCs w:val="24"/>
          <w:highlight w:val="none"/>
          <w:lang w:val="en-US" w:eastAsia="zh-CN" w:bidi="ar-SA"/>
        </w:rPr>
        <w:t>7. 发布公告的媒介</w:t>
      </w:r>
      <w:bookmarkEnd w:id="6"/>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本次招标公告同时在</w:t>
      </w:r>
      <w:r>
        <w:rPr>
          <w:rFonts w:hint="eastAsia" w:ascii="宋体" w:hAnsi="宋体"/>
          <w:color w:val="auto"/>
          <w:sz w:val="24"/>
          <w:szCs w:val="24"/>
          <w:highlight w:val="none"/>
          <w:u w:val="single"/>
          <w:lang w:val="en-US" w:eastAsia="zh-CN"/>
        </w:rPr>
        <w:t>广州公共资源交易中心、广东省招标投标监管网、</w:t>
      </w:r>
      <w:r>
        <w:rPr>
          <w:rFonts w:hint="eastAsia" w:ascii="宋体" w:hAnsi="宋体"/>
          <w:color w:val="auto"/>
          <w:sz w:val="24"/>
          <w:szCs w:val="24"/>
          <w:highlight w:val="none"/>
          <w:u w:val="single"/>
        </w:rPr>
        <w:t>中国招标投标公共服务平台</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广州国企阳光采购信息发布平台</w:t>
      </w:r>
      <w:r>
        <w:rPr>
          <w:rFonts w:hint="eastAsia" w:ascii="宋体" w:hAnsi="宋体"/>
          <w:color w:val="auto"/>
          <w:sz w:val="24"/>
          <w:szCs w:val="24"/>
          <w:highlight w:val="none"/>
        </w:rPr>
        <w:t>上发布。</w:t>
      </w:r>
    </w:p>
    <w:p>
      <w:pPr>
        <w:keepNext/>
        <w:keepLines/>
        <w:widowControl w:val="0"/>
        <w:spacing w:after="0" w:line="360" w:lineRule="auto"/>
        <w:jc w:val="both"/>
        <w:outlineLvl w:val="1"/>
        <w:rPr>
          <w:rFonts w:hint="eastAsia" w:ascii="宋体" w:hAnsi="宋体" w:eastAsia="宋体" w:cs="Times New Roman"/>
          <w:b/>
          <w:bCs/>
          <w:color w:val="auto"/>
          <w:kern w:val="2"/>
          <w:sz w:val="24"/>
          <w:szCs w:val="24"/>
          <w:highlight w:val="none"/>
          <w:lang w:val="en-US" w:eastAsia="zh-CN" w:bidi="ar-SA"/>
        </w:rPr>
      </w:pPr>
      <w:bookmarkStart w:id="7" w:name="_Toc505720178"/>
      <w:r>
        <w:rPr>
          <w:rFonts w:hint="eastAsia" w:ascii="宋体" w:hAnsi="宋体" w:eastAsia="宋体" w:cs="Times New Roman"/>
          <w:b/>
          <w:bCs/>
          <w:color w:val="auto"/>
          <w:kern w:val="2"/>
          <w:sz w:val="24"/>
          <w:szCs w:val="24"/>
          <w:highlight w:val="none"/>
          <w:lang w:val="en-US" w:eastAsia="zh-CN" w:bidi="ar-SA"/>
        </w:rPr>
        <w:t>8. 联系方式</w:t>
      </w:r>
      <w:bookmarkEnd w:id="7"/>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5"/>
        <w:gridCol w:w="4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tabs>
                <w:tab w:val="left" w:pos="7380"/>
              </w:tabs>
              <w:spacing w:line="360" w:lineRule="auto"/>
              <w:rPr>
                <w:rFonts w:hint="eastAsia" w:ascii="宋体" w:hAnsi="宋体" w:eastAsia="宋体" w:cs="宋体"/>
                <w:color w:val="auto"/>
                <w:sz w:val="24"/>
                <w:szCs w:val="22"/>
                <w:highlight w:val="none"/>
                <w:vertAlign w:val="baseline"/>
                <w:lang w:val="en-US" w:eastAsia="zh-CN"/>
              </w:rPr>
            </w:pPr>
            <w:r>
              <w:rPr>
                <w:rFonts w:hint="eastAsia" w:ascii="宋体" w:hAnsi="宋体" w:cs="宋体"/>
                <w:color w:val="auto"/>
                <w:sz w:val="24"/>
                <w:szCs w:val="22"/>
                <w:highlight w:val="none"/>
              </w:rPr>
              <w:t>招标人：</w:t>
            </w:r>
            <w:r>
              <w:rPr>
                <w:rFonts w:hint="eastAsia" w:ascii="宋体" w:hAnsi="宋体" w:cs="宋体"/>
                <w:color w:val="auto"/>
                <w:sz w:val="24"/>
                <w:szCs w:val="22"/>
                <w:highlight w:val="none"/>
                <w:lang w:eastAsia="zh-CN"/>
              </w:rPr>
              <w:t>揭阳广大化工储运有限公司</w:t>
            </w:r>
          </w:p>
        </w:tc>
        <w:tc>
          <w:tcPr>
            <w:tcW w:w="4852" w:type="dxa"/>
            <w:tcBorders>
              <w:tl2br w:val="nil"/>
              <w:tr2bl w:val="nil"/>
            </w:tcBorders>
            <w:noWrap w:val="0"/>
            <w:vAlign w:val="top"/>
          </w:tcPr>
          <w:p>
            <w:pPr>
              <w:tabs>
                <w:tab w:val="left" w:pos="7380"/>
              </w:tabs>
              <w:spacing w:line="360" w:lineRule="auto"/>
              <w:rPr>
                <w:rFonts w:hint="eastAsia" w:ascii="宋体" w:hAnsi="宋体" w:cs="宋体"/>
                <w:color w:val="auto"/>
                <w:sz w:val="24"/>
                <w:szCs w:val="22"/>
                <w:highlight w:val="none"/>
                <w:vertAlign w:val="baseline"/>
              </w:rPr>
            </w:pPr>
            <w:r>
              <w:rPr>
                <w:rFonts w:hint="eastAsia" w:ascii="宋体" w:hAnsi="宋体" w:cs="宋体"/>
                <w:color w:val="auto"/>
                <w:sz w:val="24"/>
                <w:szCs w:val="22"/>
                <w:highlight w:val="none"/>
              </w:rPr>
              <w:t>招标代理机构：广州港工程管理有限公司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tabs>
                <w:tab w:val="left" w:pos="7380"/>
              </w:tabs>
              <w:spacing w:line="360" w:lineRule="auto"/>
              <w:rPr>
                <w:rFonts w:hint="default" w:ascii="宋体" w:hAnsi="宋体" w:eastAsia="宋体" w:cs="宋体"/>
                <w:color w:val="auto"/>
                <w:sz w:val="24"/>
                <w:szCs w:val="22"/>
                <w:highlight w:val="none"/>
                <w:vertAlign w:val="baseline"/>
                <w:lang w:val="en-US" w:eastAsia="zh-CN"/>
              </w:rPr>
            </w:pPr>
            <w:r>
              <w:rPr>
                <w:rFonts w:hint="eastAsia" w:ascii="宋体" w:hAnsi="宋体" w:cs="宋体"/>
                <w:color w:val="auto"/>
                <w:sz w:val="24"/>
                <w:szCs w:val="22"/>
                <w:highlight w:val="none"/>
              </w:rPr>
              <w:t>地址：揭阳大南海石化工业区政务服务中心A120室</w:t>
            </w:r>
          </w:p>
        </w:tc>
        <w:tc>
          <w:tcPr>
            <w:tcW w:w="4852" w:type="dxa"/>
            <w:tcBorders>
              <w:tl2br w:val="nil"/>
              <w:tr2bl w:val="nil"/>
            </w:tcBorders>
            <w:noWrap w:val="0"/>
            <w:vAlign w:val="top"/>
          </w:tcPr>
          <w:p>
            <w:pPr>
              <w:tabs>
                <w:tab w:val="left" w:pos="7380"/>
              </w:tabs>
              <w:spacing w:line="360" w:lineRule="auto"/>
              <w:rPr>
                <w:rFonts w:hint="eastAsia" w:ascii="宋体" w:hAnsi="宋体" w:cs="宋体"/>
                <w:color w:val="auto"/>
                <w:sz w:val="24"/>
                <w:szCs w:val="22"/>
                <w:highlight w:val="none"/>
                <w:vertAlign w:val="baseline"/>
              </w:rPr>
            </w:pPr>
            <w:r>
              <w:rPr>
                <w:rFonts w:hint="eastAsia" w:ascii="宋体" w:hAnsi="宋体" w:cs="宋体"/>
                <w:color w:val="auto"/>
                <w:sz w:val="24"/>
                <w:szCs w:val="22"/>
                <w:highlight w:val="none"/>
              </w:rPr>
              <w:t>地址：</w:t>
            </w:r>
            <w:r>
              <w:rPr>
                <w:rFonts w:hint="eastAsia" w:ascii="宋体" w:hAnsi="宋体" w:cs="宋体"/>
                <w:color w:val="auto"/>
                <w:sz w:val="24"/>
                <w:szCs w:val="22"/>
                <w:highlight w:val="none"/>
                <w:lang w:val="en-US" w:eastAsia="zh-CN"/>
              </w:rPr>
              <w:t>广州市黄埔区</w:t>
            </w:r>
            <w:r>
              <w:rPr>
                <w:rFonts w:hint="eastAsia" w:ascii="宋体" w:hAnsi="宋体" w:cs="宋体"/>
                <w:color w:val="auto"/>
                <w:sz w:val="24"/>
                <w:szCs w:val="22"/>
                <w:highlight w:val="none"/>
              </w:rPr>
              <w:t>志诚大道</w:t>
            </w:r>
            <w:r>
              <w:rPr>
                <w:rFonts w:ascii="宋体" w:hAnsi="宋体" w:cs="宋体"/>
                <w:color w:val="auto"/>
                <w:sz w:val="24"/>
                <w:szCs w:val="22"/>
                <w:highlight w:val="none"/>
              </w:rPr>
              <w:t>331</w:t>
            </w:r>
            <w:r>
              <w:rPr>
                <w:rFonts w:hint="eastAsia" w:ascii="宋体" w:hAnsi="宋体" w:cs="宋体"/>
                <w:color w:val="auto"/>
                <w:sz w:val="24"/>
                <w:szCs w:val="22"/>
                <w:highlight w:val="none"/>
              </w:rPr>
              <w:t>号</w:t>
            </w:r>
            <w:r>
              <w:rPr>
                <w:rFonts w:ascii="宋体" w:hAnsi="宋体" w:cs="宋体"/>
                <w:color w:val="auto"/>
                <w:sz w:val="24"/>
                <w:szCs w:val="22"/>
                <w:highlight w:val="none"/>
              </w:rPr>
              <w:t>20</w:t>
            </w:r>
            <w:r>
              <w:rPr>
                <w:rFonts w:hint="eastAsia" w:ascii="宋体" w:hAnsi="宋体" w:cs="宋体"/>
                <w:color w:val="auto"/>
                <w:sz w:val="24"/>
                <w:szCs w:val="22"/>
                <w:highlight w:val="none"/>
              </w:rPr>
              <w:t>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tabs>
                <w:tab w:val="left" w:pos="7380"/>
              </w:tabs>
              <w:spacing w:line="360" w:lineRule="auto"/>
              <w:rPr>
                <w:rFonts w:hint="default" w:ascii="宋体" w:hAnsi="宋体" w:eastAsia="宋体" w:cs="宋体"/>
                <w:color w:val="auto"/>
                <w:sz w:val="24"/>
                <w:szCs w:val="22"/>
                <w:highlight w:val="none"/>
                <w:vertAlign w:val="baseline"/>
                <w:lang w:val="en-US" w:eastAsia="zh-CN"/>
              </w:rPr>
            </w:pPr>
            <w:r>
              <w:rPr>
                <w:rFonts w:hint="eastAsia" w:ascii="宋体" w:hAnsi="宋体" w:cs="宋体"/>
                <w:color w:val="auto"/>
                <w:sz w:val="24"/>
                <w:szCs w:val="22"/>
                <w:highlight w:val="none"/>
              </w:rPr>
              <w:t>邮编：</w:t>
            </w:r>
            <w:r>
              <w:rPr>
                <w:rFonts w:hint="eastAsia" w:ascii="宋体" w:hAnsi="宋体" w:cs="宋体"/>
                <w:color w:val="auto"/>
                <w:sz w:val="24"/>
                <w:szCs w:val="22"/>
                <w:highlight w:val="none"/>
                <w:lang w:val="en-US" w:eastAsia="zh-CN"/>
              </w:rPr>
              <w:t>515232</w:t>
            </w:r>
          </w:p>
        </w:tc>
        <w:tc>
          <w:tcPr>
            <w:tcW w:w="4852" w:type="dxa"/>
            <w:tcBorders>
              <w:tl2br w:val="nil"/>
              <w:tr2bl w:val="nil"/>
            </w:tcBorders>
            <w:noWrap w:val="0"/>
            <w:vAlign w:val="top"/>
          </w:tcPr>
          <w:p>
            <w:pPr>
              <w:tabs>
                <w:tab w:val="left" w:pos="7380"/>
              </w:tabs>
              <w:spacing w:line="360" w:lineRule="auto"/>
              <w:rPr>
                <w:rFonts w:hint="eastAsia" w:ascii="宋体" w:hAnsi="宋体" w:cs="宋体"/>
                <w:color w:val="auto"/>
                <w:sz w:val="24"/>
                <w:szCs w:val="22"/>
                <w:highlight w:val="none"/>
                <w:vertAlign w:val="baseline"/>
              </w:rPr>
            </w:pPr>
            <w:r>
              <w:rPr>
                <w:rFonts w:hint="eastAsia" w:ascii="宋体" w:hAnsi="宋体" w:cs="宋体"/>
                <w:color w:val="auto"/>
                <w:sz w:val="24"/>
                <w:szCs w:val="22"/>
                <w:highlight w:val="none"/>
              </w:rPr>
              <w:t>邮编：</w:t>
            </w:r>
            <w:r>
              <w:rPr>
                <w:rFonts w:ascii="宋体" w:hAnsi="宋体" w:cs="宋体"/>
                <w:color w:val="auto"/>
                <w:sz w:val="24"/>
                <w:szCs w:val="22"/>
                <w:highlight w:val="none"/>
              </w:rPr>
              <w:t>510730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spacing w:line="360" w:lineRule="auto"/>
              <w:rPr>
                <w:rFonts w:hint="default" w:ascii="宋体" w:hAnsi="宋体" w:eastAsia="宋体" w:cs="宋体"/>
                <w:color w:val="auto"/>
                <w:sz w:val="24"/>
                <w:szCs w:val="22"/>
                <w:highlight w:val="none"/>
                <w:vertAlign w:val="baseline"/>
                <w:lang w:val="en-US" w:eastAsia="zh-CN"/>
              </w:rPr>
            </w:pPr>
            <w:r>
              <w:rPr>
                <w:rFonts w:hint="eastAsia" w:ascii="宋体" w:hAnsi="宋体" w:cs="宋体"/>
                <w:color w:val="auto"/>
                <w:sz w:val="24"/>
                <w:szCs w:val="22"/>
                <w:highlight w:val="none"/>
              </w:rPr>
              <w:t>联系人：</w:t>
            </w:r>
            <w:r>
              <w:rPr>
                <w:rFonts w:hint="eastAsia" w:ascii="宋体" w:hAnsi="宋体" w:cs="宋体"/>
                <w:color w:val="auto"/>
                <w:sz w:val="24"/>
                <w:szCs w:val="22"/>
                <w:highlight w:val="none"/>
                <w:lang w:val="en-US" w:eastAsia="zh-CN"/>
              </w:rPr>
              <w:t>郑</w:t>
            </w:r>
            <w:r>
              <w:rPr>
                <w:rFonts w:hint="eastAsia" w:ascii="宋体" w:hAnsi="宋体" w:cs="宋体"/>
                <w:color w:val="auto"/>
                <w:sz w:val="24"/>
                <w:szCs w:val="22"/>
                <w:highlight w:val="none"/>
              </w:rPr>
              <w:t>工</w:t>
            </w:r>
          </w:p>
        </w:tc>
        <w:tc>
          <w:tcPr>
            <w:tcW w:w="4852" w:type="dxa"/>
            <w:tcBorders>
              <w:tl2br w:val="nil"/>
              <w:tr2bl w:val="nil"/>
            </w:tcBorders>
            <w:noWrap w:val="0"/>
            <w:vAlign w:val="top"/>
          </w:tcPr>
          <w:p>
            <w:pPr>
              <w:tabs>
                <w:tab w:val="left" w:pos="7380"/>
              </w:tabs>
              <w:spacing w:line="360" w:lineRule="auto"/>
              <w:rPr>
                <w:rFonts w:hint="eastAsia" w:ascii="宋体" w:hAnsi="宋体" w:cs="宋体"/>
                <w:color w:val="auto"/>
                <w:sz w:val="24"/>
                <w:szCs w:val="22"/>
                <w:highlight w:val="none"/>
                <w:vertAlign w:val="baseline"/>
              </w:rPr>
            </w:pPr>
            <w:r>
              <w:rPr>
                <w:rFonts w:hint="eastAsia" w:ascii="宋体" w:hAnsi="宋体" w:cs="宋体"/>
                <w:color w:val="auto"/>
                <w:sz w:val="24"/>
                <w:szCs w:val="22"/>
                <w:highlight w:val="none"/>
              </w:rPr>
              <w:t>联系人：彭工</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tabs>
                <w:tab w:val="left" w:pos="7380"/>
              </w:tabs>
              <w:spacing w:line="360" w:lineRule="auto"/>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rPr>
              <w:t>电话：18312434888</w:t>
            </w:r>
          </w:p>
        </w:tc>
        <w:tc>
          <w:tcPr>
            <w:tcW w:w="4852" w:type="dxa"/>
            <w:tcBorders>
              <w:tl2br w:val="nil"/>
              <w:tr2bl w:val="nil"/>
            </w:tcBorders>
            <w:noWrap w:val="0"/>
            <w:vAlign w:val="top"/>
          </w:tcPr>
          <w:p>
            <w:pPr>
              <w:tabs>
                <w:tab w:val="left" w:pos="7380"/>
              </w:tabs>
              <w:spacing w:line="360" w:lineRule="auto"/>
              <w:rPr>
                <w:rFonts w:hint="eastAsia" w:ascii="宋体" w:hAnsi="宋体" w:cs="宋体"/>
                <w:color w:val="auto"/>
                <w:sz w:val="24"/>
                <w:szCs w:val="22"/>
                <w:highlight w:val="none"/>
                <w:vertAlign w:val="baseline"/>
              </w:rPr>
            </w:pPr>
            <w:r>
              <w:rPr>
                <w:rFonts w:hint="eastAsia" w:ascii="宋体" w:hAnsi="宋体" w:cs="宋体"/>
                <w:color w:val="auto"/>
                <w:sz w:val="24"/>
                <w:szCs w:val="22"/>
                <w:highlight w:val="none"/>
              </w:rPr>
              <w:t>电话：</w:t>
            </w:r>
            <w:r>
              <w:rPr>
                <w:rFonts w:ascii="宋体" w:hAnsi="宋体" w:cs="宋体"/>
                <w:color w:val="auto"/>
                <w:sz w:val="24"/>
                <w:szCs w:val="22"/>
                <w:highlight w:val="none"/>
              </w:rPr>
              <w:t>020-82</w:t>
            </w:r>
            <w:r>
              <w:rPr>
                <w:rFonts w:hint="eastAsia" w:ascii="宋体" w:hAnsi="宋体" w:cs="宋体"/>
                <w:color w:val="auto"/>
                <w:sz w:val="24"/>
                <w:szCs w:val="22"/>
                <w:highlight w:val="none"/>
              </w:rPr>
              <w:t>027239</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020-82211756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tabs>
                <w:tab w:val="left" w:pos="7380"/>
              </w:tabs>
              <w:spacing w:line="360" w:lineRule="auto"/>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传真：/</w:t>
            </w:r>
          </w:p>
        </w:tc>
        <w:tc>
          <w:tcPr>
            <w:tcW w:w="4852" w:type="dxa"/>
            <w:tcBorders>
              <w:tl2br w:val="nil"/>
              <w:tr2bl w:val="nil"/>
            </w:tcBorders>
            <w:noWrap w:val="0"/>
            <w:vAlign w:val="top"/>
          </w:tcPr>
          <w:p>
            <w:pPr>
              <w:tabs>
                <w:tab w:val="left" w:pos="7380"/>
              </w:tabs>
              <w:spacing w:line="360" w:lineRule="auto"/>
              <w:rPr>
                <w:rFonts w:hint="eastAsia" w:ascii="宋体" w:hAnsi="宋体" w:cs="宋体"/>
                <w:color w:val="auto"/>
                <w:sz w:val="24"/>
                <w:szCs w:val="22"/>
                <w:highlight w:val="none"/>
                <w:vertAlign w:val="baseline"/>
              </w:rPr>
            </w:pPr>
            <w:r>
              <w:rPr>
                <w:rFonts w:hint="eastAsia" w:ascii="宋体" w:hAnsi="宋体" w:cs="宋体"/>
                <w:color w:val="auto"/>
                <w:sz w:val="24"/>
                <w:szCs w:val="22"/>
                <w:highlight w:val="none"/>
              </w:rPr>
              <w:t>传真：</w:t>
            </w:r>
            <w:r>
              <w:rPr>
                <w:rFonts w:ascii="宋体" w:hAnsi="宋体" w:cs="宋体"/>
                <w:color w:val="auto"/>
                <w:sz w:val="24"/>
                <w:szCs w:val="22"/>
                <w:highlight w:val="none"/>
              </w:rPr>
              <w:t>020-82212796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spacing w:line="360" w:lineRule="auto"/>
              <w:rPr>
                <w:rFonts w:hint="eastAsia" w:ascii="宋体" w:hAnsi="宋体" w:cs="宋体"/>
                <w:color w:val="auto"/>
                <w:sz w:val="24"/>
                <w:szCs w:val="22"/>
                <w:highlight w:val="none"/>
              </w:rPr>
            </w:pPr>
            <w:r>
              <w:rPr>
                <w:rFonts w:hint="eastAsia" w:ascii="宋体" w:hAnsi="宋体" w:cs="宋体"/>
                <w:color w:val="auto"/>
                <w:sz w:val="24"/>
                <w:szCs w:val="22"/>
                <w:highlight w:val="none"/>
              </w:rPr>
              <w:t>电子邮箱</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842576722@qq.com</w:t>
            </w:r>
          </w:p>
        </w:tc>
        <w:tc>
          <w:tcPr>
            <w:tcW w:w="4852" w:type="dxa"/>
            <w:tcBorders>
              <w:tl2br w:val="nil"/>
              <w:tr2bl w:val="nil"/>
            </w:tcBorders>
            <w:noWrap w:val="0"/>
            <w:vAlign w:val="top"/>
          </w:tcPr>
          <w:p>
            <w:pPr>
              <w:spacing w:line="360" w:lineRule="auto"/>
              <w:rPr>
                <w:rFonts w:hint="eastAsia" w:ascii="宋体" w:hAnsi="宋体" w:cs="宋体"/>
                <w:color w:val="auto"/>
                <w:sz w:val="24"/>
                <w:szCs w:val="22"/>
                <w:highlight w:val="none"/>
                <w:vertAlign w:val="baseline"/>
              </w:rPr>
            </w:pPr>
            <w:r>
              <w:rPr>
                <w:rFonts w:hint="eastAsia" w:ascii="宋体" w:hAnsi="宋体" w:cs="宋体"/>
                <w:color w:val="auto"/>
                <w:sz w:val="24"/>
                <w:szCs w:val="22"/>
                <w:highlight w:val="none"/>
              </w:rPr>
              <w:t>电子邮箱</w:t>
            </w:r>
            <w:r>
              <w:rPr>
                <w:rFonts w:ascii="宋体" w:hAnsi="宋体" w:cs="宋体"/>
                <w:color w:val="auto"/>
                <w:sz w:val="24"/>
                <w:szCs w:val="22"/>
                <w:highlight w:val="none"/>
              </w:rPr>
              <w:t xml:space="preserve">: </w:t>
            </w:r>
            <w:r>
              <w:rPr>
                <w:rFonts w:ascii="宋体" w:hAnsi="宋体"/>
                <w:color w:val="auto"/>
                <w:sz w:val="24"/>
                <w:szCs w:val="22"/>
                <w:highlight w:val="none"/>
                <w:u w:val="none"/>
              </w:rPr>
              <w:fldChar w:fldCharType="begin"/>
            </w:r>
            <w:r>
              <w:rPr>
                <w:rFonts w:ascii="宋体" w:hAnsi="宋体"/>
                <w:color w:val="auto"/>
                <w:sz w:val="24"/>
                <w:szCs w:val="22"/>
                <w:highlight w:val="none"/>
                <w:u w:val="none"/>
              </w:rPr>
              <w:instrText xml:space="preserve">HYPERLINK "mailto:zbdl2008@126.com"</w:instrText>
            </w:r>
            <w:r>
              <w:rPr>
                <w:rFonts w:ascii="宋体" w:hAnsi="宋体"/>
                <w:color w:val="auto"/>
                <w:sz w:val="24"/>
                <w:szCs w:val="22"/>
                <w:highlight w:val="none"/>
                <w:u w:val="none"/>
              </w:rPr>
              <w:fldChar w:fldCharType="separate"/>
            </w:r>
            <w:r>
              <w:rPr>
                <w:rStyle w:val="8"/>
                <w:rFonts w:ascii="宋体" w:hAnsi="宋体" w:cs="宋体"/>
                <w:color w:val="auto"/>
                <w:sz w:val="24"/>
                <w:szCs w:val="22"/>
                <w:highlight w:val="none"/>
                <w:u w:val="none"/>
              </w:rPr>
              <w:t>ZBDL2008@126.com</w:t>
            </w:r>
            <w:r>
              <w:rPr>
                <w:rFonts w:ascii="宋体" w:hAnsi="宋体"/>
                <w:color w:val="auto"/>
                <w:sz w:val="24"/>
                <w:szCs w:val="22"/>
                <w:highlight w:val="none"/>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5" w:type="dxa"/>
            <w:tcBorders>
              <w:tl2br w:val="nil"/>
              <w:tr2bl w:val="nil"/>
            </w:tcBorders>
            <w:noWrap w:val="0"/>
            <w:vAlign w:val="top"/>
          </w:tcPr>
          <w:p>
            <w:pPr>
              <w:spacing w:line="360" w:lineRule="auto"/>
              <w:rPr>
                <w:rFonts w:hint="eastAsia" w:ascii="宋体" w:hAnsi="宋体" w:cs="宋体"/>
                <w:color w:val="auto"/>
                <w:sz w:val="24"/>
                <w:szCs w:val="22"/>
                <w:highlight w:val="none"/>
              </w:rPr>
            </w:pPr>
          </w:p>
        </w:tc>
        <w:tc>
          <w:tcPr>
            <w:tcW w:w="4852" w:type="dxa"/>
            <w:tcBorders>
              <w:tl2br w:val="nil"/>
              <w:tr2bl w:val="nil"/>
            </w:tcBorders>
            <w:noWrap w:val="0"/>
            <w:vAlign w:val="top"/>
          </w:tcPr>
          <w:p>
            <w:pPr>
              <w:spacing w:line="360" w:lineRule="auto"/>
              <w:rPr>
                <w:rFonts w:hint="eastAsia" w:ascii="宋体" w:hAnsi="宋体" w:cs="宋体"/>
                <w:color w:val="auto"/>
                <w:sz w:val="24"/>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2"/>
            <w:tcBorders>
              <w:tl2br w:val="nil"/>
              <w:tr2bl w:val="nil"/>
            </w:tcBorders>
            <w:noWrap w:val="0"/>
            <w:vAlign w:val="top"/>
          </w:tcPr>
          <w:p>
            <w:pPr>
              <w:spacing w:line="360" w:lineRule="auto"/>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招标监督机构：揭阳大南海石化工业区建设管理局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2"/>
            <w:tcBorders>
              <w:tl2br w:val="nil"/>
              <w:tr2bl w:val="nil"/>
            </w:tcBorders>
            <w:noWrap w:val="0"/>
            <w:vAlign w:val="top"/>
          </w:tcPr>
          <w:p>
            <w:pPr>
              <w:spacing w:line="360" w:lineRule="auto"/>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地址：揭阳大南海石化工业区管理委员会办公大院二号楼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gridSpan w:val="2"/>
            <w:tcBorders>
              <w:tl2br w:val="nil"/>
              <w:tr2bl w:val="nil"/>
            </w:tcBorders>
            <w:noWrap w:val="0"/>
            <w:vAlign w:val="top"/>
          </w:tcPr>
          <w:p>
            <w:pPr>
              <w:spacing w:line="360" w:lineRule="auto"/>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电话：0663-6208832</w:t>
            </w:r>
          </w:p>
        </w:tc>
      </w:tr>
    </w:tbl>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4"/>
      <w:pBdr>
        <w:bottom w:val="none" w:color="auto" w:sz="0" w:space="0"/>
      </w:pBd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07835"/>
    <w:rsid w:val="130F2112"/>
    <w:rsid w:val="292C7F2D"/>
    <w:rsid w:val="29770F21"/>
    <w:rsid w:val="2A32072A"/>
    <w:rsid w:val="2F2F6C5F"/>
    <w:rsid w:val="34AA38BD"/>
    <w:rsid w:val="3759409A"/>
    <w:rsid w:val="472A37C1"/>
    <w:rsid w:val="668E5CD6"/>
    <w:rsid w:val="724205F5"/>
    <w:rsid w:val="75AE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widowControl w:val="0"/>
      <w:spacing w:after="260" w:line="415" w:lineRule="auto"/>
      <w:jc w:val="both"/>
      <w:outlineLvl w:val="1"/>
    </w:pPr>
    <w:rPr>
      <w:rFonts w:ascii="Cambria" w:hAnsi="Cambria" w:eastAsia="宋体" w:cs="Times New Roman"/>
      <w:b/>
      <w:bCs/>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jc w:val="left"/>
    </w:pPr>
    <w:rPr>
      <w:rFonts w:ascii="Times New Roman" w:hAnsi="Times New Roman"/>
      <w:sz w:val="28"/>
      <w:szCs w:val="2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000FF"/>
      <w:u w:val="single"/>
    </w:rPr>
  </w:style>
  <w:style w:type="paragraph" w:customStyle="1" w:styleId="9">
    <w:name w:val="样式 宋体 行距: 1.5 倍行距"/>
    <w:basedOn w:val="1"/>
    <w:qFormat/>
    <w:uiPriority w:val="0"/>
    <w:pPr>
      <w:jc w:val="center"/>
    </w:pPr>
    <w:rPr>
      <w:rFonts w:ascii="Times New Roman" w:hAnsi="Times New Roman" w:eastAsia="宋体" w:cs="Times New Roman"/>
      <w:b/>
    </w:rPr>
  </w:style>
  <w:style w:type="paragraph" w:customStyle="1" w:styleId="10">
    <w:name w:val="正文首行缩进 21"/>
    <w:basedOn w:val="11"/>
    <w:qFormat/>
    <w:uiPriority w:val="0"/>
    <w:pPr>
      <w:ind w:firstLine="420" w:firstLineChars="200"/>
    </w:pPr>
    <w:rPr>
      <w:kern w:val="2"/>
      <w:sz w:val="21"/>
    </w:rPr>
  </w:style>
  <w:style w:type="paragraph" w:customStyle="1" w:styleId="11">
    <w:name w:val="正文文本缩进1"/>
    <w:basedOn w:val="1"/>
    <w:qFormat/>
    <w:uiPriority w:val="0"/>
    <w:pPr>
      <w:ind w:left="420" w:leftChars="200"/>
    </w:pPr>
    <w:rPr>
      <w:sz w:val="20"/>
    </w:rPr>
  </w:style>
  <w:style w:type="paragraph" w:customStyle="1" w:styleId="12">
    <w:name w:val="正文文本 (2)1"/>
    <w:qFormat/>
    <w:uiPriority w:val="99"/>
    <w:pPr>
      <w:widowControl w:val="0"/>
      <w:shd w:val="clear" w:color="auto" w:fill="FFFFFF"/>
      <w:spacing w:before="300" w:line="439" w:lineRule="exact"/>
      <w:jc w:val="distribute"/>
    </w:pPr>
    <w:rPr>
      <w:rFonts w:ascii="MingLiU" w:hAnsi="Times New Roman" w:eastAsia="MingLiU" w:cs="Times New Roman"/>
      <w:color w:val="auto"/>
      <w:spacing w:val="20"/>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2022-04-19T00:20:00Z</dcterms:created>
  <dc:creator>Administrator</dc:creator>
  <cp:lastModifiedBy>广州港工程管理有限公司[广州港工程管理有限公司]</cp:lastModifiedBy>
  <dcterms:modified xsi:type="dcterms:W3CDTF">2025-05-13T08:06:13Z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202B48284CD64E5589414CEFB9EB4413</vt:lpwstr>
  </property>
</Properties>
</file>